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7</w:t>
      </w:r>
    </w:p>
    <w:p>
      <w:pPr>
        <w:sectPr>
          <w:pgSz w:w="11900" w:h="16838" w:orient="portrait"/>
          <w:cols w:equalWidth="0" w:num="1">
            <w:col w:w="9599"/>
          </w:cols>
          <w:pgMar w:left="860" w:top="960" w:right="1440" w:bottom="1440" w:gutter="0" w:footer="0" w:header="0"/>
        </w:sectPr>
      </w:pPr>
    </w:p>
    <w:p>
      <w:pPr>
        <w:spacing w:after="0" w:line="296" w:lineRule="exact"/>
        <w:rPr>
          <w:sz w:val="24"/>
          <w:szCs w:val="24"/>
          <w:color w:val="auto"/>
        </w:rPr>
      </w:pPr>
    </w:p>
    <w:p>
      <w:pPr>
        <w:ind w:left="3760"/>
        <w:spacing w:after="0"/>
        <w:rPr>
          <w:sz w:val="20"/>
          <w:szCs w:val="20"/>
          <w:color w:val="auto"/>
        </w:rPr>
      </w:pPr>
      <w:r>
        <w:rPr>
          <w:rFonts w:ascii="Courier New" w:cs="Courier New" w:eastAsia="Courier New" w:hAnsi="Courier New"/>
          <w:sz w:val="18"/>
          <w:szCs w:val="18"/>
          <w:color w:val="auto"/>
        </w:rPr>
        <w:t>UNITED STATES</w:t>
      </w:r>
    </w:p>
    <w:p>
      <w:pPr>
        <w:spacing w:after="0" w:line="39" w:lineRule="exact"/>
        <w:rPr>
          <w:sz w:val="24"/>
          <w:szCs w:val="24"/>
          <w:color w:val="auto"/>
        </w:rPr>
      </w:pPr>
    </w:p>
    <w:p>
      <w:pPr>
        <w:ind w:left="27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00"/>
        <w:spacing w:after="0"/>
        <w:rPr>
          <w:sz w:val="20"/>
          <w:szCs w:val="20"/>
          <w:color w:val="auto"/>
        </w:rPr>
      </w:pPr>
      <w:r>
        <w:rPr>
          <w:rFonts w:ascii="Courier New" w:cs="Courier New" w:eastAsia="Courier New" w:hAnsi="Courier New"/>
          <w:sz w:val="18"/>
          <w:szCs w:val="18"/>
          <w:color w:val="auto"/>
        </w:rPr>
        <w:t>Washington, D.C. 20549</w:t>
      </w:r>
    </w:p>
    <w:p>
      <w:pPr>
        <w:spacing w:after="0" w:line="2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ind w:left="23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(Amendment No. 1)*</w:t>
      </w:r>
    </w:p>
    <w:p>
      <w:pPr>
        <w:spacing w:after="0" w:line="255"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COHU, INC.</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(Name of Issuer)</w:t>
      </w:r>
    </w:p>
    <w:p>
      <w:pPr>
        <w:spacing w:after="0" w:line="28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Common Stock, $1.00 par value</w:t>
      </w:r>
    </w:p>
    <w:p>
      <w:pPr>
        <w:spacing w:after="0" w:line="242" w:lineRule="exact"/>
        <w:rPr>
          <w:sz w:val="24"/>
          <w:szCs w:val="24"/>
          <w:color w:val="auto"/>
        </w:rPr>
      </w:pPr>
    </w:p>
    <w:p>
      <w:pPr>
        <w:ind w:left="2900"/>
        <w:spacing w:after="0"/>
        <w:rPr>
          <w:sz w:val="20"/>
          <w:szCs w:val="20"/>
          <w:color w:val="auto"/>
        </w:rPr>
      </w:pPr>
      <w:r>
        <w:rPr>
          <w:rFonts w:ascii="Courier New" w:cs="Courier New" w:eastAsia="Courier New" w:hAnsi="Courier New"/>
          <w:sz w:val="18"/>
          <w:szCs w:val="18"/>
          <w:color w:val="auto"/>
        </w:rPr>
        <w:t>(Title of Class of Securities)</w:t>
      </w:r>
    </w:p>
    <w:p>
      <w:pPr>
        <w:spacing w:after="0" w:line="255" w:lineRule="exact"/>
        <w:rPr>
          <w:sz w:val="24"/>
          <w:szCs w:val="24"/>
          <w:color w:val="auto"/>
        </w:rPr>
      </w:pPr>
    </w:p>
    <w:p>
      <w:pPr>
        <w:ind w:left="3960"/>
        <w:spacing w:after="0"/>
        <w:rPr>
          <w:sz w:val="20"/>
          <w:szCs w:val="20"/>
          <w:color w:val="auto"/>
        </w:rPr>
      </w:pPr>
      <w:r>
        <w:rPr>
          <w:rFonts w:ascii="Courier New" w:cs="Courier New" w:eastAsia="Courier New" w:hAnsi="Courier New"/>
          <w:sz w:val="18"/>
          <w:szCs w:val="18"/>
          <w:color w:val="auto"/>
        </w:rPr>
        <w:t>192576106</w:t>
      </w:r>
    </w:p>
    <w:p>
      <w:pPr>
        <w:spacing w:after="0" w:line="2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December 31, 2018</w:t>
      </w:r>
    </w:p>
    <w:p>
      <w:pPr>
        <w:spacing w:after="0" w:line="12" w:lineRule="exact"/>
        <w:rPr>
          <w:sz w:val="24"/>
          <w:szCs w:val="24"/>
          <w:color w:val="auto"/>
        </w:rPr>
      </w:pPr>
    </w:p>
    <w:p>
      <w:pPr>
        <w:ind w:left="16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84" w:lineRule="exact"/>
        <w:rPr>
          <w:sz w:val="24"/>
          <w:szCs w:val="24"/>
          <w:color w:val="auto"/>
        </w:rPr>
      </w:pPr>
    </w:p>
    <w:p>
      <w:pPr>
        <w:ind w:left="100" w:right="639"/>
        <w:spacing w:after="0" w:line="26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49" w:lineRule="exact"/>
        <w:rPr>
          <w:sz w:val="24"/>
          <w:szCs w:val="24"/>
          <w:color w:val="auto"/>
        </w:rPr>
      </w:pPr>
    </w:p>
    <w:p>
      <w:pPr>
        <w:jc w:val="both"/>
        <w:ind w:left="100" w:right="7659" w:firstLine="4"/>
        <w:spacing w:after="0" w:line="221" w:lineRule="exact"/>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72" w:lineRule="exact"/>
        <w:rPr>
          <w:sz w:val="24"/>
          <w:szCs w:val="24"/>
          <w:color w:val="auto"/>
        </w:rPr>
      </w:pPr>
    </w:p>
    <w:p>
      <w:pPr>
        <w:ind w:left="100" w:right="85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ind w:left="100" w:right="53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-389890</wp:posOffset>
            </wp:positionH>
            <wp:positionV relativeFrom="paragraph">
              <wp:posOffset>353060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599"/>
          </w:cols>
          <w:pgMar w:left="860" w:top="960" w:right="1440" w:bottom="1440" w:gutter="0" w:footer="0" w:header="0"/>
          <w:type w:val="continuous"/>
        </w:sectPr>
      </w:pPr>
    </w:p>
    <w:bookmarkStart w:id="1" w:name="page2"/>
    <w:bookmarkEnd w:id="1"/>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7</w:t>
      </w:r>
    </w:p>
    <w:p>
      <w:pPr>
        <w:spacing w:after="0" w:line="298" w:lineRule="exact"/>
        <w:rPr>
          <w:sz w:val="20"/>
          <w:szCs w:val="20"/>
          <w:color w:val="auto"/>
        </w:rPr>
      </w:pPr>
    </w:p>
    <w:p>
      <w:pPr>
        <w:ind w:left="660" w:right="5819" w:hanging="556"/>
        <w:spacing w:after="0" w:line="572" w:lineRule="auto"/>
        <w:tabs>
          <w:tab w:leader="none" w:pos="65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Mutual Advisers, LLC</w:t>
      </w:r>
    </w:p>
    <w:p>
      <w:pPr>
        <w:ind w:left="640" w:hanging="536"/>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70" w:lineRule="exact"/>
        <w:rPr>
          <w:rFonts w:ascii="Courier New" w:cs="Courier New" w:eastAsia="Courier New" w:hAnsi="Courier New"/>
          <w:sz w:val="18"/>
          <w:szCs w:val="18"/>
          <w:color w:val="auto"/>
        </w:rPr>
      </w:pPr>
    </w:p>
    <w:p>
      <w:pPr>
        <w:spacing w:after="0"/>
        <w:tabs>
          <w:tab w:leader="none" w:pos="0" w:val="left"/>
        </w:tabs>
        <w:numPr>
          <w:ilvl w:val="1"/>
          <w:numId w:val="2"/>
        </w:numPr>
        <w:rPr>
          <w:rFonts w:ascii="Courier New" w:cs="Courier New" w:eastAsia="Courier New" w:hAnsi="Courier New"/>
          <w:sz w:val="18"/>
          <w:szCs w:val="18"/>
          <w:color w:val="auto"/>
        </w:rPr>
      </w:pPr>
    </w:p>
    <w:p>
      <w:pPr>
        <w:spacing w:after="0" w:line="23" w:lineRule="exact"/>
        <w:rPr>
          <w:rFonts w:ascii="Courier New" w:cs="Courier New" w:eastAsia="Courier New" w:hAnsi="Courier New"/>
          <w:sz w:val="18"/>
          <w:szCs w:val="18"/>
          <w:color w:val="auto"/>
        </w:rPr>
      </w:pPr>
    </w:p>
    <w:p>
      <w:pPr>
        <w:ind w:left="1080" w:hanging="426"/>
        <w:spacing w:after="0"/>
        <w:tabs>
          <w:tab w:leader="none" w:pos="10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640" w:hanging="536"/>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640" w:hanging="536"/>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1200" w:right="6559" w:hanging="546"/>
        <w:spacing w:after="0" w:line="554" w:lineRule="auto"/>
        <w:tabs>
          <w:tab w:leader="none" w:pos="119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3" w:lineRule="exact"/>
        <w:rPr>
          <w:rFonts w:ascii="Courier New" w:cs="Courier New" w:eastAsia="Courier New" w:hAnsi="Courier New"/>
          <w:sz w:val="18"/>
          <w:szCs w:val="18"/>
          <w:color w:val="auto"/>
        </w:rPr>
      </w:pPr>
    </w:p>
    <w:p>
      <w:pPr>
        <w:ind w:left="1200" w:right="6359" w:hanging="546"/>
        <w:spacing w:after="0" w:line="554" w:lineRule="auto"/>
        <w:tabs>
          <w:tab w:leader="none" w:pos="119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3" w:lineRule="exact"/>
        <w:rPr>
          <w:rFonts w:ascii="Courier New" w:cs="Courier New" w:eastAsia="Courier New" w:hAnsi="Courier New"/>
          <w:sz w:val="18"/>
          <w:szCs w:val="18"/>
          <w:color w:val="auto"/>
        </w:rPr>
      </w:pPr>
    </w:p>
    <w:p>
      <w:pPr>
        <w:ind w:left="1200" w:right="6019" w:hanging="546"/>
        <w:spacing w:after="0" w:line="554" w:lineRule="auto"/>
        <w:tabs>
          <w:tab w:leader="none" w:pos="119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3" w:lineRule="exact"/>
        <w:rPr>
          <w:rFonts w:ascii="Courier New" w:cs="Courier New" w:eastAsia="Courier New" w:hAnsi="Courier New"/>
          <w:sz w:val="18"/>
          <w:szCs w:val="18"/>
          <w:color w:val="auto"/>
        </w:rPr>
      </w:pPr>
    </w:p>
    <w:p>
      <w:pPr>
        <w:ind w:left="1200" w:right="5819" w:hanging="546"/>
        <w:spacing w:after="0" w:line="554" w:lineRule="auto"/>
        <w:tabs>
          <w:tab w:leader="none" w:pos="119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3" w:lineRule="exact"/>
        <w:rPr>
          <w:rFonts w:ascii="Courier New" w:cs="Courier New" w:eastAsia="Courier New" w:hAnsi="Courier New"/>
          <w:sz w:val="18"/>
          <w:szCs w:val="18"/>
          <w:color w:val="auto"/>
        </w:rPr>
      </w:pPr>
    </w:p>
    <w:p>
      <w:pPr>
        <w:ind w:left="560" w:right="2479" w:hanging="456"/>
        <w:spacing w:after="0" w:line="532" w:lineRule="auto"/>
        <w:tabs>
          <w:tab w:leader="none" w:pos="65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ind w:left="660" w:right="3659" w:hanging="556"/>
        <w:spacing w:after="0" w:line="267" w:lineRule="auto"/>
        <w:tabs>
          <w:tab w:leader="none" w:pos="65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6" w:lineRule="exact"/>
        <w:rPr>
          <w:rFonts w:ascii="Courier New" w:cs="Courier New" w:eastAsia="Courier New" w:hAnsi="Courier New"/>
          <w:sz w:val="18"/>
          <w:szCs w:val="18"/>
          <w:color w:val="auto"/>
        </w:rPr>
      </w:pPr>
    </w:p>
    <w:p>
      <w:pPr>
        <w:ind w:left="640" w:hanging="536"/>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rFonts w:ascii="Courier New" w:cs="Courier New" w:eastAsia="Courier New" w:hAnsi="Courier New"/>
          <w:sz w:val="18"/>
          <w:szCs w:val="18"/>
          <w:color w:val="auto"/>
        </w:rPr>
      </w:pPr>
    </w:p>
    <w:p>
      <w:pPr>
        <w:ind w:left="880" w:hanging="226"/>
        <w:spacing w:after="0"/>
        <w:tabs>
          <w:tab w:leader="none" w:pos="8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43" w:lineRule="exact"/>
        <w:rPr>
          <w:rFonts w:ascii="Courier New" w:cs="Courier New" w:eastAsia="Courier New" w:hAnsi="Courier New"/>
          <w:sz w:val="18"/>
          <w:szCs w:val="18"/>
          <w:color w:val="auto"/>
        </w:rPr>
      </w:pPr>
    </w:p>
    <w:p>
      <w:pPr>
        <w:ind w:left="660" w:right="6359" w:hanging="556"/>
        <w:spacing w:after="0" w:line="600" w:lineRule="auto"/>
        <w:tabs>
          <w:tab w:leader="none" w:pos="65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184785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599"/>
          </w:cols>
          <w:pgMar w:left="860" w:top="133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460" w:type="dxa"/>
            <w:vAlign w:val="bottom"/>
          </w:tcPr>
          <w:p>
            <w:pPr>
              <w:spacing w:after="0"/>
              <w:rPr>
                <w:sz w:val="20"/>
                <w:szCs w:val="20"/>
                <w:color w:val="auto"/>
              </w:rPr>
            </w:pPr>
            <w:r>
              <w:rPr>
                <w:rFonts w:ascii="Courier New" w:cs="Courier New" w:eastAsia="Courier New" w:hAnsi="Courier New"/>
                <w:sz w:val="18"/>
                <w:szCs w:val="18"/>
                <w:color w:val="auto"/>
              </w:rPr>
              <w:t>CUSIP NO.  192576106</w:t>
            </w:r>
          </w:p>
        </w:tc>
        <w:tc>
          <w:tcPr>
            <w:tcW w:w="3140" w:type="dxa"/>
            <w:vAlign w:val="bottom"/>
          </w:tcPr>
          <w:p>
            <w:pPr>
              <w:ind w:left="1300"/>
              <w:spacing w:after="0"/>
              <w:rPr>
                <w:sz w:val="20"/>
                <w:szCs w:val="20"/>
                <w:color w:val="auto"/>
              </w:rPr>
            </w:pPr>
            <w:r>
              <w:rPr>
                <w:rFonts w:ascii="Courier New" w:cs="Courier New" w:eastAsia="Courier New" w:hAnsi="Courier New"/>
                <w:sz w:val="18"/>
                <w:szCs w:val="18"/>
                <w:color w:val="auto"/>
              </w:rPr>
              <w:t>13G</w:t>
            </w:r>
          </w:p>
        </w:tc>
        <w:tc>
          <w:tcPr>
            <w:tcW w:w="2700" w:type="dxa"/>
            <w:vAlign w:val="bottom"/>
          </w:tcPr>
          <w:p>
            <w:pPr>
              <w:ind w:left="1500"/>
              <w:spacing w:after="0"/>
              <w:rPr>
                <w:sz w:val="20"/>
                <w:szCs w:val="20"/>
                <w:color w:val="auto"/>
              </w:rPr>
            </w:pPr>
            <w:r>
              <w:rPr>
                <w:rFonts w:ascii="Courier New" w:cs="Courier New" w:eastAsia="Courier New" w:hAnsi="Courier New"/>
                <w:sz w:val="18"/>
                <w:szCs w:val="18"/>
                <w:color w:val="auto"/>
                <w:w w:val="99"/>
              </w:rPr>
              <w:t>Page 3 of 7</w:t>
            </w:r>
          </w:p>
        </w:tc>
      </w:tr>
      <w:tr>
        <w:trPr>
          <w:trHeight w:val="500"/>
        </w:trPr>
        <w:tc>
          <w:tcPr>
            <w:tcW w:w="3460" w:type="dxa"/>
            <w:vAlign w:val="bottom"/>
          </w:tcPr>
          <w:p>
            <w:pPr>
              <w:ind w:left="100"/>
              <w:spacing w:after="0"/>
              <w:rPr>
                <w:sz w:val="20"/>
                <w:szCs w:val="20"/>
                <w:color w:val="auto"/>
              </w:rPr>
            </w:pPr>
            <w:r>
              <w:rPr>
                <w:rFonts w:ascii="Courier New" w:cs="Courier New" w:eastAsia="Courier New" w:hAnsi="Courier New"/>
                <w:sz w:val="18"/>
                <w:szCs w:val="18"/>
                <w:color w:val="auto"/>
              </w:rPr>
              <w:t>Item 1.</w:t>
            </w:r>
          </w:p>
        </w:tc>
        <w:tc>
          <w:tcPr>
            <w:tcW w:w="314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284" w:lineRule="exact"/>
        <w:rPr>
          <w:sz w:val="20"/>
          <w:szCs w:val="20"/>
          <w:color w:val="auto"/>
        </w:rPr>
      </w:pPr>
    </w:p>
    <w:p>
      <w:pPr>
        <w:ind w:left="700" w:right="7339" w:hanging="596"/>
        <w:spacing w:after="0" w:line="563" w:lineRule="auto"/>
        <w:tabs>
          <w:tab w:leader="none" w:pos="74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COHU, INC.</w:t>
      </w:r>
    </w:p>
    <w:p>
      <w:pPr>
        <w:ind w:left="760" w:hanging="656"/>
        <w:spacing w:after="0"/>
        <w:tabs>
          <w:tab w:leader="none" w:pos="7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00" w:right="5759" w:hanging="596"/>
        <w:spacing w:after="0" w:line="532" w:lineRule="auto"/>
        <w:tabs>
          <w:tab w:leader="none" w:pos="7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Franklin Mutual Advisers, LLC</w:t>
      </w:r>
    </w:p>
    <w:p>
      <w:pPr>
        <w:ind w:left="760" w:hanging="656"/>
        <w:spacing w:after="0"/>
        <w:tabs>
          <w:tab w:leader="none" w:pos="7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00" w:right="7659" w:hanging="596"/>
        <w:spacing w:after="0" w:line="532" w:lineRule="auto"/>
        <w:tabs>
          <w:tab w:leader="none" w:pos="7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jc w:val="both"/>
        <w:ind w:left="700" w:right="5759" w:hanging="596"/>
        <w:spacing w:after="0" w:line="532" w:lineRule="auto"/>
        <w:tabs>
          <w:tab w:leader="none" w:pos="7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$1.00 par value</w:t>
      </w:r>
    </w:p>
    <w:p>
      <w:pPr>
        <w:ind w:left="760" w:hanging="656"/>
        <w:spacing w:after="0"/>
        <w:tabs>
          <w:tab w:leader="none" w:pos="7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55"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350520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599"/>
          </w:cols>
          <w:pgMar w:left="860" w:top="1338" w:right="1440" w:bottom="1440" w:gutter="0" w:footer="0" w:header="0"/>
        </w:sectPr>
      </w:pPr>
    </w:p>
    <w:bookmarkStart w:id="3" w:name="page4"/>
    <w:bookmarkEnd w:id="3"/>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7</w:t>
      </w:r>
    </w:p>
    <w:p>
      <w:pPr>
        <w:spacing w:after="0" w:line="298" w:lineRule="exact"/>
        <w:rPr>
          <w:sz w:val="20"/>
          <w:szCs w:val="20"/>
          <w:color w:val="auto"/>
        </w:rPr>
      </w:pPr>
    </w:p>
    <w:p>
      <w:pPr>
        <w:ind w:left="900" w:right="320" w:hanging="799"/>
        <w:spacing w:after="0" w:line="222"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54" w:lineRule="exact"/>
        <w:rPr>
          <w:sz w:val="20"/>
          <w:szCs w:val="20"/>
          <w:color w:val="auto"/>
        </w:rPr>
      </w:pPr>
    </w:p>
    <w:p>
      <w:pPr>
        <w:ind w:left="1340" w:hanging="436"/>
        <w:spacing w:after="0"/>
        <w:tabs>
          <w:tab w:leader="none" w:pos="13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8o).</w:t>
      </w:r>
    </w:p>
    <w:p>
      <w:pPr>
        <w:spacing w:after="0" w:line="295" w:lineRule="exact"/>
        <w:rPr>
          <w:rFonts w:ascii="Courier New" w:cs="Courier New" w:eastAsia="Courier New" w:hAnsi="Courier New"/>
          <w:sz w:val="18"/>
          <w:szCs w:val="18"/>
          <w:color w:val="auto"/>
        </w:rPr>
      </w:pPr>
    </w:p>
    <w:p>
      <w:pPr>
        <w:ind w:left="1340" w:hanging="436"/>
        <w:spacing w:after="0"/>
        <w:tabs>
          <w:tab w:leader="none" w:pos="13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70" w:lineRule="exact"/>
        <w:rPr>
          <w:rFonts w:ascii="Courier New" w:cs="Courier New" w:eastAsia="Courier New" w:hAnsi="Courier New"/>
          <w:sz w:val="18"/>
          <w:szCs w:val="18"/>
          <w:color w:val="auto"/>
        </w:rPr>
      </w:pPr>
    </w:p>
    <w:p>
      <w:pPr>
        <w:ind w:left="1800" w:right="160" w:hanging="896"/>
        <w:spacing w:after="0" w:line="267" w:lineRule="auto"/>
        <w:tabs>
          <w:tab w:leader="none" w:pos="13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1800" w:right="60" w:hanging="896"/>
        <w:spacing w:after="0" w:line="215" w:lineRule="exact"/>
        <w:tabs>
          <w:tab w:leader="none" w:pos="13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 ] Investment company registered under section 8 of the Investment Company Act of 1940 (15 U.S.C 80a </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65" w:lineRule="exact"/>
        <w:rPr>
          <w:rFonts w:ascii="Courier New" w:cs="Courier New" w:eastAsia="Courier New" w:hAnsi="Courier New"/>
          <w:sz w:val="18"/>
          <w:szCs w:val="18"/>
          <w:color w:val="auto"/>
        </w:rPr>
      </w:pPr>
    </w:p>
    <w:p>
      <w:pPr>
        <w:ind w:left="1340" w:hanging="436"/>
        <w:spacing w:after="0" w:line="209" w:lineRule="exact"/>
        <w:tabs>
          <w:tab w:leader="none" w:pos="13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68" w:lineRule="exact"/>
        <w:rPr>
          <w:rFonts w:ascii="Courier New" w:cs="Courier New" w:eastAsia="Courier New" w:hAnsi="Courier New"/>
          <w:sz w:val="18"/>
          <w:szCs w:val="18"/>
          <w:color w:val="auto"/>
        </w:rPr>
      </w:pPr>
    </w:p>
    <w:p>
      <w:pPr>
        <w:ind w:left="1340" w:hanging="436"/>
        <w:spacing w:after="0"/>
        <w:tabs>
          <w:tab w:leader="none" w:pos="13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8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71" w:lineRule="exact"/>
        <w:rPr>
          <w:sz w:val="20"/>
          <w:szCs w:val="20"/>
          <w:color w:val="auto"/>
        </w:rPr>
      </w:pPr>
    </w:p>
    <w:p>
      <w:pPr>
        <w:ind w:left="1800" w:right="1140" w:hanging="896"/>
        <w:spacing w:after="0" w:line="215" w:lineRule="exact"/>
        <w:tabs>
          <w:tab w:leader="none" w:pos="13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72" w:lineRule="exact"/>
        <w:rPr>
          <w:rFonts w:ascii="Courier New" w:cs="Courier New" w:eastAsia="Courier New" w:hAnsi="Courier New"/>
          <w:sz w:val="18"/>
          <w:szCs w:val="18"/>
          <w:color w:val="auto"/>
        </w:rPr>
      </w:pPr>
    </w:p>
    <w:p>
      <w:pPr>
        <w:ind w:left="1800" w:right="820" w:hanging="896"/>
        <w:spacing w:after="0" w:line="267" w:lineRule="auto"/>
        <w:tabs>
          <w:tab w:leader="none" w:pos="13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1800" w:right="460" w:hanging="896"/>
        <w:spacing w:after="0" w:line="221" w:lineRule="exact"/>
        <w:tabs>
          <w:tab w:leader="none" w:pos="13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64" w:lineRule="exact"/>
        <w:rPr>
          <w:rFonts w:ascii="Courier New" w:cs="Courier New" w:eastAsia="Courier New" w:hAnsi="Courier New"/>
          <w:sz w:val="18"/>
          <w:szCs w:val="18"/>
          <w:color w:val="auto"/>
        </w:rPr>
      </w:pPr>
    </w:p>
    <w:p>
      <w:pPr>
        <w:ind w:left="1340" w:hanging="436"/>
        <w:spacing w:after="0" w:line="209" w:lineRule="exact"/>
        <w:tabs>
          <w:tab w:leader="none" w:pos="13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3" w:lineRule="exact"/>
        <w:rPr>
          <w:rFonts w:ascii="Courier New" w:cs="Courier New" w:eastAsia="Courier New" w:hAnsi="Courier New"/>
          <w:sz w:val="18"/>
          <w:szCs w:val="18"/>
          <w:color w:val="auto"/>
        </w:rPr>
      </w:pPr>
    </w:p>
    <w:p>
      <w:pPr>
        <w:ind w:left="1340" w:hanging="436"/>
        <w:spacing w:after="0" w:line="209" w:lineRule="exact"/>
        <w:tabs>
          <w:tab w:leader="none" w:pos="13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1(b)(1)(ii)(K).</w:t>
      </w:r>
    </w:p>
    <w:p>
      <w:pPr>
        <w:spacing w:after="0" w:line="271" w:lineRule="exact"/>
        <w:rPr>
          <w:sz w:val="20"/>
          <w:szCs w:val="20"/>
          <w:color w:val="auto"/>
        </w:rPr>
      </w:pPr>
    </w:p>
    <w:p>
      <w:pPr>
        <w:ind w:left="900" w:right="160"/>
        <w:spacing w:after="0" w:line="215"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4. Ownership</w:t>
      </w:r>
    </w:p>
    <w:p>
      <w:pPr>
        <w:spacing w:after="0" w:line="271" w:lineRule="exact"/>
        <w:rPr>
          <w:sz w:val="20"/>
          <w:szCs w:val="20"/>
          <w:color w:val="auto"/>
        </w:rPr>
      </w:pPr>
    </w:p>
    <w:p>
      <w:pPr>
        <w:ind w:left="100"/>
        <w:spacing w:after="0" w:line="227"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Franklin Mutual Advisers, LLC ("FMA"), an indirect wholly owned subsidiary of Franklin Resources, Inc. ("FRI").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FMA investment discretion or voting power over the securities held in the investment advisory accounts that are subject to that agreement, FRI treats FMA as having sole investment discretion or voting authority, as the case may be, unless the agreement specifies otherwise. Accordingly, FMA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FMA may be deemed to be the beneficial owner of the securities reported in this Schedule 13G.</w:t>
      </w:r>
    </w:p>
    <w:p>
      <w:pPr>
        <w:spacing w:after="0" w:line="280" w:lineRule="exact"/>
        <w:rPr>
          <w:sz w:val="20"/>
          <w:szCs w:val="20"/>
          <w:color w:val="auto"/>
        </w:rPr>
      </w:pPr>
    </w:p>
    <w:p>
      <w:pPr>
        <w:ind w:left="100"/>
        <w:spacing w:after="0" w:line="227" w:lineRule="exact"/>
        <w:rPr>
          <w:sz w:val="20"/>
          <w:szCs w:val="20"/>
          <w:color w:val="auto"/>
        </w:rPr>
      </w:pPr>
      <w:r>
        <w:rPr>
          <w:rFonts w:ascii="Courier New" w:cs="Courier New" w:eastAsia="Courier New" w:hAnsi="Courier New"/>
          <w:sz w:val="17"/>
          <w:szCs w:val="17"/>
          <w:color w:val="auto"/>
        </w:rPr>
        <w:t>Beneficial ownership by investment management subsidiaries and other affiliates of FRI is being reported in conformity with the guidelines articulated by the SEC staff in Release No. 34</w:t>
      </w:r>
      <w:r>
        <w:rPr>
          <w:rFonts w:ascii="MS Gothic" w:cs="MS Gothic" w:eastAsia="MS Gothic" w:hAnsi="MS Gothic"/>
          <w:sz w:val="17"/>
          <w:szCs w:val="17"/>
          <w:color w:val="auto"/>
        </w:rPr>
        <w:t>‑</w:t>
      </w:r>
      <w:r>
        <w:rPr>
          <w:rFonts w:ascii="Courier New" w:cs="Courier New" w:eastAsia="Courier New" w:hAnsi="Courier New"/>
          <w:sz w:val="17"/>
          <w:szCs w:val="17"/>
          <w:color w:val="auto"/>
        </w:rPr>
        <w:t>39538 (January 12, 1998) relating to organizations, such as FRI, where related entities exercise voting and investment powers over the securities being reported independently from each other. The voting and investment powers held by FMA are exercised independently from FRI (FMA’s parent holding company) and from all other investment management subsidiaries of FRI (FRI, its affiliates and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w:t>
      </w:r>
    </w:p>
    <w:p>
      <w:pPr>
        <w:sectPr>
          <w:pgSz w:w="11900" w:h="16838" w:orient="portrait"/>
          <w:cols w:equalWidth="0" w:num="1">
            <w:col w:w="9600"/>
          </w:cols>
          <w:pgMar w:left="860" w:top="1338" w:right="1439"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213360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499"/>
          </w:cols>
          <w:pgMar w:left="960" w:top="150" w:right="1440" w:bottom="1440" w:gutter="0" w:footer="0" w:header="0"/>
        </w:sectPr>
      </w:pPr>
    </w:p>
    <w:bookmarkStart w:id="5" w:name="page6"/>
    <w:bookmarkEnd w:id="5"/>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7</w:t>
      </w:r>
    </w:p>
    <w:p>
      <w:pPr>
        <w:spacing w:after="0" w:line="298" w:lineRule="exact"/>
        <w:rPr>
          <w:sz w:val="20"/>
          <w:szCs w:val="20"/>
          <w:color w:val="auto"/>
        </w:rPr>
      </w:pPr>
    </w:p>
    <w:p>
      <w:pPr>
        <w:ind w:left="100"/>
        <w:spacing w:after="0" w:line="228"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However, because FMA exercises voting and investment powers on behalf of its investment management clients independently of FRI, beneficial ownership of the securities reported by FMA is not attributed to the Principal Shareholders. FMA disclaims any pecuniary interest in any of the securities reported in this Schedule 13G. In addition, the filing of this Schedule 13G on behalf of FMA should not be construed as an admission that it is, and it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such securities.</w:t>
      </w:r>
    </w:p>
    <w:p>
      <w:pPr>
        <w:spacing w:after="0" w:line="316" w:lineRule="exact"/>
        <w:rPr>
          <w:sz w:val="20"/>
          <w:szCs w:val="20"/>
          <w:color w:val="auto"/>
        </w:rPr>
      </w:pPr>
    </w:p>
    <w:p>
      <w:pPr>
        <w:ind w:left="100" w:right="100"/>
        <w:spacing w:after="0" w:line="230" w:lineRule="exact"/>
        <w:rPr>
          <w:sz w:val="20"/>
          <w:szCs w:val="20"/>
          <w:color w:val="auto"/>
        </w:rPr>
      </w:pPr>
      <w:r>
        <w:rPr>
          <w:rFonts w:ascii="Courier New" w:cs="Courier New" w:eastAsia="Courier New" w:hAnsi="Courier New"/>
          <w:sz w:val="18"/>
          <w:szCs w:val="18"/>
          <w:color w:val="auto"/>
        </w:rPr>
        <w:t>Furthermore, FMA believes that it is not a "group" with FRI, the Principal Shareholders, or their respective affiliates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none of them is otherwise required to attribute to any other the beneficial ownership of the securities held by such person or by any persons or entities for whom or for which FMA or the FRI affiliates provide investment management services.</w:t>
      </w:r>
    </w:p>
    <w:p>
      <w:pPr>
        <w:spacing w:after="0" w:line="269" w:lineRule="exact"/>
        <w:rPr>
          <w:sz w:val="20"/>
          <w:szCs w:val="20"/>
          <w:color w:val="auto"/>
        </w:rPr>
      </w:pPr>
    </w:p>
    <w:p>
      <w:pPr>
        <w:ind w:left="1160" w:hanging="856"/>
        <w:spacing w:after="0"/>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55" w:lineRule="exact"/>
        <w:rPr>
          <w:rFonts w:ascii="Courier New" w:cs="Courier New" w:eastAsia="Courier New" w:hAnsi="Courier New"/>
          <w:sz w:val="18"/>
          <w:szCs w:val="18"/>
          <w:color w:val="auto"/>
        </w:rPr>
      </w:pPr>
    </w:p>
    <w:p>
      <w:pPr>
        <w:ind w:left="1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41" w:lineRule="exact"/>
        <w:rPr>
          <w:rFonts w:ascii="Courier New" w:cs="Courier New" w:eastAsia="Courier New" w:hAnsi="Courier New"/>
          <w:sz w:val="18"/>
          <w:szCs w:val="18"/>
          <w:color w:val="auto"/>
        </w:rPr>
      </w:pPr>
    </w:p>
    <w:p>
      <w:pPr>
        <w:ind w:left="1160" w:hanging="856"/>
        <w:spacing w:after="0"/>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0.0%</w:t>
      </w:r>
    </w:p>
    <w:p>
      <w:pPr>
        <w:spacing w:after="0" w:line="242" w:lineRule="exact"/>
        <w:rPr>
          <w:sz w:val="20"/>
          <w:szCs w:val="20"/>
          <w:color w:val="auto"/>
        </w:rPr>
      </w:pPr>
    </w:p>
    <w:p>
      <w:pPr>
        <w:ind w:left="1160" w:hanging="856"/>
        <w:spacing w:after="0"/>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9" w:lineRule="exact"/>
        <w:rPr>
          <w:sz w:val="20"/>
          <w:szCs w:val="20"/>
          <w:color w:val="auto"/>
        </w:rPr>
      </w:pPr>
    </w:p>
    <w:p>
      <w:pPr>
        <w:ind w:left="1520" w:hanging="758"/>
        <w:spacing w:after="0"/>
        <w:tabs>
          <w:tab w:leader="none" w:pos="15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55" w:lineRule="exact"/>
        <w:rPr>
          <w:sz w:val="20"/>
          <w:szCs w:val="20"/>
          <w:color w:val="auto"/>
        </w:rPr>
      </w:pPr>
    </w:p>
    <w:tbl>
      <w:tblPr>
        <w:tblLayout w:type="fixed"/>
        <w:tblInd w:w="1400" w:type="dxa"/>
        <w:tblCellMar>
          <w:top w:w="0" w:type="dxa"/>
          <w:left w:w="0" w:type="dxa"/>
          <w:bottom w:w="0" w:type="dxa"/>
          <w:right w:w="0" w:type="dxa"/>
        </w:tblCellMar>
      </w:tblPr>
      <w:tr>
        <w:trPr>
          <w:trHeight w:val="204"/>
        </w:trPr>
        <w:tc>
          <w:tcPr>
            <w:tcW w:w="5400" w:type="dxa"/>
            <w:vAlign w:val="bottom"/>
          </w:tcPr>
          <w:p>
            <w:pPr>
              <w:spacing w:after="0"/>
              <w:rPr>
                <w:sz w:val="20"/>
                <w:szCs w:val="20"/>
                <w:color w:val="auto"/>
              </w:rPr>
            </w:pPr>
            <w:r>
              <w:rPr>
                <w:rFonts w:ascii="Courier New" w:cs="Courier New" w:eastAsia="Courier New" w:hAnsi="Courier New"/>
                <w:sz w:val="18"/>
                <w:szCs w:val="18"/>
                <w:color w:val="auto"/>
              </w:rPr>
              <w:t>Franklin Mutual Advisers, LLC:</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42" w:lineRule="exact"/>
        <w:rPr>
          <w:sz w:val="20"/>
          <w:szCs w:val="20"/>
          <w:color w:val="auto"/>
        </w:rPr>
      </w:pPr>
    </w:p>
    <w:p>
      <w:pPr>
        <w:ind w:left="1520" w:hanging="858"/>
        <w:spacing w:after="0"/>
        <w:tabs>
          <w:tab w:leader="none" w:pos="15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55" w:lineRule="exact"/>
        <w:rPr>
          <w:rFonts w:ascii="Courier New" w:cs="Courier New" w:eastAsia="Courier New" w:hAnsi="Courier New"/>
          <w:sz w:val="18"/>
          <w:szCs w:val="18"/>
          <w:color w:val="auto"/>
        </w:rPr>
      </w:pPr>
    </w:p>
    <w:p>
      <w:pPr>
        <w:ind w:left="14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41" w:lineRule="exact"/>
        <w:rPr>
          <w:rFonts w:ascii="Courier New" w:cs="Courier New" w:eastAsia="Courier New" w:hAnsi="Courier New"/>
          <w:sz w:val="18"/>
          <w:szCs w:val="18"/>
          <w:color w:val="auto"/>
        </w:rPr>
      </w:pPr>
    </w:p>
    <w:p>
      <w:pPr>
        <w:ind w:left="1540" w:hanging="978"/>
        <w:spacing w:after="0"/>
        <w:tabs>
          <w:tab w:leader="none" w:pos="1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55" w:lineRule="exact"/>
        <w:rPr>
          <w:sz w:val="20"/>
          <w:szCs w:val="20"/>
          <w:color w:val="auto"/>
        </w:rPr>
      </w:pPr>
    </w:p>
    <w:tbl>
      <w:tblPr>
        <w:tblLayout w:type="fixed"/>
        <w:tblInd w:w="1400" w:type="dxa"/>
        <w:tblCellMar>
          <w:top w:w="0" w:type="dxa"/>
          <w:left w:w="0" w:type="dxa"/>
          <w:bottom w:w="0" w:type="dxa"/>
          <w:right w:w="0" w:type="dxa"/>
        </w:tblCellMar>
      </w:tblPr>
      <w:tr>
        <w:trPr>
          <w:trHeight w:val="204"/>
        </w:trPr>
        <w:tc>
          <w:tcPr>
            <w:tcW w:w="5400" w:type="dxa"/>
            <w:vAlign w:val="bottom"/>
          </w:tcPr>
          <w:p>
            <w:pPr>
              <w:spacing w:after="0"/>
              <w:rPr>
                <w:sz w:val="20"/>
                <w:szCs w:val="20"/>
                <w:color w:val="auto"/>
              </w:rPr>
            </w:pPr>
            <w:r>
              <w:rPr>
                <w:rFonts w:ascii="Courier New" w:cs="Courier New" w:eastAsia="Courier New" w:hAnsi="Courier New"/>
                <w:sz w:val="18"/>
                <w:szCs w:val="18"/>
                <w:color w:val="auto"/>
              </w:rPr>
              <w:t>Franklin Mutual Advisers, LLC:</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42" w:lineRule="exact"/>
        <w:rPr>
          <w:sz w:val="20"/>
          <w:szCs w:val="20"/>
          <w:color w:val="auto"/>
        </w:rPr>
      </w:pPr>
    </w:p>
    <w:p>
      <w:pPr>
        <w:ind w:left="1520" w:hanging="858"/>
        <w:spacing w:after="0"/>
        <w:tabs>
          <w:tab w:leader="none" w:pos="15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55"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0</w:t>
      </w:r>
    </w:p>
    <w:p>
      <w:pPr>
        <w:spacing w:after="0" w:line="24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71" w:lineRule="exact"/>
        <w:rPr>
          <w:sz w:val="20"/>
          <w:szCs w:val="20"/>
          <w:color w:val="auto"/>
        </w:rPr>
      </w:pPr>
    </w:p>
    <w:p>
      <w:pPr>
        <w:ind w:left="900" w:right="280"/>
        <w:spacing w:after="0" w:line="269"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4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71" w:lineRule="exact"/>
        <w:rPr>
          <w:sz w:val="20"/>
          <w:szCs w:val="20"/>
          <w:color w:val="auto"/>
        </w:rPr>
      </w:pPr>
    </w:p>
    <w:p>
      <w:pPr>
        <w:ind w:left="900" w:right="160"/>
        <w:spacing w:after="0" w:line="269" w:lineRule="auto"/>
        <w:rPr>
          <w:sz w:val="20"/>
          <w:szCs w:val="20"/>
          <w:color w:val="auto"/>
        </w:rPr>
      </w:pPr>
      <w:r>
        <w:rPr>
          <w:rFonts w:ascii="Courier New" w:cs="Courier New" w:eastAsia="Courier New" w:hAnsi="Courier New"/>
          <w:sz w:val="18"/>
          <w:szCs w:val="18"/>
          <w:color w:val="auto"/>
        </w:rPr>
        <w:t>The clients of Franklin Mutual Advisers, LLC,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353060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600"/>
          </w:cols>
          <w:pgMar w:left="860" w:top="1352" w:right="1439" w:bottom="1440" w:gutter="0" w:footer="0" w:header="0"/>
        </w:sectPr>
      </w:pPr>
    </w:p>
    <w:bookmarkStart w:id="6" w:name="page7"/>
    <w:bookmarkEnd w:id="6"/>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7</w:t>
      </w:r>
    </w:p>
    <w:p>
      <w:pPr>
        <w:sectPr>
          <w:pgSz w:w="11900" w:h="16838" w:orient="portrait"/>
          <w:cols w:equalWidth="0" w:num="1">
            <w:col w:w="9599"/>
          </w:cols>
          <w:pgMar w:left="860" w:top="1379" w:right="1440" w:bottom="1440" w:gutter="0" w:footer="0" w:header="0"/>
        </w:sectPr>
      </w:pPr>
    </w:p>
    <w:p>
      <w:pPr>
        <w:spacing w:after="0" w:line="338" w:lineRule="exact"/>
        <w:rPr>
          <w:sz w:val="20"/>
          <w:szCs w:val="20"/>
          <w:color w:val="auto"/>
        </w:rPr>
      </w:pPr>
    </w:p>
    <w:p>
      <w:pPr>
        <w:ind w:left="900" w:right="1079" w:hanging="799"/>
        <w:spacing w:after="0" w:line="283"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33"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69"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69"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367665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599"/>
          </w:cols>
          <w:pgMar w:left="860" w:top="1379" w:right="1440" w:bottom="1440" w:gutter="0" w:footer="0" w:header="0"/>
          <w:type w:val="continuous"/>
        </w:sectPr>
      </w:pPr>
    </w:p>
    <w:bookmarkStart w:id="7" w:name="page8"/>
    <w:bookmarkEnd w:id="7"/>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7</w:t>
      </w:r>
    </w:p>
    <w:p>
      <w:pPr>
        <w:spacing w:after="0" w:line="29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10. Certification</w:t>
      </w:r>
    </w:p>
    <w:p>
      <w:pPr>
        <w:spacing w:after="0" w:line="284" w:lineRule="exact"/>
        <w:rPr>
          <w:sz w:val="20"/>
          <w:szCs w:val="20"/>
          <w:color w:val="auto"/>
        </w:rPr>
      </w:pPr>
    </w:p>
    <w:p>
      <w:pPr>
        <w:ind w:left="100"/>
        <w:spacing w:after="0" w:line="269"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left="100" w:right="100"/>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7"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January 22, 2019.</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Franklin Mutual Advisers, LLC</w:t>
      </w:r>
    </w:p>
    <w:p>
      <w:pPr>
        <w:spacing w:after="0" w:line="242" w:lineRule="exact"/>
        <w:rPr>
          <w:sz w:val="20"/>
          <w:szCs w:val="20"/>
          <w:color w:val="auto"/>
        </w:rPr>
      </w:pPr>
    </w:p>
    <w:p>
      <w:pPr>
        <w:ind w:left="100"/>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28"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Steven J. Gray</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Assistant Secretary of Franklin Mutual Advisers, LLC</w:t>
      </w:r>
    </w:p>
    <w:sectPr>
      <w:pgSz w:w="11900" w:h="16838" w:orient="portrait"/>
      <w:cols w:equalWidth="0" w:num="1">
        <w:col w:w="9600"/>
      </w:cols>
      <w:pgMar w:left="860" w:top="1338"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1"/>
    </w:lvl>
    <w:lvl w:ilvl="1">
      <w:lvlJc w:val="left"/>
      <w:lvlText w:val="%2."/>
      <w:numFmt w:val="decimal"/>
      <w:start w:val="5"/>
    </w:lvl>
  </w:abstractNum>
  <w:abstractNum w:abstractNumId="3">
    <w:nsid w:val="5BD062C2"/>
    <w:multiLevelType w:val="hybridMultilevel"/>
    <w:lvl w:ilvl="0">
      <w:lvlJc w:val="left"/>
      <w:lvlText w:val="%1."/>
      <w:numFmt w:val="decimal"/>
      <w:start w:val="9"/>
    </w:lvl>
    <w:lvl w:ilvl="1">
      <w:lvlJc w:val="left"/>
      <w:lvlText w:val="%2."/>
      <w:numFmt w:val="decimal"/>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3"/>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7"/>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1)"/>
      <w:numFmt w:val="lowerRoman"/>
      <w:start w:val="1"/>
    </w:lvl>
  </w:abstractNum>
  <w:abstractNum w:abstractNumId="12">
    <w:nsid w:val="109CF92E"/>
    <w:multiLevelType w:val="hybridMultilevel"/>
    <w:lvl w:ilvl="0">
      <w:lvlJc w:val="left"/>
      <w:lvlText w:val="(%1)"/>
      <w:numFmt w:val="lowerRoman"/>
      <w:start w:val="2"/>
    </w:lvl>
  </w:abstractNum>
  <w:abstractNum w:abstractNumId="13">
    <w:nsid w:val="DED7263"/>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2019-12-04T23:07:38Z</dcterms:created>
  <dcterms:modified xsi:type="dcterms:W3CDTF">2019-12-04T23:07:38Z</dcterms:modified>
</cp:coreProperties>
</file>