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83" w:lineRule="exact"/>
        <w:rPr>
          <w:sz w:val="20"/>
          <w:szCs w:val="20"/>
          <w:color w:val="auto"/>
        </w:rPr>
      </w:pPr>
    </w:p>
    <w:p>
      <w:pPr>
        <w:ind w:left="700" w:right="3960" w:hanging="692"/>
        <w:spacing w:after="0" w:line="275" w:lineRule="auto"/>
        <w:tabs>
          <w:tab w:leader="none" w:pos="7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68" w:lineRule="exact"/>
        <w:rPr>
          <w:sz w:val="20"/>
          <w:szCs w:val="20"/>
          <w:color w:val="auto"/>
        </w:rPr>
      </w:pPr>
    </w:p>
    <w:p>
      <w:pPr>
        <w:ind w:left="700" w:right="3940" w:hanging="692"/>
        <w:spacing w:after="0" w:line="275" w:lineRule="auto"/>
        <w:tabs>
          <w:tab w:leader="none" w:pos="15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1-4298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168275</wp:posOffset>
            </wp:positionV>
            <wp:extent cx="36449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80" w:type="dxa"/>
            <w:vAlign w:val="bottom"/>
            <w:gridSpan w:val="4"/>
          </w:tcPr>
          <w:p>
            <w:pPr>
              <w:ind w:left="3900"/>
              <w:spacing w:after="0"/>
              <w:rPr>
                <w:sz w:val="20"/>
                <w:szCs w:val="20"/>
                <w:color w:val="auto"/>
              </w:rPr>
            </w:pPr>
            <w:r>
              <w:rPr>
                <w:rFonts w:ascii="Arial" w:cs="Arial" w:eastAsia="Arial" w:hAnsi="Arial"/>
                <w:sz w:val="18"/>
                <w:szCs w:val="18"/>
                <w:color w:val="auto"/>
                <w:w w:val="89"/>
              </w:rPr>
              <w:t>(Exact name of registrant as specified in its charter)</w:t>
            </w:r>
          </w:p>
        </w:tc>
        <w:tc>
          <w:tcPr>
            <w:tcW w:w="3840" w:type="dxa"/>
            <w:vAlign w:val="bottom"/>
          </w:tcPr>
          <w:p>
            <w:pPr>
              <w:spacing w:after="0"/>
              <w:rPr>
                <w:sz w:val="19"/>
                <w:szCs w:val="19"/>
                <w:color w:val="auto"/>
              </w:rPr>
            </w:pPr>
          </w:p>
        </w:tc>
      </w:tr>
      <w:tr>
        <w:trPr>
          <w:trHeight w:val="459"/>
        </w:trPr>
        <w:tc>
          <w:tcPr>
            <w:tcW w:w="7580" w:type="dxa"/>
            <w:vAlign w:val="bottom"/>
            <w:gridSpan w:val="4"/>
          </w:tcPr>
          <w:p>
            <w:pPr>
              <w:jc w:val="center"/>
              <w:ind w:right="1740"/>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center"/>
              <w:ind w:right="1072"/>
              <w:spacing w:after="0"/>
              <w:rPr>
                <w:sz w:val="20"/>
                <w:szCs w:val="20"/>
                <w:color w:val="auto"/>
              </w:rPr>
            </w:pPr>
            <w:r>
              <w:rPr>
                <w:rFonts w:ascii="Arial" w:cs="Arial" w:eastAsia="Arial" w:hAnsi="Arial"/>
                <w:sz w:val="18"/>
                <w:szCs w:val="18"/>
                <w:b w:val="1"/>
                <w:bCs w:val="1"/>
                <w:color w:val="auto"/>
                <w:w w:val="87"/>
              </w:rPr>
              <w:t>95-1934119</w:t>
            </w:r>
          </w:p>
        </w:tc>
      </w:tr>
      <w:tr>
        <w:trPr>
          <w:trHeight w:val="104"/>
        </w:trPr>
        <w:tc>
          <w:tcPr>
            <w:tcW w:w="5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16"/>
        </w:trPr>
        <w:tc>
          <w:tcPr>
            <w:tcW w:w="7580" w:type="dxa"/>
            <w:vAlign w:val="bottom"/>
            <w:gridSpan w:val="4"/>
          </w:tcPr>
          <w:p>
            <w:pPr>
              <w:jc w:val="center"/>
              <w:ind w:right="1740"/>
              <w:spacing w:after="0"/>
              <w:rPr>
                <w:sz w:val="20"/>
                <w:szCs w:val="20"/>
                <w:color w:val="auto"/>
              </w:rPr>
            </w:pPr>
            <w:r>
              <w:rPr>
                <w:rFonts w:ascii="Arial" w:cs="Arial" w:eastAsia="Arial" w:hAnsi="Arial"/>
                <w:sz w:val="18"/>
                <w:szCs w:val="18"/>
                <w:color w:val="auto"/>
                <w:w w:val="90"/>
              </w:rPr>
              <w:t>(State or other jurisdiction of</w:t>
            </w:r>
          </w:p>
        </w:tc>
        <w:tc>
          <w:tcPr>
            <w:tcW w:w="3840" w:type="dxa"/>
            <w:vAlign w:val="bottom"/>
          </w:tcPr>
          <w:p>
            <w:pPr>
              <w:jc w:val="center"/>
              <w:ind w:right="107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7580" w:type="dxa"/>
            <w:vAlign w:val="bottom"/>
            <w:gridSpan w:val="4"/>
          </w:tcPr>
          <w:p>
            <w:pPr>
              <w:jc w:val="center"/>
              <w:ind w:right="1740"/>
              <w:spacing w:after="0"/>
              <w:rPr>
                <w:sz w:val="20"/>
                <w:szCs w:val="20"/>
                <w:color w:val="auto"/>
              </w:rPr>
            </w:pPr>
            <w:r>
              <w:rPr>
                <w:rFonts w:ascii="Arial" w:cs="Arial" w:eastAsia="Arial" w:hAnsi="Arial"/>
                <w:sz w:val="18"/>
                <w:szCs w:val="18"/>
                <w:color w:val="auto"/>
                <w:w w:val="90"/>
              </w:rPr>
              <w:t>Incorporation or Organization)</w:t>
            </w:r>
          </w:p>
        </w:tc>
        <w:tc>
          <w:tcPr>
            <w:tcW w:w="3840" w:type="dxa"/>
            <w:vAlign w:val="bottom"/>
          </w:tcPr>
          <w:p>
            <w:pPr>
              <w:spacing w:after="0"/>
              <w:rPr>
                <w:sz w:val="19"/>
                <w:szCs w:val="19"/>
                <w:color w:val="auto"/>
              </w:rPr>
            </w:pPr>
          </w:p>
        </w:tc>
      </w:tr>
      <w:tr>
        <w:trPr>
          <w:trHeight w:val="459"/>
        </w:trPr>
        <w:tc>
          <w:tcPr>
            <w:tcW w:w="7580" w:type="dxa"/>
            <w:vAlign w:val="bottom"/>
            <w:gridSpan w:val="4"/>
          </w:tcPr>
          <w:p>
            <w:pPr>
              <w:jc w:val="center"/>
              <w:ind w:right="1740"/>
              <w:spacing w:after="0"/>
              <w:rPr>
                <w:sz w:val="20"/>
                <w:szCs w:val="20"/>
                <w:color w:val="auto"/>
              </w:rPr>
            </w:pPr>
            <w:r>
              <w:rPr>
                <w:rFonts w:ascii="Arial" w:cs="Arial" w:eastAsia="Arial" w:hAnsi="Arial"/>
                <w:sz w:val="18"/>
                <w:szCs w:val="18"/>
                <w:b w:val="1"/>
                <w:bCs w:val="1"/>
                <w:color w:val="auto"/>
                <w:w w:val="88"/>
              </w:rPr>
              <w:t>12367 Crosthwaite Circle, Poway, California</w:t>
            </w:r>
          </w:p>
        </w:tc>
        <w:tc>
          <w:tcPr>
            <w:tcW w:w="3840" w:type="dxa"/>
            <w:vAlign w:val="bottom"/>
          </w:tcPr>
          <w:p>
            <w:pPr>
              <w:jc w:val="center"/>
              <w:ind w:right="1072"/>
              <w:spacing w:after="0"/>
              <w:rPr>
                <w:sz w:val="20"/>
                <w:szCs w:val="20"/>
                <w:color w:val="auto"/>
              </w:rPr>
            </w:pPr>
            <w:r>
              <w:rPr>
                <w:rFonts w:ascii="Arial" w:cs="Arial" w:eastAsia="Arial" w:hAnsi="Arial"/>
                <w:sz w:val="18"/>
                <w:szCs w:val="18"/>
                <w:b w:val="1"/>
                <w:bCs w:val="1"/>
                <w:color w:val="auto"/>
                <w:w w:val="87"/>
              </w:rPr>
              <w:t>92064-6817</w:t>
            </w:r>
          </w:p>
        </w:tc>
      </w:tr>
      <w:tr>
        <w:trPr>
          <w:trHeight w:val="104"/>
        </w:trPr>
        <w:tc>
          <w:tcPr>
            <w:tcW w:w="5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760" w:type="dxa"/>
            <w:vAlign w:val="bottom"/>
            <w:gridSpan w:val="2"/>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r>
      <w:tr>
        <w:trPr>
          <w:trHeight w:val="322"/>
        </w:trPr>
        <w:tc>
          <w:tcPr>
            <w:tcW w:w="7580" w:type="dxa"/>
            <w:vAlign w:val="bottom"/>
            <w:gridSpan w:val="4"/>
          </w:tcPr>
          <w:p>
            <w:pPr>
              <w:jc w:val="center"/>
              <w:ind w:right="1740"/>
              <w:spacing w:after="0"/>
              <w:rPr>
                <w:sz w:val="20"/>
                <w:szCs w:val="20"/>
                <w:color w:val="auto"/>
              </w:rPr>
            </w:pPr>
            <w:r>
              <w:rPr>
                <w:rFonts w:ascii="Arial" w:cs="Arial" w:eastAsia="Arial" w:hAnsi="Arial"/>
                <w:sz w:val="18"/>
                <w:szCs w:val="18"/>
                <w:color w:val="auto"/>
                <w:w w:val="90"/>
              </w:rPr>
              <w:t>(Address of principal executive office)</w:t>
            </w:r>
          </w:p>
        </w:tc>
        <w:tc>
          <w:tcPr>
            <w:tcW w:w="3840" w:type="dxa"/>
            <w:vAlign w:val="bottom"/>
          </w:tcPr>
          <w:p>
            <w:pPr>
              <w:jc w:val="center"/>
              <w:ind w:right="1092"/>
              <w:spacing w:after="0"/>
              <w:rPr>
                <w:sz w:val="20"/>
                <w:szCs w:val="20"/>
                <w:color w:val="auto"/>
              </w:rPr>
            </w:pPr>
            <w:r>
              <w:rPr>
                <w:rFonts w:ascii="Arial" w:cs="Arial" w:eastAsia="Arial" w:hAnsi="Arial"/>
                <w:sz w:val="18"/>
                <w:szCs w:val="18"/>
                <w:color w:val="auto"/>
                <w:w w:val="91"/>
              </w:rPr>
              <w:t>(Zip Code)</w:t>
            </w:r>
          </w:p>
        </w:tc>
      </w:tr>
      <w:tr>
        <w:trPr>
          <w:trHeight w:val="459"/>
        </w:trPr>
        <w:tc>
          <w:tcPr>
            <w:tcW w:w="7580" w:type="dxa"/>
            <w:vAlign w:val="bottom"/>
            <w:gridSpan w:val="4"/>
          </w:tcPr>
          <w:p>
            <w:pPr>
              <w:spacing w:after="0"/>
              <w:rPr>
                <w:sz w:val="20"/>
                <w:szCs w:val="20"/>
                <w:color w:val="auto"/>
              </w:rPr>
            </w:pPr>
            <w:r>
              <w:rPr>
                <w:rFonts w:ascii="Arial" w:cs="Arial" w:eastAsia="Arial" w:hAnsi="Arial"/>
                <w:sz w:val="18"/>
                <w:szCs w:val="18"/>
                <w:color w:val="auto"/>
              </w:rPr>
              <w:t>Registrant’s telephone number, including area code</w:t>
            </w:r>
          </w:p>
        </w:tc>
        <w:tc>
          <w:tcPr>
            <w:tcW w:w="3840" w:type="dxa"/>
            <w:vAlign w:val="bottom"/>
          </w:tcPr>
          <w:p>
            <w:pPr>
              <w:jc w:val="right"/>
              <w:ind w:right="2552"/>
              <w:spacing w:after="0"/>
              <w:rPr>
                <w:sz w:val="20"/>
                <w:szCs w:val="20"/>
                <w:color w:val="auto"/>
              </w:rPr>
            </w:pPr>
            <w:r>
              <w:rPr>
                <w:rFonts w:ascii="Arial" w:cs="Arial" w:eastAsia="Arial" w:hAnsi="Arial"/>
                <w:sz w:val="18"/>
                <w:szCs w:val="18"/>
                <w:b w:val="1"/>
                <w:bCs w:val="1"/>
                <w:color w:val="auto"/>
              </w:rPr>
              <w:t>858-848-8100</w:t>
            </w:r>
          </w:p>
        </w:tc>
      </w:tr>
      <w:tr>
        <w:trPr>
          <w:trHeight w:val="97"/>
        </w:trPr>
        <w:tc>
          <w:tcPr>
            <w:tcW w:w="5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r>
    </w:tbl>
    <w:p>
      <w:pPr>
        <w:spacing w:after="0" w:line="316" w:lineRule="exact"/>
        <w:rPr>
          <w:sz w:val="20"/>
          <w:szCs w:val="20"/>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2003 the Registrant had 20,947,659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FINANCIAL INFORMATION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Condensed Consolidated Balance Sheets</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Condensed Consolidated Statements of Operations</w:t>
        </w:r>
      </w:hyperlink>
    </w:p>
    <w:p>
      <w:pPr>
        <w:ind w:left="320"/>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Condensed Consolidated Statements of Cash Flows</w:t>
        </w:r>
      </w:hyperlink>
    </w:p>
    <w:p>
      <w:pPr>
        <w:ind w:left="32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Unaudited Condensed Consolidated Financial Statements</w:t>
        </w:r>
      </w:hyperlink>
    </w:p>
    <w:p>
      <w:pPr>
        <w:ind w:left="320" w:right="899"/>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Part II OTHER INFORMATION</w:t>
        </w:r>
      </w:hyperlink>
    </w:p>
    <w:p>
      <w:pPr>
        <w:ind w:left="320"/>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CERTIFICATIONS</w:t>
        </w:r>
      </w:hyperlink>
    </w:p>
    <w:p>
      <w:pPr>
        <w:spacing w:after="0" w:line="230" w:lineRule="auto"/>
        <w:rPr>
          <w:sz w:val="20"/>
          <w:szCs w:val="20"/>
          <w:color w:val="auto"/>
        </w:rPr>
      </w:pPr>
      <w:r>
        <w:rPr>
          <w:rFonts w:ascii="Arial" w:cs="Arial" w:eastAsia="Arial" w:hAnsi="Arial"/>
          <w:sz w:val="22"/>
          <w:szCs w:val="22"/>
          <w:u w:val="single" w:color="auto"/>
          <w:color w:val="0000EE"/>
        </w:rPr>
        <w:t>EXHIBIT 99.1</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EXHIBIT 99.2</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2003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14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Page Number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40" w:type="dxa"/>
            <w:vAlign w:val="bottom"/>
            <w:gridSpan w:val="2"/>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10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Part I Financial Information</w:t>
            </w: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Arial" w:cs="Arial" w:eastAsia="Arial" w:hAnsi="Arial"/>
                <w:sz w:val="18"/>
                <w:szCs w:val="18"/>
                <w:color w:val="auto"/>
              </w:rPr>
              <w:t>Item 1. Condensed Consolidated Balance Sheets (Unaudited) March 31, 2003 and December 31, 2002</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Condensed Consolidated Statements of Operations (Unaudited) Three Months Ended March 31, 2003 and 2002</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Condensed Consolidated Statements of Cash Flows (Unaudited) Three Months Ended March 31, 2003 and 2002</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Notes to Unaudited Condensed Consolidated Financial Statements</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EEEEEE"/>
          </w:tcPr>
          <w:p>
            <w:pPr>
              <w:spacing w:after="0"/>
              <w:rPr>
                <w:sz w:val="20"/>
                <w:szCs w:val="20"/>
                <w:color w:val="auto"/>
              </w:rPr>
            </w:pPr>
            <w:r>
              <w:rPr>
                <w:rFonts w:ascii="Arial" w:cs="Arial" w:eastAsia="Arial" w:hAnsi="Arial"/>
                <w:sz w:val="18"/>
                <w:szCs w:val="18"/>
                <w:color w:val="auto"/>
                <w:w w:val="87"/>
              </w:rPr>
              <w:t>Item 3.</w:t>
            </w:r>
          </w:p>
        </w:tc>
        <w:tc>
          <w:tcPr>
            <w:tcW w:w="10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Item 4.</w:t>
            </w:r>
          </w:p>
        </w:tc>
        <w:tc>
          <w:tcPr>
            <w:tcW w:w="1014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Part II Other Information</w:t>
            </w: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Item 1.</w:t>
            </w:r>
          </w:p>
        </w:tc>
        <w:tc>
          <w:tcPr>
            <w:tcW w:w="1014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EEEEEE"/>
          </w:tcPr>
          <w:p>
            <w:pPr>
              <w:spacing w:after="0"/>
              <w:rPr>
                <w:sz w:val="20"/>
                <w:szCs w:val="20"/>
                <w:color w:val="auto"/>
              </w:rPr>
            </w:pPr>
            <w:r>
              <w:rPr>
                <w:rFonts w:ascii="Arial" w:cs="Arial" w:eastAsia="Arial" w:hAnsi="Arial"/>
                <w:sz w:val="18"/>
                <w:szCs w:val="18"/>
                <w:color w:val="auto"/>
                <w:w w:val="87"/>
              </w:rPr>
              <w:t>Item 6.</w:t>
            </w:r>
          </w:p>
        </w:tc>
        <w:tc>
          <w:tcPr>
            <w:tcW w:w="10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Exhibits and Reports on Form 8-K</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Certifications</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140" w:type="dxa"/>
            <w:vAlign w:val="bottom"/>
          </w:tcPr>
          <w:p>
            <w:pPr>
              <w:ind w:left="516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60" w:type="dxa"/>
            <w:vAlign w:val="bottom"/>
          </w:tcPr>
          <w:p>
            <w:pPr>
              <w:jc w:val="center"/>
              <w:ind w:left="1472"/>
              <w:spacing w:after="0"/>
              <w:rPr>
                <w:sz w:val="20"/>
                <w:szCs w:val="20"/>
                <w:color w:val="auto"/>
              </w:rPr>
            </w:pPr>
            <w:r>
              <w:rPr>
                <w:rFonts w:ascii="Arial" w:cs="Arial" w:eastAsia="Arial" w:hAnsi="Arial"/>
                <w:sz w:val="18"/>
                <w:szCs w:val="18"/>
                <w:b w:val="1"/>
                <w:bCs w:val="1"/>
                <w:color w:val="auto"/>
                <w:w w:val="98"/>
              </w:rPr>
              <w:t>COHU, INC.</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60" w:type="dxa"/>
            <w:vAlign w:val="bottom"/>
          </w:tcPr>
          <w:p>
            <w:pPr>
              <w:jc w:val="center"/>
              <w:ind w:left="14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60" w:type="dxa"/>
            <w:vAlign w:val="bottom"/>
          </w:tcPr>
          <w:p>
            <w:pPr>
              <w:jc w:val="center"/>
              <w:ind w:left="1472"/>
              <w:spacing w:after="0"/>
              <w:rPr>
                <w:sz w:val="20"/>
                <w:szCs w:val="20"/>
                <w:color w:val="auto"/>
              </w:rPr>
            </w:pPr>
            <w:r>
              <w:rPr>
                <w:rFonts w:ascii="Arial" w:cs="Arial" w:eastAsia="Arial" w:hAnsi="Arial"/>
                <w:sz w:val="18"/>
                <w:szCs w:val="18"/>
                <w:b w:val="1"/>
                <w:bCs w:val="1"/>
                <w:color w:val="auto"/>
                <w:w w:val="89"/>
              </w:rPr>
              <w:t>(Unaudited)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60" w:type="dxa"/>
            <w:vAlign w:val="bottom"/>
          </w:tcPr>
          <w:p>
            <w:pPr>
              <w:jc w:val="center"/>
              <w:ind w:left="1472"/>
              <w:spacing w:after="0"/>
              <w:rPr>
                <w:sz w:val="20"/>
                <w:szCs w:val="20"/>
                <w:color w:val="auto"/>
              </w:rPr>
            </w:pPr>
            <w:r>
              <w:rPr>
                <w:rFonts w:ascii="Arial" w:cs="Arial" w:eastAsia="Arial" w:hAnsi="Arial"/>
                <w:sz w:val="18"/>
                <w:szCs w:val="18"/>
                <w:b w:val="1"/>
                <w:bCs w:val="1"/>
                <w:color w:val="auto"/>
                <w:w w:val="86"/>
              </w:rPr>
              <w:t>(in thousands, except par value)</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31, 2003</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31, 2002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8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7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Current assets:</w:t>
            </w:r>
          </w:p>
        </w:tc>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6,350</w:t>
            </w:r>
          </w:p>
        </w:tc>
        <w:tc>
          <w:tcPr>
            <w:tcW w:w="4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32,696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96,784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74,488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Accounts receivable, less allowance for doubtful accounts of $1,249 in 2003 and $1,264 in 2002</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24,022</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18,267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600"/>
              <w:spacing w:after="0"/>
              <w:rPr>
                <w:sz w:val="20"/>
                <w:szCs w:val="20"/>
                <w:color w:val="auto"/>
              </w:rPr>
            </w:pPr>
            <w:r>
              <w:rPr>
                <w:rFonts w:ascii="Arial" w:cs="Arial" w:eastAsia="Arial" w:hAnsi="Arial"/>
                <w:sz w:val="18"/>
                <w:szCs w:val="18"/>
                <w:color w:val="auto"/>
              </w:rPr>
              <w:t>Raw materials and purchased parts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13,554</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13,414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60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7,518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600"/>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5,328</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4,885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26,400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24,317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10,956</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10,956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6,037</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9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170,549</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166,298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Note receivable</w:t>
            </w:r>
          </w:p>
        </w:tc>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8,978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rPr>
              <w:t>Land and land improvements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8,942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Buildings and building improvements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24,888</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24,906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24,499</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24,316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7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58,329</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58,164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25,311</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24,394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600"/>
              <w:spacing w:after="0"/>
              <w:rPr>
                <w:sz w:val="20"/>
                <w:szCs w:val="20"/>
                <w:color w:val="auto"/>
              </w:rPr>
            </w:pPr>
            <w:r>
              <w:rPr>
                <w:rFonts w:ascii="Arial" w:cs="Arial" w:eastAsia="Arial" w:hAnsi="Arial"/>
                <w:sz w:val="18"/>
                <w:szCs w:val="18"/>
                <w:color w:val="auto"/>
              </w:rPr>
              <w:t>Net property, plant and equipment</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33,018</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33,770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Goodwill</w:t>
            </w:r>
          </w:p>
        </w:tc>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intangible assets, net of accumulated amortization of $229 in 2003 and $92 in 2002</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1,421</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Other assets</w:t>
            </w:r>
          </w:p>
        </w:tc>
        <w:tc>
          <w:tcPr>
            <w:tcW w:w="7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706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224,996</w:t>
            </w:r>
          </w:p>
        </w:tc>
        <w:tc>
          <w:tcPr>
            <w:tcW w:w="4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221,803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4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w w:val="98"/>
              </w:rPr>
              <w:t>Current liabilities:</w:t>
            </w:r>
          </w:p>
        </w:tc>
        <w:tc>
          <w:tcPr>
            <w:tcW w:w="7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8,381</w:t>
            </w:r>
          </w:p>
        </w:tc>
        <w:tc>
          <w:tcPr>
            <w:tcW w:w="4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6,387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5,556</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4,667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rPr>
              <w:t>Accrued warranty</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Customer advances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2,955</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3,218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Arial" w:cs="Arial" w:eastAsia="Arial" w:hAnsi="Arial"/>
                <w:sz w:val="18"/>
                <w:szCs w:val="18"/>
                <w:color w:val="auto"/>
                <w:w w:val="93"/>
              </w:rPr>
              <w:t>Deferred profit</w:t>
            </w:r>
          </w:p>
        </w:tc>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Other accrued liabilities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3,217</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3,378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40" w:type="dxa"/>
            <w:vAlign w:val="bottom"/>
            <w:gridSpan w:val="2"/>
          </w:tcPr>
          <w:p>
            <w:pPr>
              <w:ind w:left="6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30,423</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25,759</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retiree medical benefits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1,136</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Preferred stock, $1 par value; 1,000 shares authorized, none issued</w:t>
            </w: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w w:val="95"/>
              </w:rPr>
              <w:t>Common stock, $1 par value; 60,000 shares authorized, 20,948 shares issued and outstanding in 2003 and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20,864 shares in 2002</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20,948</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20,864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5"/>
              </w:rPr>
              <w:t>Paid-in capital</w:t>
            </w:r>
          </w:p>
        </w:tc>
        <w:tc>
          <w:tcPr>
            <w:tcW w:w="7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16,847</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15,922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150,561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152,978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270</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40" w:type="dxa"/>
            <w:vAlign w:val="bottom"/>
            <w:gridSpan w:val="2"/>
          </w:tcPr>
          <w:p>
            <w:pPr>
              <w:ind w:left="60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188,626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190,094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706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224,996</w:t>
            </w:r>
          </w:p>
        </w:tc>
        <w:tc>
          <w:tcPr>
            <w:tcW w:w="4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221,803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7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w:t>
      </w:r>
    </w:p>
    <w:p>
      <w:pPr>
        <w:sectPr>
          <w:pgSz w:w="11900" w:h="16838" w:orient="portrait"/>
          <w:cols w:equalWidth="0" w:num="1">
            <w:col w:w="11420"/>
          </w:cols>
          <w:pgMar w:left="240" w:top="419" w:right="239" w:bottom="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31,079</w:t>
            </w:r>
          </w:p>
        </w:tc>
        <w:tc>
          <w:tcPr>
            <w:tcW w:w="3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31,588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Cost and expenses: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20,696</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19,547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6,938</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7,571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5,915</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6,115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33,549</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33,233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4"/>
              </w:rPr>
              <w:t>(2,470)</w:t>
            </w: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1"/>
              </w:rPr>
              <w:t>(1,645)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700</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EEEEEE"/>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4"/>
              </w:rPr>
              <w:t>(1,770)</w:t>
            </w: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4"/>
              </w:rPr>
              <w:t>(1,370)</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105"/>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6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(.07)</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780" w:type="dxa"/>
            <w:vAlign w:val="bottom"/>
            <w:gridSpan w:val="2"/>
          </w:tcPr>
          <w:p>
            <w:pPr>
              <w:spacing w:after="0"/>
              <w:rPr>
                <w:sz w:val="9"/>
                <w:szCs w:val="9"/>
                <w:color w:val="auto"/>
              </w:rPr>
            </w:pPr>
          </w:p>
        </w:tc>
        <w:tc>
          <w:tcPr>
            <w:tcW w:w="8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640" w:type="dxa"/>
            <w:vAlign w:val="bottom"/>
          </w:tcPr>
          <w:p>
            <w:pPr>
              <w:ind w:left="10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in computing loss per share:</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10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20,912</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20,620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20,912</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20,620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6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6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66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60325</wp:posOffset>
            </wp:positionV>
            <wp:extent cx="1938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0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Adjustments to reconcile net loss to net cash provided from operating activities:</w:t>
            </w:r>
          </w:p>
        </w:tc>
        <w:tc>
          <w:tcPr>
            <w:tcW w:w="3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5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1,071</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560"/>
              <w:spacing w:after="0"/>
              <w:rPr>
                <w:sz w:val="20"/>
                <w:szCs w:val="20"/>
                <w:color w:val="auto"/>
              </w:rPr>
            </w:pPr>
            <w:r>
              <w:rPr>
                <w:rFonts w:ascii="Arial" w:cs="Arial" w:eastAsia="Arial" w:hAnsi="Arial"/>
                <w:sz w:val="18"/>
                <w:szCs w:val="18"/>
                <w:color w:val="auto"/>
              </w:rPr>
              <w:t>Decrease in accrued retiree medical benefits</w:t>
            </w:r>
          </w:p>
        </w:tc>
        <w:tc>
          <w:tcPr>
            <w:tcW w:w="3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560"/>
              <w:spacing w:after="0"/>
              <w:rPr>
                <w:sz w:val="20"/>
                <w:szCs w:val="20"/>
                <w:color w:val="auto"/>
              </w:rPr>
            </w:pPr>
            <w:r>
              <w:rPr>
                <w:rFonts w:ascii="Arial" w:cs="Arial" w:eastAsia="Arial" w:hAnsi="Arial"/>
                <w:sz w:val="18"/>
                <w:szCs w:val="18"/>
                <w:color w:val="auto"/>
              </w:rPr>
              <w:t>Changes in current assets and liabilities: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080"/>
              <w:spacing w:after="0"/>
              <w:rPr>
                <w:sz w:val="20"/>
                <w:szCs w:val="20"/>
                <w:color w:val="auto"/>
              </w:rPr>
            </w:pPr>
            <w:r>
              <w:rPr>
                <w:rFonts w:ascii="Arial" w:cs="Arial" w:eastAsia="Arial" w:hAnsi="Arial"/>
                <w:sz w:val="18"/>
                <w:szCs w:val="18"/>
                <w:color w:val="auto"/>
              </w:rPr>
              <w:t>Accounts receivable</w:t>
            </w:r>
          </w:p>
        </w:tc>
        <w:tc>
          <w:tcPr>
            <w:tcW w:w="3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(5,755)</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(2,083)</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0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(463)</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1"/>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1,994</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080"/>
              <w:spacing w:after="0"/>
              <w:rPr>
                <w:sz w:val="20"/>
                <w:szCs w:val="20"/>
                <w:color w:val="auto"/>
              </w:rPr>
            </w:pPr>
            <w:r>
              <w:rPr>
                <w:rFonts w:ascii="Arial" w:cs="Arial" w:eastAsia="Arial" w:hAnsi="Arial"/>
                <w:sz w:val="18"/>
                <w:szCs w:val="18"/>
                <w:color w:val="auto"/>
              </w:rPr>
              <w:t>Customer advances</w:t>
            </w:r>
          </w:p>
        </w:tc>
        <w:tc>
          <w:tcPr>
            <w:tcW w:w="3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(263)</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80"/>
              <w:spacing w:after="0"/>
              <w:rPr>
                <w:sz w:val="20"/>
                <w:szCs w:val="20"/>
                <w:color w:val="auto"/>
              </w:rPr>
            </w:pPr>
            <w:r>
              <w:rPr>
                <w:rFonts w:ascii="Arial" w:cs="Arial" w:eastAsia="Arial" w:hAnsi="Arial"/>
                <w:sz w:val="18"/>
                <w:szCs w:val="18"/>
                <w:color w:val="auto"/>
              </w:rPr>
              <w:t>Deferred profit</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2,196</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080"/>
              <w:spacing w:after="0"/>
              <w:rPr>
                <w:sz w:val="20"/>
                <w:szCs w:val="20"/>
                <w:color w:val="auto"/>
              </w:rPr>
            </w:pPr>
            <w:r>
              <w:rPr>
                <w:rFonts w:ascii="Arial" w:cs="Arial" w:eastAsia="Arial" w:hAnsi="Arial"/>
                <w:sz w:val="18"/>
                <w:szCs w:val="18"/>
                <w:color w:val="auto"/>
              </w:rPr>
              <w:t>Accrued compensation, warranty and other liabilities</w:t>
            </w:r>
          </w:p>
        </w:tc>
        <w:tc>
          <w:tcPr>
            <w:tcW w:w="3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777</w:t>
            </w: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340" w:type="dxa"/>
            <w:vAlign w:val="bottom"/>
          </w:tcPr>
          <w:p>
            <w:pPr>
              <w:ind w:left="2080"/>
              <w:spacing w:after="0"/>
              <w:rPr>
                <w:sz w:val="20"/>
                <w:szCs w:val="20"/>
                <w:color w:val="auto"/>
              </w:rPr>
            </w:pPr>
            <w:r>
              <w:rPr>
                <w:rFonts w:ascii="Arial" w:cs="Arial" w:eastAsia="Arial" w:hAnsi="Arial"/>
                <w:sz w:val="18"/>
                <w:szCs w:val="18"/>
                <w:color w:val="auto"/>
              </w:rPr>
              <w:t>Net cash provided from (used for) operating activities</w:t>
            </w:r>
          </w:p>
        </w:tc>
        <w:tc>
          <w:tcPr>
            <w:tcW w:w="34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(3,899)</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3,441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0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(22,396)</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(7,140)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Sales and maturities of short-term investments</w:t>
            </w:r>
          </w:p>
        </w:tc>
        <w:tc>
          <w:tcPr>
            <w:tcW w:w="3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00"/>
              <w:spacing w:after="0"/>
              <w:rPr>
                <w:sz w:val="20"/>
                <w:szCs w:val="20"/>
                <w:color w:val="auto"/>
              </w:rPr>
            </w:pPr>
            <w:r>
              <w:rPr>
                <w:rFonts w:ascii="Arial" w:cs="Arial" w:eastAsia="Arial" w:hAnsi="Arial"/>
                <w:sz w:val="18"/>
                <w:szCs w:val="18"/>
                <w:color w:val="auto"/>
              </w:rPr>
              <w:t>Purchases of property, plant, equipment</w:t>
            </w:r>
          </w:p>
        </w:tc>
        <w:tc>
          <w:tcPr>
            <w:tcW w:w="3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(182)</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Payment on note receivable</w:t>
            </w:r>
          </w:p>
        </w:tc>
        <w:tc>
          <w:tcPr>
            <w:tcW w:w="3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w:t>
            </w: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08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6"/>
              </w:rPr>
              <w:t>(22,409)</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1"/>
              </w:rPr>
              <w:t>(4,270)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Issuance of stock, net</w:t>
            </w:r>
          </w:p>
        </w:tc>
        <w:tc>
          <w:tcPr>
            <w:tcW w:w="3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1,009</w:t>
            </w: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500"/>
              <w:spacing w:after="0"/>
              <w:rPr>
                <w:sz w:val="20"/>
                <w:szCs w:val="20"/>
                <w:color w:val="auto"/>
              </w:rPr>
            </w:pPr>
            <w:r>
              <w:rPr>
                <w:rFonts w:ascii="Arial" w:cs="Arial" w:eastAsia="Arial" w:hAnsi="Arial"/>
                <w:sz w:val="18"/>
                <w:szCs w:val="18"/>
                <w:color w:val="auto"/>
              </w:rPr>
              <w:t>Cash dividends</w:t>
            </w:r>
          </w:p>
        </w:tc>
        <w:tc>
          <w:tcPr>
            <w:tcW w:w="34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(1,047)</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(1,033)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2080"/>
              <w:spacing w:after="0"/>
              <w:rPr>
                <w:sz w:val="20"/>
                <w:szCs w:val="20"/>
                <w:color w:val="auto"/>
              </w:rPr>
            </w:pPr>
            <w:r>
              <w:rPr>
                <w:rFonts w:ascii="Arial" w:cs="Arial" w:eastAsia="Arial" w:hAnsi="Arial"/>
                <w:sz w:val="18"/>
                <w:szCs w:val="18"/>
                <w:color w:val="auto"/>
              </w:rPr>
              <w:t>Net cash provided from (used for) financing activities</w:t>
            </w:r>
          </w:p>
        </w:tc>
        <w:tc>
          <w:tcPr>
            <w:tcW w:w="3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(38)</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3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3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(26,346)</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32,696</w:t>
            </w: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65,510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3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3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6,350</w:t>
            </w:r>
          </w:p>
        </w:tc>
        <w:tc>
          <w:tcPr>
            <w:tcW w:w="4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65,045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500"/>
              <w:spacing w:after="0"/>
              <w:rPr>
                <w:sz w:val="20"/>
                <w:szCs w:val="20"/>
                <w:color w:val="auto"/>
              </w:rPr>
            </w:pPr>
            <w:r>
              <w:rPr>
                <w:rFonts w:ascii="Arial" w:cs="Arial" w:eastAsia="Arial" w:hAnsi="Arial"/>
                <w:sz w:val="18"/>
                <w:szCs w:val="18"/>
                <w:color w:val="auto"/>
              </w:rPr>
              <w:t>Cash paid (received) during the period for:</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Income taxes, net of refunds</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2003</w:t>
      </w:r>
    </w:p>
    <w:p>
      <w:pPr>
        <w:spacing w:after="0" w:line="21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1" w:lineRule="exact"/>
        <w:rPr>
          <w:rFonts w:ascii="Arial" w:cs="Arial" w:eastAsia="Arial" w:hAnsi="Arial"/>
          <w:sz w:val="18"/>
          <w:szCs w:val="18"/>
          <w:b w:val="1"/>
          <w:bCs w:val="1"/>
          <w:color w:val="auto"/>
        </w:rPr>
      </w:pPr>
    </w:p>
    <w:p>
      <w:pPr>
        <w:ind w:left="4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months ended March 31, 2003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2002 and management’s discussion and analysis of financial condition and results of operations included elsewhere herein.</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31"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Cohu’s revenue recognition policy is disclosed in Note 1 of the Notes to Consolidated Financial Statements included in the Company’s Annual Report on Form 10-K for the year ended December 31, 2002.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consolidated balance sheet.</w:t>
      </w:r>
    </w:p>
    <w:p>
      <w:pPr>
        <w:spacing w:after="0" w:line="197" w:lineRule="exact"/>
        <w:rPr>
          <w:rFonts w:ascii="Arial" w:cs="Arial" w:eastAsia="Arial" w:hAnsi="Arial"/>
          <w:sz w:val="18"/>
          <w:szCs w:val="18"/>
          <w:b w:val="1"/>
          <w:bCs w:val="1"/>
          <w:color w:val="auto"/>
        </w:rPr>
      </w:pP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At March 31, 2003, the Company had deferred revenue totaling approximately $14.3 million and deferred profit of $7.4 million. At December 31, 2002, the Company had deferred revenue totaling approximately $9.8 million and deferred profit of $5.2 million. The increase in deferred revenue and profit is primarily related to the deferral of revenue on certain semiconductor test handler upgrades that have been shipped and installed and are awaiting customer acceptance.</w:t>
      </w:r>
    </w:p>
    <w:p>
      <w:pPr>
        <w:spacing w:after="0" w:line="19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rFonts w:ascii="Arial" w:cs="Arial" w:eastAsia="Arial" w:hAnsi="Arial"/>
          <w:sz w:val="18"/>
          <w:szCs w:val="18"/>
          <w:b w:val="1"/>
          <w:bCs w:val="1"/>
          <w:color w:val="auto"/>
        </w:rPr>
      </w:pPr>
    </w:p>
    <w:p>
      <w:pPr>
        <w:ind w:left="4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Cohu has several stock-based compensation plans, that are described more fully in Note 10 to the Consolidated Financial Statements included in the Company’s Annual Report on Form 10-K for the year ended December 31, 2002. Cohu accounts for those plans under the recognition and measurement principles of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No stock-based employee compensation cost is reflected in the consolidated statements of operations, as all options granted under those plans had an exercise price equal to the market value of the underlying common stock on the date of grant. The following table illustrates the effect on net loss and net loss per share if Cohu had applied the fair value recognition provisions of Financial Accounting Standards Board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to stock-based employee compensation.</w:t>
      </w:r>
    </w:p>
    <w:p>
      <w:pPr>
        <w:spacing w:after="0" w:line="200" w:lineRule="exact"/>
        <w:rPr>
          <w:sz w:val="20"/>
          <w:szCs w:val="20"/>
          <w:color w:val="auto"/>
        </w:rPr>
      </w:pP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960" w:type="dxa"/>
            <w:vAlign w:val="bottom"/>
          </w:tcPr>
          <w:p>
            <w:pPr>
              <w:ind w:left="1860"/>
              <w:spacing w:after="0"/>
              <w:rPr>
                <w:sz w:val="20"/>
                <w:szCs w:val="20"/>
                <w:color w:val="auto"/>
              </w:rPr>
            </w:pPr>
            <w:r>
              <w:rPr>
                <w:rFonts w:ascii="Arial" w:cs="Arial" w:eastAsia="Arial" w:hAnsi="Arial"/>
                <w:sz w:val="14"/>
                <w:szCs w:val="14"/>
                <w:i w:val="1"/>
                <w:iCs w:val="1"/>
                <w:color w:val="auto"/>
              </w:rPr>
              <w:t>(in thousands, except per share amounts)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9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b w:val="1"/>
                <w:bCs w:val="1"/>
                <w:color w:val="auto"/>
                <w:w w:val="87"/>
              </w:rPr>
              <w:t>(1,370)</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w w:val="92"/>
              </w:rPr>
              <w:t>Less: Total stock-based employee compensation expense determined under fair</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(719)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140"/>
              <w:spacing w:after="0"/>
              <w:rPr>
                <w:sz w:val="20"/>
                <w:szCs w:val="20"/>
                <w:color w:val="auto"/>
              </w:rPr>
            </w:pPr>
            <w:r>
              <w:rPr>
                <w:rFonts w:ascii="Arial" w:cs="Arial" w:eastAsia="Arial" w:hAnsi="Arial"/>
                <w:sz w:val="18"/>
                <w:szCs w:val="18"/>
                <w:color w:val="auto"/>
              </w:rPr>
              <w:t>value based method for all awards, net of related tax effect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110"/>
        </w:trPr>
        <w:tc>
          <w:tcPr>
            <w:tcW w:w="5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Pro forma net loss</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b w:val="1"/>
                <w:bCs w:val="1"/>
                <w:color w:val="auto"/>
                <w:w w:val="87"/>
              </w:rPr>
              <w:t>(2,089)</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7"/>
              </w:rPr>
              <w:t>(1,397)</w:t>
            </w:r>
          </w:p>
        </w:tc>
        <w:tc>
          <w:tcPr>
            <w:tcW w:w="0" w:type="dxa"/>
            <w:vAlign w:val="bottom"/>
          </w:tcPr>
          <w:p>
            <w:pPr>
              <w:spacing w:after="0"/>
              <w:rPr>
                <w:sz w:val="1"/>
                <w:szCs w:val="1"/>
                <w:color w:val="auto"/>
              </w:rPr>
            </w:pPr>
          </w:p>
        </w:tc>
      </w:tr>
      <w:tr>
        <w:trPr>
          <w:trHeight w:val="108"/>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Basic-as reported</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b w:val="1"/>
                <w:bCs w:val="1"/>
                <w:color w:val="auto"/>
              </w:rPr>
              <w:t>(.07)</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Basic-pro forma</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9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Diluted-as reported</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b w:val="1"/>
                <w:bCs w:val="1"/>
                <w:color w:val="auto"/>
              </w:rPr>
              <w:t>(.07)</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8"/>
        </w:trPr>
        <w:tc>
          <w:tcPr>
            <w:tcW w:w="5960" w:type="dxa"/>
            <w:vAlign w:val="bottom"/>
          </w:tcPr>
          <w:p>
            <w:pPr>
              <w:ind w:left="380"/>
              <w:spacing w:after="0"/>
              <w:rPr>
                <w:sz w:val="20"/>
                <w:szCs w:val="20"/>
                <w:color w:val="auto"/>
              </w:rPr>
            </w:pPr>
            <w:r>
              <w:rPr>
                <w:rFonts w:ascii="Arial" w:cs="Arial" w:eastAsia="Arial" w:hAnsi="Arial"/>
                <w:sz w:val="18"/>
                <w:szCs w:val="18"/>
                <w:color w:val="auto"/>
              </w:rPr>
              <w:t>Diluted-pro forma</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 xml:space="preserve">In June, 2002, the FASB issued Statement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Statement No. 146 addresses financial accounting and reporting for costs associated with exit or disposal activities and nullifies Emerging Issues Task Force Issue No. 94-3. The adoption of Statement No. 146 is effective for exit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2003</w:t>
      </w:r>
    </w:p>
    <w:p>
      <w:pPr>
        <w:spacing w:after="0" w:line="219"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disposal activities that are initiated after December 31, 2002, including Cohu’s recently announced Columbus, Ohio and Littleton, Massachusetts facilities consolidations.</w:t>
      </w:r>
    </w:p>
    <w:p>
      <w:pPr>
        <w:spacing w:after="0" w:line="186"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 xml:space="preserve">In November, 2002, the FASB Emerging Issues Task Force (“EITF”) reached a consensus on Issue No. 00-21, </w:t>
      </w:r>
      <w:r>
        <w:rPr>
          <w:rFonts w:ascii="Arial" w:cs="Arial" w:eastAsia="Arial" w:hAnsi="Arial"/>
          <w:sz w:val="18"/>
          <w:szCs w:val="18"/>
          <w:i w:val="1"/>
          <w:iCs w:val="1"/>
          <w:color w:val="auto"/>
        </w:rPr>
        <w:t>“Revenue Arrangements with Multiple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Deliverables.” </w:t>
      </w:r>
      <w:r>
        <w:rPr>
          <w:rFonts w:ascii="Arial" w:cs="Arial" w:eastAsia="Arial" w:hAnsi="Arial"/>
          <w:sz w:val="18"/>
          <w:szCs w:val="18"/>
          <w:color w:val="auto"/>
        </w:rPr>
        <w:t>EITF Issue No. 00-21 provides guidance on how to account for arrangements that involve the delivery or performance of multiple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and/or rights to use assets. The provisions of EITF Issue No. 00-21 will apply to revenue arrangements entered into in fiscal periods beginning after June 15, 2003. The Company is currently evaluating the effect that the adoption of EITF Issue No. 00-21 will have on its results of operations and financial condition.</w:t>
      </w:r>
    </w:p>
    <w:p>
      <w:pPr>
        <w:spacing w:after="0" w:line="197"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 xml:space="preserve">In January, 2003, the FASB issued FASB Interpretation No. 46 “(FIN 46”), </w:t>
      </w:r>
      <w:r>
        <w:rPr>
          <w:rFonts w:ascii="Arial" w:cs="Arial" w:eastAsia="Arial" w:hAnsi="Arial"/>
          <w:sz w:val="16"/>
          <w:szCs w:val="16"/>
          <w:i w:val="1"/>
          <w:iCs w:val="1"/>
          <w:color w:val="auto"/>
        </w:rPr>
        <w:t>“Consolidation of Variable Interest Entities, an interpretation of ARB No. 51.”</w:t>
      </w:r>
      <w:r>
        <w:rPr>
          <w:rFonts w:ascii="Arial" w:cs="Arial" w:eastAsia="Arial" w:hAnsi="Arial"/>
          <w:sz w:val="16"/>
          <w:szCs w:val="16"/>
          <w:color w:val="auto"/>
        </w:rPr>
        <w:t xml:space="preserve"> FIN 46 provides guidance on: 1) the identification of entities for which control is achieved through means other than through voting rights, known as “variable interest entities” (“VIEs”); and 2) which business enterprise is the primary beneficiary and when it should consolidate the VIE. This new model for consolidation applies to entities: 1) where the equity investors (if any) do not have a controlling financial interest; or 2) whose equity investment at risk is insufficient to finance that entity’s activities without receiving additional subordinated financial support from other parties. In addition, FIN 46 requires that both the primary beneficiary and all other enterprises with a significant variable interest in a VIE make additional disclosures. FIN 46 is effective for all new VIEs created or acquired after January 31, 2003. For VIEs created or acquired prior to February 1, 2003, the provisions of FIN 46 must be applied no later than the beginning of the first interim or annual reporting period beginning after June 15, 2003. Certain disclosures are effective immediately. Cohu is in the process of assessing the effect of FIN 46.</w:t>
      </w:r>
    </w:p>
    <w:p>
      <w:pPr>
        <w:spacing w:after="0" w:line="16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basic and diluted loss per share consists of the following (in thousands, except per share data):</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5"/>
          </w:tcPr>
          <w:p>
            <w:pPr>
              <w:jc w:val="right"/>
              <w:ind w:right="617"/>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5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Pr>
          <w:p>
            <w:pPr>
              <w:spacing w:after="0"/>
              <w:rPr>
                <w:sz w:val="15"/>
                <w:szCs w:val="15"/>
                <w:color w:val="auto"/>
              </w:rPr>
            </w:pPr>
          </w:p>
        </w:tc>
      </w:tr>
      <w:tr>
        <w:trPr>
          <w:trHeight w:val="95"/>
        </w:trPr>
        <w:tc>
          <w:tcPr>
            <w:tcW w:w="59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263"/>
        </w:trPr>
        <w:tc>
          <w:tcPr>
            <w:tcW w:w="5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2002</w:t>
            </w:r>
          </w:p>
        </w:tc>
      </w:tr>
      <w:tr>
        <w:trPr>
          <w:trHeight w:val="95"/>
        </w:trPr>
        <w:tc>
          <w:tcPr>
            <w:tcW w:w="59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102"/>
        </w:trPr>
        <w:tc>
          <w:tcPr>
            <w:tcW w:w="5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60"/>
              <w:spacing w:after="0"/>
              <w:rPr>
                <w:sz w:val="20"/>
                <w:szCs w:val="20"/>
                <w:color w:val="auto"/>
              </w:rPr>
            </w:pPr>
            <w:r>
              <w:rPr>
                <w:rFonts w:ascii="Arial" w:cs="Arial" w:eastAsia="Arial" w:hAnsi="Arial"/>
                <w:sz w:val="18"/>
                <w:szCs w:val="18"/>
                <w:b w:val="1"/>
                <w:bCs w:val="1"/>
                <w:color w:val="auto"/>
                <w:w w:val="83"/>
              </w:rPr>
              <w:t>20,912</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17"/>
              <w:spacing w:after="0"/>
              <w:rPr>
                <w:sz w:val="20"/>
                <w:szCs w:val="20"/>
                <w:color w:val="auto"/>
              </w:rPr>
            </w:pPr>
            <w:r>
              <w:rPr>
                <w:rFonts w:ascii="Arial" w:cs="Arial" w:eastAsia="Arial" w:hAnsi="Arial"/>
                <w:sz w:val="18"/>
                <w:szCs w:val="18"/>
                <w:color w:val="auto"/>
                <w:w w:val="83"/>
              </w:rPr>
              <w:t>20,620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1"/>
              </w:rPr>
              <w:t>(1,370)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7"/>
              <w:spacing w:after="0"/>
              <w:rPr>
                <w:sz w:val="20"/>
                <w:szCs w:val="20"/>
                <w:color w:val="auto"/>
              </w:rPr>
            </w:pPr>
            <w:r>
              <w:rPr>
                <w:rFonts w:ascii="Arial" w:cs="Arial" w:eastAsia="Arial" w:hAnsi="Arial"/>
                <w:sz w:val="18"/>
                <w:szCs w:val="18"/>
                <w:color w:val="auto"/>
              </w:rPr>
              <w:t>(579)</w:t>
            </w:r>
          </w:p>
        </w:tc>
      </w:tr>
      <w:tr>
        <w:trPr>
          <w:trHeight w:val="216"/>
        </w:trPr>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loss per share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(.07)</w:t>
            </w: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57"/>
              <w:spacing w:after="0"/>
              <w:rPr>
                <w:sz w:val="20"/>
                <w:szCs w:val="20"/>
                <w:color w:val="auto"/>
              </w:rPr>
            </w:pPr>
            <w:r>
              <w:rPr>
                <w:rFonts w:ascii="Arial" w:cs="Arial" w:eastAsia="Arial" w:hAnsi="Arial"/>
                <w:sz w:val="18"/>
                <w:szCs w:val="18"/>
                <w:color w:val="auto"/>
              </w:rPr>
              <w:t>(.03)</w:t>
            </w:r>
          </w:p>
        </w:tc>
      </w:tr>
    </w:tbl>
    <w:p>
      <w:pPr>
        <w:spacing w:after="0" w:line="208"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Company incurred losses for the three months ended March 31, 2003 and 2002, and as a result the effect of dilutive securities has been excluded from the loss per share computation, as their impact would be antidilutive. The dilutive securities totaled 370,000 and 942,000 equivalent shares for the three months ended March 31, 2003 and 2002, respectively.</w:t>
      </w:r>
    </w:p>
    <w:p>
      <w:pPr>
        <w:spacing w:after="0" w:line="18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income tax benefit included in the statement of operations for the three months ended March 31, 2003 and 2002, is based on the estimated annual effective tax rate for the entire year. These estimated effective tax rates are subject to adjustment in subsequent quarterly periods as the Company’s estimate of pretax income or loss for the year are increased or decreased. The effective tax rate for the three months ended March 31, 2003 is less than the U.S. federal statutory rate primarily due to tax credits.</w:t>
      </w:r>
    </w:p>
    <w:p>
      <w:pPr>
        <w:spacing w:after="0" w:line="197"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 valuation allowance of $4,727,000 has been provided on deferred tax assets at March 31, 2003 and December 31, 2002, primarily due to uncertainties of realizing net deferred tax assets in excess of income expected to be generated solely from certain tax planning strategies. The Company determined that the valuation allowance was required based upon its recent losses, and the likelihood of generating sufficient additional taxable income in future years to obtain benefit from the reversal of temporary differences and net operating loss and tax credit carryforwards. The amount of deferred tax assets considered realizable is subject to adjustment in future periods if estimates of future taxable income 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2003</w:t>
      </w:r>
    </w:p>
    <w:p>
      <w:pPr>
        <w:spacing w:after="0" w:line="21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Investments and Other Intangible Assets</w:t>
      </w:r>
    </w:p>
    <w:p>
      <w:pPr>
        <w:spacing w:after="0" w:line="231" w:lineRule="exact"/>
        <w:rPr>
          <w:rFonts w:ascii="Arial" w:cs="Arial" w:eastAsia="Arial" w:hAnsi="Arial"/>
          <w:sz w:val="18"/>
          <w:szCs w:val="18"/>
          <w:b w:val="1"/>
          <w:bCs w:val="1"/>
          <w:color w:val="auto"/>
        </w:rPr>
      </w:pPr>
    </w:p>
    <w:p>
      <w:pPr>
        <w:ind w:left="4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June, 2001, the FASB issued Statement No. 142</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Under Statement No. 142, goodwill and other intangible assets with indefinite useful lives are not amortized, but are reviewed annually for impairment or more frequently if impairment indicators arise. Separable intangible assets that have finite lives are amortized over their useful lives. Under Statement No. 142, goodwill and other intangible assets with indefinite useful lives resulting from acquisitions completed after June 30, 2001, are not amortized. At March 31, 2003, the Company had goodwill of $8.3 million that resulted from an acquisition completed in July, 2001.</w:t>
      </w:r>
    </w:p>
    <w:p>
      <w:pPr>
        <w:spacing w:after="0" w:line="196" w:lineRule="exact"/>
        <w:rPr>
          <w:rFonts w:ascii="Arial" w:cs="Arial" w:eastAsia="Arial" w:hAnsi="Arial"/>
          <w:sz w:val="18"/>
          <w:szCs w:val="18"/>
          <w:b w:val="1"/>
          <w:bCs w:val="1"/>
          <w:color w:val="auto"/>
        </w:rPr>
      </w:pPr>
    </w:p>
    <w:p>
      <w:pPr>
        <w:jc w:val="both"/>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performed the required annual goodwill impairment test as of October 1, 2002. Cohu did not recognize any goodwill impairment as a result of performing this annual test. A decline in the fair value of Cohu’s semiconductor equipment business may indicate goodwill impairment that could result in a charge to Cohu’s future operating results.</w:t>
      </w:r>
    </w:p>
    <w:p>
      <w:pPr>
        <w:spacing w:after="0" w:line="194" w:lineRule="exact"/>
        <w:rPr>
          <w:rFonts w:ascii="Arial" w:cs="Arial" w:eastAsia="Arial" w:hAnsi="Arial"/>
          <w:sz w:val="18"/>
          <w:szCs w:val="18"/>
          <w:b w:val="1"/>
          <w:bCs w:val="1"/>
          <w:color w:val="auto"/>
        </w:rPr>
      </w:pPr>
    </w:p>
    <w:p>
      <w:pPr>
        <w:ind w:left="4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In August, 2001, the FASB issued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which supersedes Statement No. 121. Statement No. 144 addresses financial accounting and reporting for the impairment of long-lived assets (excluding goodwill) and for long-lived assets to be disposed of. However, Statement No. 144 retains the fundamental provisions of Statement No. 121 for recognition and measurement of the impairment of long-lived assets to be held and used. Cohu adopted Statement No. 144 effective January 1, 2002.</w:t>
      </w:r>
    </w:p>
    <w:p>
      <w:pPr>
        <w:spacing w:after="0" w:line="167"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In the fourth quarter of 2002, Cohu entered into a $1.7 million license agreement for certain intellectual property and know-how from LiveTools Technology SA. The Company is amortizing the $1.7 million intangible asset to expense over the three-year exclusive license period. Accumulated amortization at March 31, 2003 and December 31, 2002, was $229,000 and $92,000, respectively. Amortization expense was $137,000 in the quarter ended March 31, 2003. The estimated amortization expense in future years is 2003 — $413,000; 2004 — $550,000; 2005 — $458,000.</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2002, Cohu invested $2.5 million in KryoTech, Inc. preferred stock. Cohu is committed to invest an additional $2.5 million in KryoTech</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successful completion of a joint development program between the companies and the satisfaction of certain other conditions. Cohu 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accounting for its less than 10% ownership interest in KryoTech under the cost method. It is not currently known when or if Cohu will make the second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 million investment in KryoTech. Additionally, any decrease in the value of the initial $2.5 million investment that is deemed other than temporary will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result in a writedown of the investment with a corresponding charge to Cohu’s results of operations. A future writedown of all or a portion of this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could adversely impact Cohu’s 2003 results of operations.</w:t>
      </w:r>
    </w:p>
    <w:p>
      <w:pPr>
        <w:spacing w:after="0" w:line="21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Components of comprehensive income (loss), on an after-tax basis where applicable, were as follows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March 31, 2003</w:t>
            </w:r>
          </w:p>
        </w:tc>
        <w:tc>
          <w:tcPr>
            <w:tcW w:w="300" w:type="dxa"/>
            <w:vAlign w:val="bottom"/>
          </w:tcPr>
          <w:p>
            <w:pPr>
              <w:spacing w:after="0"/>
              <w:rPr>
                <w:sz w:val="22"/>
                <w:szCs w:val="22"/>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March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b w:val="1"/>
                <w:bCs w:val="1"/>
                <w:color w:val="auto"/>
              </w:rPr>
              <w:t>$(1,370)</w:t>
            </w:r>
          </w:p>
        </w:tc>
        <w:tc>
          <w:tcPr>
            <w:tcW w:w="13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Change in unrealized gain on investments</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(60)</w:t>
            </w:r>
          </w:p>
        </w:tc>
        <w:tc>
          <w:tcPr>
            <w:tcW w:w="1380" w:type="dxa"/>
            <w:vAlign w:val="bottom"/>
            <w:gridSpan w:val="4"/>
          </w:tcPr>
          <w:p>
            <w:pPr>
              <w:jc w:val="right"/>
              <w:ind w:right="3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128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b w:val="1"/>
                <w:bCs w:val="1"/>
                <w:color w:val="auto"/>
              </w:rPr>
              <w:t>$(1,430)</w:t>
            </w:r>
          </w:p>
        </w:tc>
        <w:tc>
          <w:tcPr>
            <w:tcW w:w="13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right="140" w:firstLine="34"/>
        <w:spacing w:after="0" w:line="268" w:lineRule="auto"/>
        <w:rPr>
          <w:sz w:val="20"/>
          <w:szCs w:val="20"/>
          <w:color w:val="auto"/>
        </w:rPr>
      </w:pPr>
      <w:r>
        <w:rPr>
          <w:rFonts w:ascii="Arial" w:cs="Arial" w:eastAsia="Arial" w:hAnsi="Arial"/>
          <w:sz w:val="18"/>
          <w:szCs w:val="18"/>
          <w:color w:val="auto"/>
        </w:rPr>
        <w:t>Accumulated other comprehensive income totaled $270,000 and $330,000 at March 31, 2003 and December 31, 2002, respectively, and was attributed to after-tax unrealized gains on investments.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2003</w:t>
      </w:r>
    </w:p>
    <w:p>
      <w:pPr>
        <w:spacing w:after="0" w:line="21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31" w:lineRule="exact"/>
        <w:rPr>
          <w:rFonts w:ascii="Arial" w:cs="Arial" w:eastAsia="Arial" w:hAnsi="Arial"/>
          <w:sz w:val="18"/>
          <w:szCs w:val="18"/>
          <w:b w:val="1"/>
          <w:bCs w:val="1"/>
          <w:color w:val="auto"/>
        </w:rPr>
      </w:pPr>
    </w:p>
    <w:p>
      <w:pPr>
        <w:ind w:left="460" w:right="4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information is presented pursuant to FASB Statement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Intersegment sales were not significant in any period.</w:t>
      </w:r>
    </w:p>
    <w:p>
      <w:pPr>
        <w:spacing w:after="0" w:line="200" w:lineRule="exact"/>
        <w:rPr>
          <w:sz w:val="20"/>
          <w:szCs w:val="20"/>
          <w:color w:val="auto"/>
        </w:rPr>
      </w:pP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13"/>
          </w:tcPr>
          <w:p>
            <w:pPr>
              <w:jc w:val="center"/>
              <w:ind w:right="112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90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5"/>
          </w:tcPr>
          <w:p>
            <w:pPr>
              <w:ind w:left="740"/>
              <w:spacing w:after="0"/>
              <w:rPr>
                <w:sz w:val="20"/>
                <w:szCs w:val="20"/>
                <w:color w:val="auto"/>
              </w:rPr>
            </w:pPr>
            <w:r>
              <w:rPr>
                <w:rFonts w:ascii="Arial" w:cs="Arial" w:eastAsia="Arial" w:hAnsi="Arial"/>
                <w:sz w:val="14"/>
                <w:szCs w:val="14"/>
                <w:b w:val="1"/>
                <w:bCs w:val="1"/>
                <w:color w:val="auto"/>
                <w:w w:val="76"/>
              </w:rPr>
              <w:t>2002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20" w:type="dxa"/>
            <w:vAlign w:val="bottom"/>
            <w:gridSpan w:val="12"/>
          </w:tcPr>
          <w:p>
            <w:pPr>
              <w:jc w:val="center"/>
              <w:ind w:right="1460"/>
              <w:spacing w:after="0"/>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Semiconductor equipment</w:t>
            </w:r>
          </w:p>
        </w:tc>
        <w:tc>
          <w:tcPr>
            <w:tcW w:w="900" w:type="dxa"/>
            <w:vAlign w:val="bottom"/>
            <w:gridSpan w:val="4"/>
          </w:tcPr>
          <w:p>
            <w:pPr>
              <w:jc w:val="right"/>
              <w:spacing w:after="0"/>
              <w:rPr>
                <w:sz w:val="20"/>
                <w:szCs w:val="20"/>
                <w:color w:val="auto"/>
              </w:rPr>
            </w:pPr>
            <w:r>
              <w:rPr>
                <w:rFonts w:ascii="Arial" w:cs="Arial" w:eastAsia="Arial" w:hAnsi="Arial"/>
                <w:sz w:val="18"/>
                <w:szCs w:val="18"/>
                <w:b w:val="1"/>
                <w:bCs w:val="1"/>
                <w:color w:val="auto"/>
              </w:rPr>
              <w:t>$23,894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$24,608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Television cameras</w:t>
            </w:r>
          </w:p>
        </w:tc>
        <w:tc>
          <w:tcPr>
            <w:tcW w:w="9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4,195</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3,940</w:t>
            </w:r>
          </w:p>
        </w:tc>
        <w:tc>
          <w:tcPr>
            <w:tcW w:w="380" w:type="dxa"/>
            <w:vAlign w:val="bottom"/>
            <w:shd w:val="clear" w:color="auto" w:fill="EEEEE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0" w:type="dxa"/>
            <w:vAlign w:val="bottom"/>
          </w:tcPr>
          <w:p>
            <w:pPr>
              <w:spacing w:after="0"/>
              <w:rPr>
                <w:sz w:val="24"/>
                <w:szCs w:val="24"/>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Net sales for reportable segments</w:t>
            </w:r>
          </w:p>
        </w:tc>
        <w:tc>
          <w:tcPr>
            <w:tcW w:w="900" w:type="dxa"/>
            <w:vAlign w:val="bottom"/>
            <w:gridSpan w:val="4"/>
          </w:tcPr>
          <w:p>
            <w:pPr>
              <w:jc w:val="right"/>
              <w:spacing w:after="0"/>
              <w:rPr>
                <w:sz w:val="20"/>
                <w:szCs w:val="20"/>
                <w:color w:val="auto"/>
              </w:rPr>
            </w:pPr>
            <w:r>
              <w:rPr>
                <w:rFonts w:ascii="Arial" w:cs="Arial" w:eastAsia="Arial" w:hAnsi="Arial"/>
                <w:sz w:val="18"/>
                <w:szCs w:val="18"/>
                <w:b w:val="1"/>
                <w:bCs w:val="1"/>
                <w:color w:val="auto"/>
              </w:rPr>
              <w:t>28,089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28,548</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4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All other</w:t>
            </w:r>
          </w:p>
        </w:tc>
        <w:tc>
          <w:tcPr>
            <w:tcW w:w="9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2,990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3,040</w:t>
            </w:r>
          </w:p>
        </w:tc>
        <w:tc>
          <w:tcPr>
            <w:tcW w:w="380" w:type="dxa"/>
            <w:vAlign w:val="bottom"/>
            <w:shd w:val="clear" w:color="auto" w:fill="EEEEE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20" w:type="dxa"/>
            <w:vAlign w:val="bottom"/>
            <w:gridSpan w:val="2"/>
          </w:tcPr>
          <w:p>
            <w:pPr>
              <w:ind w:left="560"/>
              <w:spacing w:after="0"/>
              <w:rPr>
                <w:sz w:val="20"/>
                <w:szCs w:val="20"/>
                <w:color w:val="auto"/>
              </w:rPr>
            </w:pPr>
            <w:r>
              <w:rPr>
                <w:rFonts w:ascii="Arial" w:cs="Arial" w:eastAsia="Arial" w:hAnsi="Arial"/>
                <w:sz w:val="18"/>
                <w:szCs w:val="18"/>
                <w:color w:val="auto"/>
              </w:rPr>
              <w:t>Total consolidated net sales</w:t>
            </w:r>
          </w:p>
        </w:tc>
        <w:tc>
          <w:tcPr>
            <w:tcW w:w="900" w:type="dxa"/>
            <w:vAlign w:val="bottom"/>
            <w:gridSpan w:val="4"/>
          </w:tcPr>
          <w:p>
            <w:pPr>
              <w:jc w:val="right"/>
              <w:spacing w:after="0"/>
              <w:rPr>
                <w:sz w:val="20"/>
                <w:szCs w:val="20"/>
                <w:color w:val="auto"/>
              </w:rPr>
            </w:pPr>
            <w:r>
              <w:rPr>
                <w:rFonts w:ascii="Arial" w:cs="Arial" w:eastAsia="Arial" w:hAnsi="Arial"/>
                <w:sz w:val="18"/>
                <w:szCs w:val="18"/>
                <w:b w:val="1"/>
                <w:bCs w:val="1"/>
                <w:color w:val="auto"/>
              </w:rPr>
              <w:t>$31,079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6"/>
          </w:tcPr>
          <w:p>
            <w:pPr>
              <w:jc w:val="right"/>
              <w:ind w:right="20"/>
              <w:spacing w:after="0"/>
              <w:rPr>
                <w:sz w:val="20"/>
                <w:szCs w:val="20"/>
                <w:color w:val="auto"/>
              </w:rPr>
            </w:pPr>
            <w:r>
              <w:rPr>
                <w:rFonts w:ascii="Arial" w:cs="Arial" w:eastAsia="Arial" w:hAnsi="Arial"/>
                <w:sz w:val="18"/>
                <w:szCs w:val="18"/>
                <w:color w:val="auto"/>
              </w:rPr>
              <w:t>$31,588</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6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Profit (loss):</w:t>
            </w: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Semiconductor equipment</w:t>
            </w:r>
          </w:p>
        </w:tc>
        <w:tc>
          <w:tcPr>
            <w:tcW w:w="1140" w:type="dxa"/>
            <w:vAlign w:val="bottom"/>
            <w:gridSpan w:val="5"/>
          </w:tcPr>
          <w:p>
            <w:pPr>
              <w:jc w:val="right"/>
              <w:ind w:right="132"/>
              <w:spacing w:after="0"/>
              <w:rPr>
                <w:sz w:val="20"/>
                <w:szCs w:val="20"/>
                <w:color w:val="auto"/>
              </w:rPr>
            </w:pPr>
            <w:r>
              <w:rPr>
                <w:rFonts w:ascii="Arial" w:cs="Arial" w:eastAsia="Arial" w:hAnsi="Arial"/>
                <w:sz w:val="18"/>
                <w:szCs w:val="18"/>
                <w:b w:val="1"/>
                <w:bCs w:val="1"/>
                <w:color w:val="auto"/>
              </w:rPr>
              <w:t>$ (1,822)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7"/>
          </w:tcPr>
          <w:p>
            <w:pPr>
              <w:jc w:val="right"/>
              <w:ind w:right="340"/>
              <w:spacing w:after="0"/>
              <w:rPr>
                <w:sz w:val="20"/>
                <w:szCs w:val="20"/>
                <w:color w:val="auto"/>
              </w:rPr>
            </w:pPr>
            <w:r>
              <w:rPr>
                <w:rFonts w:ascii="Arial" w:cs="Arial" w:eastAsia="Arial" w:hAnsi="Arial"/>
                <w:sz w:val="18"/>
                <w:szCs w:val="18"/>
                <w:color w:val="auto"/>
              </w:rPr>
              <w:t>$ (1,093)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Television cameras</w:t>
            </w:r>
          </w:p>
        </w:tc>
        <w:tc>
          <w:tcPr>
            <w:tcW w:w="9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152</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42</w:t>
            </w:r>
          </w:p>
        </w:tc>
        <w:tc>
          <w:tcPr>
            <w:tcW w:w="380" w:type="dxa"/>
            <w:vAlign w:val="bottom"/>
            <w:shd w:val="clear" w:color="auto" w:fill="EEEEE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0" w:type="dxa"/>
            <w:vAlign w:val="bottom"/>
          </w:tcPr>
          <w:p>
            <w:pPr>
              <w:spacing w:after="0"/>
              <w:rPr>
                <w:sz w:val="24"/>
                <w:szCs w:val="24"/>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Loss for reportable segments</w:t>
            </w:r>
          </w:p>
        </w:tc>
        <w:tc>
          <w:tcPr>
            <w:tcW w:w="1140" w:type="dxa"/>
            <w:vAlign w:val="bottom"/>
            <w:gridSpan w:val="5"/>
          </w:tcPr>
          <w:p>
            <w:pPr>
              <w:jc w:val="right"/>
              <w:ind w:right="132"/>
              <w:spacing w:after="0"/>
              <w:rPr>
                <w:sz w:val="20"/>
                <w:szCs w:val="20"/>
                <w:color w:val="auto"/>
              </w:rPr>
            </w:pPr>
            <w:r>
              <w:rPr>
                <w:rFonts w:ascii="Arial" w:cs="Arial" w:eastAsia="Arial" w:hAnsi="Arial"/>
                <w:sz w:val="18"/>
                <w:szCs w:val="18"/>
                <w:b w:val="1"/>
                <w:bCs w:val="1"/>
                <w:color w:val="auto"/>
              </w:rPr>
              <w:t>(1,670)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7"/>
          </w:tcPr>
          <w:p>
            <w:pPr>
              <w:jc w:val="right"/>
              <w:ind w:right="340"/>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4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All other</w:t>
            </w:r>
          </w:p>
        </w:tc>
        <w:tc>
          <w:tcPr>
            <w:tcW w:w="1140" w:type="dxa"/>
            <w:vAlign w:val="bottom"/>
            <w:gridSpan w:val="5"/>
            <w:shd w:val="clear" w:color="auto" w:fill="EEEEEE"/>
          </w:tcPr>
          <w:p>
            <w:pPr>
              <w:jc w:val="right"/>
              <w:ind w:right="132"/>
              <w:spacing w:after="0"/>
              <w:rPr>
                <w:sz w:val="20"/>
                <w:szCs w:val="20"/>
                <w:color w:val="auto"/>
              </w:rPr>
            </w:pPr>
            <w:r>
              <w:rPr>
                <w:rFonts w:ascii="Arial" w:cs="Arial" w:eastAsia="Arial" w:hAnsi="Arial"/>
                <w:sz w:val="18"/>
                <w:szCs w:val="18"/>
                <w:b w:val="1"/>
                <w:bCs w:val="1"/>
                <w:color w:val="auto"/>
              </w:rPr>
              <w:t>(250)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EEEEE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20" w:type="dxa"/>
            <w:vAlign w:val="bottom"/>
            <w:gridSpan w:val="2"/>
          </w:tcPr>
          <w:p>
            <w:pPr>
              <w:ind w:left="560"/>
              <w:spacing w:after="0"/>
              <w:rPr>
                <w:sz w:val="20"/>
                <w:szCs w:val="20"/>
                <w:color w:val="auto"/>
              </w:rPr>
            </w:pPr>
            <w:r>
              <w:rPr>
                <w:rFonts w:ascii="Arial" w:cs="Arial" w:eastAsia="Arial" w:hAnsi="Arial"/>
                <w:sz w:val="18"/>
                <w:szCs w:val="18"/>
                <w:color w:val="auto"/>
              </w:rPr>
              <w:t>Total consolidated loss</w:t>
            </w:r>
          </w:p>
        </w:tc>
        <w:tc>
          <w:tcPr>
            <w:tcW w:w="1140" w:type="dxa"/>
            <w:vAlign w:val="bottom"/>
            <w:gridSpan w:val="5"/>
          </w:tcPr>
          <w:p>
            <w:pPr>
              <w:jc w:val="right"/>
              <w:ind w:right="132"/>
              <w:spacing w:after="0"/>
              <w:rPr>
                <w:sz w:val="20"/>
                <w:szCs w:val="20"/>
                <w:color w:val="auto"/>
              </w:rPr>
            </w:pPr>
            <w:r>
              <w:rPr>
                <w:rFonts w:ascii="Arial" w:cs="Arial" w:eastAsia="Arial" w:hAnsi="Arial"/>
                <w:sz w:val="18"/>
                <w:szCs w:val="18"/>
                <w:b w:val="1"/>
                <w:bCs w:val="1"/>
                <w:color w:val="auto"/>
              </w:rPr>
              <w:t>(1,920)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7"/>
          </w:tcPr>
          <w:p>
            <w:pPr>
              <w:jc w:val="right"/>
              <w:ind w:right="340"/>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Other unallocated amounts:</w:t>
            </w: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Corporate expenses</w:t>
            </w:r>
          </w:p>
        </w:tc>
        <w:tc>
          <w:tcPr>
            <w:tcW w:w="1140" w:type="dxa"/>
            <w:vAlign w:val="bottom"/>
            <w:gridSpan w:val="5"/>
          </w:tcPr>
          <w:p>
            <w:pPr>
              <w:jc w:val="right"/>
              <w:ind w:right="132"/>
              <w:spacing w:after="0"/>
              <w:rPr>
                <w:sz w:val="20"/>
                <w:szCs w:val="20"/>
                <w:color w:val="auto"/>
              </w:rPr>
            </w:pPr>
            <w:r>
              <w:rPr>
                <w:rFonts w:ascii="Arial" w:cs="Arial" w:eastAsia="Arial" w:hAnsi="Arial"/>
                <w:sz w:val="18"/>
                <w:szCs w:val="18"/>
                <w:b w:val="1"/>
                <w:bCs w:val="1"/>
                <w:color w:val="auto"/>
              </w:rPr>
              <w:t>(550)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7"/>
          </w:tcPr>
          <w:p>
            <w:pPr>
              <w:jc w:val="right"/>
              <w:ind w:right="34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Interest income</w:t>
            </w:r>
          </w:p>
        </w:tc>
        <w:tc>
          <w:tcPr>
            <w:tcW w:w="9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700</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766</w:t>
            </w:r>
          </w:p>
        </w:tc>
        <w:tc>
          <w:tcPr>
            <w:tcW w:w="380" w:type="dxa"/>
            <w:vAlign w:val="bottom"/>
            <w:shd w:val="clear" w:color="auto" w:fill="EEEEE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20" w:type="dxa"/>
            <w:vAlign w:val="bottom"/>
            <w:gridSpan w:val="2"/>
          </w:tcPr>
          <w:p>
            <w:pPr>
              <w:ind w:left="560"/>
              <w:spacing w:after="0"/>
              <w:rPr>
                <w:sz w:val="20"/>
                <w:szCs w:val="20"/>
                <w:color w:val="auto"/>
              </w:rPr>
            </w:pPr>
            <w:r>
              <w:rPr>
                <w:rFonts w:ascii="Arial" w:cs="Arial" w:eastAsia="Arial" w:hAnsi="Arial"/>
                <w:sz w:val="18"/>
                <w:szCs w:val="18"/>
                <w:color w:val="auto"/>
              </w:rPr>
              <w:t>Loss before income taxes</w:t>
            </w:r>
          </w:p>
        </w:tc>
        <w:tc>
          <w:tcPr>
            <w:tcW w:w="1140" w:type="dxa"/>
            <w:vAlign w:val="bottom"/>
            <w:gridSpan w:val="5"/>
          </w:tcPr>
          <w:p>
            <w:pPr>
              <w:jc w:val="right"/>
              <w:ind w:right="132"/>
              <w:spacing w:after="0"/>
              <w:rPr>
                <w:sz w:val="20"/>
                <w:szCs w:val="20"/>
                <w:color w:val="auto"/>
              </w:rPr>
            </w:pPr>
            <w:r>
              <w:rPr>
                <w:rFonts w:ascii="Arial" w:cs="Arial" w:eastAsia="Arial" w:hAnsi="Arial"/>
                <w:sz w:val="18"/>
                <w:szCs w:val="18"/>
                <w:b w:val="1"/>
                <w:bCs w:val="1"/>
                <w:color w:val="auto"/>
              </w:rPr>
              <w:t>$ (1,770)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7"/>
          </w:tcPr>
          <w:p>
            <w:pPr>
              <w:jc w:val="right"/>
              <w:ind w:right="340"/>
              <w:spacing w:after="0"/>
              <w:rPr>
                <w:sz w:val="20"/>
                <w:szCs w:val="20"/>
                <w:color w:val="auto"/>
              </w:rPr>
            </w:pPr>
            <w:r>
              <w:rPr>
                <w:rFonts w:ascii="Arial" w:cs="Arial" w:eastAsia="Arial" w:hAnsi="Arial"/>
                <w:sz w:val="18"/>
                <w:szCs w:val="18"/>
                <w:color w:val="auto"/>
              </w:rPr>
              <w:t>$  (879)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w w:val="94"/>
              </w:rPr>
              <w:t>March 31, 2003</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gridSpan w:val="2"/>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50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9"/>
          </w:tcPr>
          <w:p>
            <w:pPr>
              <w:ind w:left="6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 by segment:</w:t>
            </w:r>
          </w:p>
        </w:tc>
        <w:tc>
          <w:tcPr>
            <w:tcW w:w="1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320"/>
              <w:spacing w:after="0"/>
              <w:rPr>
                <w:sz w:val="20"/>
                <w:szCs w:val="20"/>
                <w:color w:val="auto"/>
              </w:rPr>
            </w:pPr>
            <w:r>
              <w:rPr>
                <w:rFonts w:ascii="Arial" w:cs="Arial" w:eastAsia="Arial" w:hAnsi="Arial"/>
                <w:sz w:val="18"/>
                <w:szCs w:val="18"/>
                <w:color w:val="auto"/>
              </w:rPr>
              <w:t>Semiconductor equipment</w:t>
            </w:r>
          </w:p>
        </w:tc>
        <w:tc>
          <w:tcPr>
            <w:tcW w:w="1140" w:type="dxa"/>
            <w:vAlign w:val="bottom"/>
            <w:gridSpan w:val="5"/>
          </w:tcPr>
          <w:p>
            <w:pPr>
              <w:jc w:val="right"/>
              <w:spacing w:after="0"/>
              <w:rPr>
                <w:sz w:val="20"/>
                <w:szCs w:val="20"/>
                <w:color w:val="auto"/>
              </w:rPr>
            </w:pPr>
            <w:r>
              <w:rPr>
                <w:rFonts w:ascii="Arial" w:cs="Arial" w:eastAsia="Arial" w:hAnsi="Arial"/>
                <w:sz w:val="18"/>
                <w:szCs w:val="18"/>
                <w:b w:val="1"/>
                <w:bCs w:val="1"/>
                <w:color w:val="auto"/>
              </w:rPr>
              <w:t>$ 92,236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8"/>
          </w:tcPr>
          <w:p>
            <w:pPr>
              <w:jc w:val="right"/>
              <w:spacing w:after="0"/>
              <w:rPr>
                <w:sz w:val="20"/>
                <w:szCs w:val="20"/>
                <w:color w:val="auto"/>
              </w:rPr>
            </w:pPr>
            <w:r>
              <w:rPr>
                <w:rFonts w:ascii="Arial" w:cs="Arial" w:eastAsia="Arial" w:hAnsi="Arial"/>
                <w:sz w:val="18"/>
                <w:szCs w:val="18"/>
                <w:color w:val="auto"/>
              </w:rPr>
              <w:t>$ 86,268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Television cameras</w:t>
            </w: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b w:val="1"/>
                <w:bCs w:val="1"/>
                <w:color w:val="auto"/>
              </w:rPr>
              <w:t>8,005</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6,672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560" w:type="dxa"/>
            <w:vAlign w:val="bottom"/>
            <w:gridSpan w:val="3"/>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5"/>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0" w:type="dxa"/>
            <w:vAlign w:val="bottom"/>
          </w:tcPr>
          <w:p>
            <w:pPr>
              <w:spacing w:after="0"/>
              <w:rPr>
                <w:sz w:val="24"/>
                <w:szCs w:val="24"/>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Net sales for reportable segments</w:t>
            </w:r>
          </w:p>
        </w:tc>
        <w:tc>
          <w:tcPr>
            <w:tcW w:w="1140" w:type="dxa"/>
            <w:vAlign w:val="bottom"/>
            <w:gridSpan w:val="5"/>
          </w:tcPr>
          <w:p>
            <w:pPr>
              <w:jc w:val="right"/>
              <w:spacing w:after="0"/>
              <w:rPr>
                <w:sz w:val="20"/>
                <w:szCs w:val="20"/>
                <w:color w:val="auto"/>
              </w:rPr>
            </w:pPr>
            <w:r>
              <w:rPr>
                <w:rFonts w:ascii="Arial" w:cs="Arial" w:eastAsia="Arial" w:hAnsi="Arial"/>
                <w:sz w:val="18"/>
                <w:szCs w:val="18"/>
                <w:b w:val="1"/>
                <w:bCs w:val="1"/>
                <w:color w:val="auto"/>
              </w:rPr>
              <w:t>100,241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8"/>
          </w:tcPr>
          <w:p>
            <w:pPr>
              <w:jc w:val="right"/>
              <w:spacing w:after="0"/>
              <w:rPr>
                <w:sz w:val="20"/>
                <w:szCs w:val="20"/>
                <w:color w:val="auto"/>
              </w:rPr>
            </w:pPr>
            <w:r>
              <w:rPr>
                <w:rFonts w:ascii="Arial" w:cs="Arial" w:eastAsia="Arial" w:hAnsi="Arial"/>
                <w:sz w:val="18"/>
                <w:szCs w:val="18"/>
                <w:color w:val="auto"/>
              </w:rPr>
              <w:t>92,940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All other operating segments</w:t>
            </w: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b w:val="1"/>
                <w:bCs w:val="1"/>
                <w:color w:val="auto"/>
              </w:rPr>
              <w:t>8,115</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9,590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gridSpan w:val="2"/>
          </w:tcPr>
          <w:p>
            <w:pPr>
              <w:ind w:left="320"/>
              <w:spacing w:after="0"/>
              <w:rPr>
                <w:sz w:val="20"/>
                <w:szCs w:val="20"/>
                <w:color w:val="auto"/>
              </w:rPr>
            </w:pPr>
            <w:r>
              <w:rPr>
                <w:rFonts w:ascii="Arial" w:cs="Arial" w:eastAsia="Arial" w:hAnsi="Arial"/>
                <w:sz w:val="18"/>
                <w:szCs w:val="18"/>
                <w:color w:val="auto"/>
                <w:w w:val="94"/>
              </w:rPr>
              <w:t>Corporate, principally cash and investments and deferred taxes</w:t>
            </w:r>
          </w:p>
        </w:tc>
        <w:tc>
          <w:tcPr>
            <w:tcW w:w="1140" w:type="dxa"/>
            <w:vAlign w:val="bottom"/>
            <w:gridSpan w:val="5"/>
          </w:tcPr>
          <w:p>
            <w:pPr>
              <w:jc w:val="right"/>
              <w:spacing w:after="0"/>
              <w:rPr>
                <w:sz w:val="20"/>
                <w:szCs w:val="20"/>
                <w:color w:val="auto"/>
              </w:rPr>
            </w:pPr>
            <w:r>
              <w:rPr>
                <w:rFonts w:ascii="Arial" w:cs="Arial" w:eastAsia="Arial" w:hAnsi="Arial"/>
                <w:sz w:val="18"/>
                <w:szCs w:val="18"/>
                <w:b w:val="1"/>
                <w:bCs w:val="1"/>
                <w:color w:val="auto"/>
              </w:rPr>
              <w:t>116,640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8"/>
          </w:tcPr>
          <w:p>
            <w:pPr>
              <w:jc w:val="right"/>
              <w:spacing w:after="0"/>
              <w:rPr>
                <w:sz w:val="20"/>
                <w:szCs w:val="20"/>
                <w:color w:val="auto"/>
              </w:rPr>
            </w:pPr>
            <w:r>
              <w:rPr>
                <w:rFonts w:ascii="Arial" w:cs="Arial" w:eastAsia="Arial" w:hAnsi="Arial"/>
                <w:sz w:val="18"/>
                <w:szCs w:val="18"/>
                <w:color w:val="auto"/>
              </w:rPr>
              <w:t>119,273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1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50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consolidated assets</w:t>
            </w: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b w:val="1"/>
                <w:bCs w:val="1"/>
                <w:color w:val="auto"/>
              </w:rPr>
              <w:t>$224,996</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$221,803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20" w:type="dxa"/>
            <w:vAlign w:val="bottom"/>
            <w:gridSpan w:val="2"/>
          </w:tcPr>
          <w:p>
            <w:pPr>
              <w:spacing w:after="0"/>
              <w:rPr>
                <w:sz w:val="9"/>
                <w:szCs w:val="9"/>
                <w:color w:val="auto"/>
              </w:rPr>
            </w:pPr>
          </w:p>
        </w:tc>
        <w:tc>
          <w:tcPr>
            <w:tcW w:w="560" w:type="dxa"/>
            <w:vAlign w:val="bottom"/>
            <w:gridSpan w:val="3"/>
          </w:tcPr>
          <w:p>
            <w:pPr>
              <w:spacing w:after="0"/>
              <w:rPr>
                <w:sz w:val="9"/>
                <w:szCs w:val="9"/>
                <w:color w:val="auto"/>
              </w:rPr>
            </w:pPr>
          </w:p>
        </w:tc>
        <w:tc>
          <w:tcPr>
            <w:tcW w:w="5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5"/>
          </w:tcPr>
          <w:p>
            <w:pPr>
              <w:spacing w:after="0"/>
              <w:rPr>
                <w:sz w:val="9"/>
                <w:szCs w:val="9"/>
                <w:color w:val="auto"/>
              </w:rPr>
            </w:pPr>
          </w:p>
        </w:tc>
        <w:tc>
          <w:tcPr>
            <w:tcW w:w="5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20" w:type="dxa"/>
            <w:vAlign w:val="bottom"/>
            <w:gridSpan w:val="2"/>
          </w:tcPr>
          <w:p>
            <w:pPr>
              <w:spacing w:after="0"/>
              <w:rPr>
                <w:sz w:val="5"/>
                <w:szCs w:val="5"/>
                <w:color w:val="auto"/>
              </w:rPr>
            </w:pPr>
          </w:p>
        </w:tc>
        <w:tc>
          <w:tcPr>
            <w:tcW w:w="560" w:type="dxa"/>
            <w:vAlign w:val="bottom"/>
            <w:gridSpan w:val="3"/>
          </w:tcPr>
          <w:p>
            <w:pPr>
              <w:spacing w:after="0"/>
              <w:rPr>
                <w:sz w:val="5"/>
                <w:szCs w:val="5"/>
                <w:color w:val="auto"/>
              </w:rPr>
            </w:pPr>
          </w:p>
        </w:tc>
        <w:tc>
          <w:tcPr>
            <w:tcW w:w="580" w:type="dxa"/>
            <w:vAlign w:val="bottom"/>
            <w:gridSpan w:val="2"/>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5"/>
          </w:tcPr>
          <w:p>
            <w:pPr>
              <w:spacing w:after="0"/>
              <w:rPr>
                <w:sz w:val="5"/>
                <w:szCs w:val="5"/>
                <w:color w:val="auto"/>
              </w:rPr>
            </w:pPr>
          </w:p>
        </w:tc>
        <w:tc>
          <w:tcPr>
            <w:tcW w:w="500" w:type="dxa"/>
            <w:vAlign w:val="bottom"/>
            <w:gridSpan w:val="2"/>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1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140" w:type="dxa"/>
            <w:vAlign w:val="bottom"/>
            <w:gridSpan w:val="5"/>
          </w:tcPr>
          <w:p>
            <w:pPr>
              <w:jc w:val="right"/>
              <w:spacing w:after="0"/>
              <w:rPr>
                <w:sz w:val="20"/>
                <w:szCs w:val="20"/>
                <w:color w:val="auto"/>
              </w:rPr>
            </w:pPr>
            <w:r>
              <w:rPr>
                <w:rFonts w:ascii="Arial" w:cs="Arial" w:eastAsia="Arial" w:hAnsi="Arial"/>
                <w:sz w:val="18"/>
                <w:szCs w:val="18"/>
                <w:b w:val="1"/>
                <w:bCs w:val="1"/>
                <w:color w:val="auto"/>
              </w:rPr>
              <w:t>$140,126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8"/>
          </w:tcPr>
          <w:p>
            <w:pPr>
              <w:jc w:val="right"/>
              <w:spacing w:after="0"/>
              <w:rPr>
                <w:sz w:val="20"/>
                <w:szCs w:val="20"/>
                <w:color w:val="auto"/>
              </w:rPr>
            </w:pPr>
            <w:r>
              <w:rPr>
                <w:rFonts w:ascii="Arial" w:cs="Arial" w:eastAsia="Arial" w:hAnsi="Arial"/>
                <w:sz w:val="18"/>
                <w:szCs w:val="18"/>
                <w:color w:val="auto"/>
              </w:rPr>
              <w:t>$140,539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b w:val="1"/>
                <w:bCs w:val="1"/>
                <w:color w:val="auto"/>
              </w:rPr>
              <w:t>$188,626</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$190,094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31"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August 17, 2001, Broadcast Microwave Services, Inc. (“BMS”), a wholly owned subsidiary of Cohu, was named as a defendant in a lawsuit filed by Adrienne Alpert and Barry Paulk in the Los Angeles County Superior Court, State of California. The suit alleges, among other things, that BMS and the other named defendants provided certain defective components or products and that as a result on May 22, 2000, Ms. Alpert suffered severe bodily injuries in an accident involving an electronic news gathering vehicle. The suit seeks general, special and exemplary damages of an unspecified amount. Extensive discovery in the case has occurred and trial is currently scheduled for July, 2003. Although the outcome of any litigation cannot be predicted with certainty, Cohu believes the plaintiff’s claims against BMS are without merit and that the resolution of the case will not have a material adverse effect on Cohu’s financial position or results of operations.</w:t>
      </w:r>
    </w:p>
    <w:p>
      <w:pPr>
        <w:sectPr>
          <w:pgSz w:w="11900" w:h="16838" w:orient="portrait"/>
          <w:cols w:equalWidth="0" w:num="1">
            <w:col w:w="11380"/>
          </w:cols>
          <w:pgMar w:left="240" w:top="419" w:right="279" w:bottom="1112" w:gutter="0" w:footer="0" w:header="0"/>
        </w:sectPr>
      </w:pP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112"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2003</w:t>
      </w:r>
    </w:p>
    <w:p>
      <w:pPr>
        <w:spacing w:after="0" w:line="219" w:lineRule="exact"/>
        <w:rPr>
          <w:sz w:val="20"/>
          <w:szCs w:val="20"/>
          <w:color w:val="auto"/>
        </w:rPr>
      </w:pPr>
    </w:p>
    <w:p>
      <w:pPr>
        <w:ind w:left="460" w:right="300"/>
        <w:spacing w:after="0" w:line="306" w:lineRule="auto"/>
        <w:rPr>
          <w:sz w:val="20"/>
          <w:szCs w:val="20"/>
          <w:color w:val="auto"/>
        </w:rPr>
      </w:pPr>
      <w:r>
        <w:rPr>
          <w:rFonts w:ascii="Arial" w:cs="Arial" w:eastAsia="Arial" w:hAnsi="Arial"/>
          <w:sz w:val="16"/>
          <w:szCs w:val="16"/>
          <w:color w:val="auto"/>
        </w:rPr>
        <w:t>Cohu is also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5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1"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On April 10, 2003, Cohu announced that its Delta Design, Inc. subsidiary (“Delta”) was relocating its Littleton, Massachusetts operation to its headquarters facility in Poway, California. Cohu expects the consolidation to be completed in approximately six months. Cohu expects to incur charges primarily in the second and third quarters of 2003 totaling approximately $2.5 million for severance and other related exit costs.</w:t>
      </w:r>
    </w:p>
    <w:p>
      <w:pPr>
        <w:spacing w:after="0" w:line="160" w:lineRule="exact"/>
        <w:rPr>
          <w:rFonts w:ascii="Arial" w:cs="Arial" w:eastAsia="Arial" w:hAnsi="Arial"/>
          <w:sz w:val="18"/>
          <w:szCs w:val="18"/>
          <w:b w:val="1"/>
          <w:bCs w:val="1"/>
          <w:color w:val="auto"/>
        </w:rPr>
      </w:pPr>
    </w:p>
    <w:p>
      <w:pPr>
        <w:ind w:left="460"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April, 2003, Delta completed the relocation of its Columbus, Ohio operations to its facility in Poway, California. The consolidation is expected to reduce costs without impacting the revenue generating activities of Delta. The Company recorded charges to operations in the quarter ended March 31, 2003, totaling $630,000 for severance and one-time termination benefits and $117,000 for contract termination costs primarily related to the leased facility. These charges are included in cost of sales ($47,000), research and development ($570,000) and selling, general and administrative expense ($130,000). Exit related costs expected to be charged to operations subsequent to the quarter ended March 31, 2003 are not expected to be significant.</w:t>
      </w:r>
    </w:p>
    <w:p>
      <w:pPr>
        <w:spacing w:after="0" w:line="170"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On April 25, 2003, Cohu sold twelve acres of land in Poway, California held for future development for $9.0 million in cash resulting in a pretax gain of approximately $7.9 million.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2003</w:t>
      </w:r>
    </w:p>
    <w:p>
      <w:pPr>
        <w:spacing w:after="0" w:line="21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“intend” and similar expressions are intended to identify such statements. Although the forward-looking statements in this Form 10-Q reflect the good faith judgment of our management,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Cohu’s discussion and analysis of its financial condition and results of operations are based upon Cohu’s consolidated financial statements, which have been prepared in accordance with accounting principles generally accepted in the United States.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in the Cohu 2002 Annual Report on Form 10-K filed with the Securities and Exchange Commission, affect the significant judgments and estimates used in the preparation of its consolidated financial statements.</w:t>
      </w:r>
    </w:p>
    <w:p>
      <w:pPr>
        <w:spacing w:after="0" w:line="168"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Cohu generally recognizes revenue upon shipment and title passage for established products (i.e., those that have previously satisfied</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w:t>
      </w:r>
    </w:p>
    <w:p>
      <w:pPr>
        <w:spacing w:after="0" w:line="15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 Cohu maintains an allowance for doubtful accounts for estimated losses resulting from the inability of its customers to make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If the financial condition of Cohu’s customers were to deteriorate, resulting in an impairment of their ability to make payments, additional allowances may be required.</w:t>
      </w:r>
    </w:p>
    <w:p>
      <w:pPr>
        <w:spacing w:after="0" w:line="186" w:lineRule="exact"/>
        <w:rPr>
          <w:sz w:val="20"/>
          <w:szCs w:val="20"/>
          <w:color w:val="auto"/>
        </w:rPr>
      </w:pPr>
    </w:p>
    <w:p>
      <w:pPr>
        <w:jc w:val="both"/>
        <w:ind w:right="240"/>
        <w:spacing w:after="0" w:line="310"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Cohu provides for the estimated costs of product warranties in the period sales are recognized. Cohu’s warranty obligation is affected by historical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w:t>
      </w:r>
    </w:p>
    <w:p>
      <w:pPr>
        <w:spacing w:after="0" w:line="151"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Inventory: </w:t>
      </w:r>
      <w:r>
        <w:rPr>
          <w:rFonts w:ascii="Arial" w:cs="Arial" w:eastAsia="Arial" w:hAnsi="Arial"/>
          <w:sz w:val="16"/>
          <w:szCs w:val="16"/>
          <w:color w:val="auto"/>
        </w:rPr>
        <w:t>Cohu records valuation reserves on its inventory for estimated excess and obsolete inventory equal to the difference between the cost of inventory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estimated market value based upon assumptions about future product demand and market conditions. If future product demand or market conditions are less or more favorable than those projected by management, changes to inventory reserves may be required.</w:t>
      </w:r>
    </w:p>
    <w:p>
      <w:pPr>
        <w:spacing w:after="0" w:line="151" w:lineRule="exact"/>
        <w:rPr>
          <w:sz w:val="20"/>
          <w:szCs w:val="20"/>
          <w:color w:val="auto"/>
        </w:rPr>
      </w:pPr>
    </w:p>
    <w:p>
      <w:pPr>
        <w:spacing w:after="0" w:line="311" w:lineRule="auto"/>
        <w:rPr>
          <w:sz w:val="20"/>
          <w:szCs w:val="20"/>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color w:val="auto"/>
        </w:rPr>
        <w:t>Cohu estimates income taxes based on the various jurisdictions where we conduct business. This requires us to estimate our actual current tax</w:t>
      </w:r>
      <w:r>
        <w:rPr>
          <w:rFonts w:ascii="Arial" w:cs="Arial" w:eastAsia="Arial" w:hAnsi="Arial"/>
          <w:sz w:val="15"/>
          <w:szCs w:val="15"/>
          <w:b w:val="1"/>
          <w:bCs w:val="1"/>
          <w:color w:val="auto"/>
        </w:rPr>
        <w:t xml:space="preserve"> </w:t>
      </w:r>
      <w:r>
        <w:rPr>
          <w:rFonts w:ascii="Arial" w:cs="Arial" w:eastAsia="Arial" w:hAnsi="Arial"/>
          <w:sz w:val="15"/>
          <w:szCs w:val="15"/>
          <w:color w:val="auto"/>
        </w:rPr>
        <w:t>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a valuation allowance or increasing this allowance in an accounting period results in tax expense in the statement of operations. Cohu must make significant judgments to determine the provision for income taxes, deferred tax assets and liabilities and any valuation allowance to be recorded against net deferred tax assets. Our net deferred tax asset balance as of December 31, 2002 and March 31, 2003, was $6.1 million, net of a valuation allowance of $4.7 million. We recorded the valuation allowance in the fourth quarter of 2002 as a result of our recent losses and to reflect uncertainties surrounding our ability to generate future taxable income and our corresponding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2003</w:t>
      </w:r>
    </w:p>
    <w:p>
      <w:pPr>
        <w:spacing w:after="0" w:line="219"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ability to utilize our deferred tax assets. The deferred tax assets consist primarily of deductible temporary differences, tax credit and net operating loss carryforwards.</w:t>
      </w:r>
    </w:p>
    <w:p>
      <w:pPr>
        <w:spacing w:after="0" w:line="180"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b w:val="1"/>
          <w:bCs w:val="1"/>
          <w:color w:val="auto"/>
        </w:rPr>
        <w:t xml:space="preserve">Intangible Assets: </w:t>
      </w:r>
      <w:r>
        <w:rPr>
          <w:rFonts w:ascii="Arial" w:cs="Arial" w:eastAsia="Arial" w:hAnsi="Arial"/>
          <w:sz w:val="16"/>
          <w:szCs w:val="16"/>
          <w:color w:val="auto"/>
        </w:rPr>
        <w:t>At March 31, 2003, intangible assets other than goodwill were evaluated for impairment using undiscounted cash flows expected to result</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use of the assets as required by FASB Statement No. 144 and we concluded there was no impairment loss. Cohu was required to assess goodwill impairment in 2002 using the methodology prescribed by FASB Statement No. 142. Statement No. 142 requires that goodwill be tested for impairment on an annual basis and more frequently in certain circumstances. The required annual goodwill impairment test was performed as of October 1, 2002. Cohu did not recognize any goodwill impairment as a result of performing this annual test.</w:t>
      </w:r>
    </w:p>
    <w:p>
      <w:pPr>
        <w:spacing w:after="0" w:line="16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In June, 2002, the FASB issued Statement No. 146,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No. 146 addresses financial accounting and reporting for costs associated with exit or disposal activities and nullifies Emerging Issues Task Force Issue No. 94-3. The adoption of Statement No. 146 is effective for exit or disposal activities that are initiated after December 31, 2002, including Cohu’s recently announced Columbus, Ohio and Littleton, Massachusetts facilities consolidations.</w:t>
      </w:r>
    </w:p>
    <w:p>
      <w:pPr>
        <w:spacing w:after="0" w:line="19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In November, 2002, the FASB EITF reached a consensus on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xml:space="preserve"> EITF Issue No. 00-21 provides guidance on how to account for arrangements that involve the delivery or performance of multiple products, services and/or rights to use assets. The provisions of EITF Issue No. 00-21 will apply to revenue arrangements entered into in fiscal periods beginning after June 15, 2003. The Company is currently evaluating the effect that the adoption of EITF Issue No. 00-21 will have on its results of operations and financial condition.</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2003, the FASB issued FASB Interpretation No. 46 “(FIN 46”), </w:t>
      </w:r>
      <w:r>
        <w:rPr>
          <w:rFonts w:ascii="Arial" w:cs="Arial" w:eastAsia="Arial" w:hAnsi="Arial"/>
          <w:sz w:val="16"/>
          <w:szCs w:val="16"/>
          <w:i w:val="1"/>
          <w:iCs w:val="1"/>
          <w:color w:val="auto"/>
        </w:rPr>
        <w:t>“Consolidation of Variable Interest Entities, an interpretation of ARB No. 51.”</w:t>
      </w:r>
      <w:r>
        <w:rPr>
          <w:rFonts w:ascii="Arial" w:cs="Arial" w:eastAsia="Arial" w:hAnsi="Arial"/>
          <w:sz w:val="16"/>
          <w:szCs w:val="16"/>
          <w:color w:val="auto"/>
        </w:rPr>
        <w:t xml:space="preserve"> FIN 46 provides guidance on: 1) the identification of entities for which control is achieved through means other than through voting rights, known as “variable interest entities” (“VIEs”); and 2) which business enterprise is the primary beneficiary and when it should consolidate the VIE. This new model for consolidation applies to entities: 1) where the equity investors (if any) do not have a controlling financial interest; or 2) whose equity investment at risk is insufficient to finance that entity’s activities without receiving additional subordinated financial support from other parties. In addition, FIN 46 requires that both the primary beneficiary and all other enterprises with a significant variable interest in a VIE make additional disclosures. FIN 46 is effective for all new VIEs created or acquired after January 31, 2003. For VIEs created or acquired prior to February 1, 2003, the provisions of FIN 46 must be applied no later than the beginning of the first interim or annual reporting period beginning after June 15, 2003. Certain disclosures are effective immediately. Cohu is in the process of assessing the effect of FIN 46.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Cohu’s primary business activity involves the development, manufacture, marketing and servicing of test handling equipment for the global semiconductor industry. Demand for Cohu’s products can change significantly from period to period as a result of numerous factors including, but not limited to, changes in global economic conditions, supply and demand for semiconductors, changes in semiconductor manufacturing capacity and processes and competitive product offerings. Due to these and other factors, Cohu’s results of operations for the periods described below, may not be indicative of future operating results. Certain matters discussed below, including expectations of market conditions, challenges and plans, are forward-looking statements that are subject to the risks and uncertainties noted herein. Such risks and uncertainties could cause actual results to differ materially from those projected.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2003 Compared to Three Months Ended March 31, 2002</w:t>
      </w:r>
    </w:p>
    <w:p>
      <w:pPr>
        <w:spacing w:after="0" w:line="2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Cohu continued to be impacted by the downturn in the semiconductor equipment industry that began in late 2000. Our net sales decreased 2% to $31.1 million in 2003, compared to net sales of $31.6 million in 2002. Sales of semiconductor test handling equipment in 2003 decreased 3% from the 2002 period and accounted for 77% of consolidated net sales in 2003, versus 78% in 2002. Sales of television cameras and other equipment accounted for 13% of net sales in 2003 and increased 6% when compared to 2002, while the combined sales of metal detection and microwave equipment decreased 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2003</w:t>
      </w:r>
    </w:p>
    <w:p>
      <w:pPr>
        <w:spacing w:after="0" w:line="21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At March 31, 2003, the Company had deferred revenue totaling approximately $14.3 million and deferred profit of $7.4 million. At December 31, 2002, the Company had deferred revenue totaling approximately $9.8 million and deferred profit of $5.2 million. The increase in deferred revenue and profit is primarily related to the deferral of revenue on certain semiconductor test handler upgrades that have been shipped and installed and are awaiting customer acceptance</w:t>
      </w:r>
    </w:p>
    <w:p>
      <w:pPr>
        <w:spacing w:after="0" w:line="16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Gross margin as a percentage of net sales decreased to 33.4% in 2003 from 38.1% in 2002, primarily as a result of lower margins in the semiconductor equipment business. Within the semiconductor equipment segment, margins decreased in 2003, primarily as a result of charges in product mix. Cohu computes the majority of its excess and obsolete inventory reserve requirements using a one-year inventory usage forecast. During 2003 and 2002, we recorded net charges to cost of sales of approximately $0.5 million and $0.3 million, respectively, primarily as a result of declines in customer forecasts that negatively impacted our forecasted inventory usage. While we believe our reserves for excess and obsolete inventory are adequate to cover our exposures at March 31, 2003, reductions in customer forecasts may require additional charges to operations that could negatively impact our gross margin in future periods. Conversely, if our actual inventory usage is greater than our forecasted usage, reductions to our inventory reserve requirements may favorably impact our gross margin in future periods.</w:t>
      </w:r>
    </w:p>
    <w:p>
      <w:pPr>
        <w:spacing w:after="0" w:line="15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Research and development expense (“R&amp;D”) as a percentage of net sales was 22.3% in 2003, compared to 24.0% in 2002, decreasing in absolute dollars from $7.6 million in 2002, to $6.9 million in 2003. The decrease in R&amp;D was primarily the result of lower R&amp;D material costs for product development in the semiconductor equipment business.</w:t>
      </w:r>
    </w:p>
    <w:p>
      <w:pPr>
        <w:spacing w:after="0" w:line="19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Selling, general and administrative expense (“SG&amp;A”) as a percentage of net sales decreased to 19.0% in 2003, from 19.4% in 2002, decreasing from $6.1 million in 2002 to $5.9 million in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$0.7 million and $0.8 million in 2003 and 2002, respectively. The decline in interest income was due to lower interest rates.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benefit for income taxes expressed as a percentage of pre-tax income was 22.6% in 2003 and 34.1% in 2002. The benefit for income taxes is based on the estimated effective tax rate for the entire year and in 2003 is lower than the U.S federal statutory rate primarily due to tax credits. At December 31, 2002 and March 31, 2003, Cohu assessed the need for a valuation allowance on its deferred tax assets. Realization of the deferred tax assets is dependent upon the Company generating sufficient taxable income, in appropriate tax jurisdictions, in future years, to obtain benefit from the reversal of temporary differences and net operating tax loss and credit carryforwards. At March 31, 2003 and December 31, 2002, the Company has recorded a valuation allowance of approximately $4.7 million against deferred tax assets due to the uncertainties surrounding their realization. The amount of deferred tax assets considered realizable is subject to adjustment in future periods should Cohu determine that estimates of future taxable income are reduced or increased.</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Cohu tested the $8.3 million of goodwill resulting from the Automated Systems acquisition for impairment during 2002, as required by FASB Statement No. 142, </w:t>
      </w: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During 2002, the Company completed the required transitional and annual goodwill impairment tests. The Company did</w:t>
      </w:r>
      <w:r>
        <w:rPr>
          <w:rFonts w:ascii="Arial" w:cs="Arial" w:eastAsia="Arial" w:hAnsi="Arial"/>
          <w:sz w:val="18"/>
          <w:szCs w:val="18"/>
          <w:i w:val="1"/>
          <w:iCs w:val="1"/>
          <w:color w:val="auto"/>
        </w:rPr>
        <w:t xml:space="preserve"> </w:t>
      </w:r>
      <w:r>
        <w:rPr>
          <w:rFonts w:ascii="Arial" w:cs="Arial" w:eastAsia="Arial" w:hAnsi="Arial"/>
          <w:sz w:val="18"/>
          <w:szCs w:val="18"/>
          <w:color w:val="auto"/>
        </w:rPr>
        <w:t>not record an impairment loss as a result of these impairment tests as the estimated fair value of the related reporting unit was in excess of the carrying amount of its assets, including goodwill. A decline in the fair value of the reporting unit may indicate impairment that could result in a charge to Cohu’s future operating results.</w:t>
      </w:r>
    </w:p>
    <w:p>
      <w:pPr>
        <w:spacing w:after="0" w:line="1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2002, Cohu invested $2.5 million in KryoTech, Inc. preferred stock. Cohu is committed to invest an additional $2.5 million in KryoTech subject to the successful completion of a joint development program between the companies and the satisfaction of certain other conditions. Cohu is accounting for its less than 10% ownership interest in KryoTech under the cost method. It is not currently known when or if Cohu will make the second $2.5 million investment in KryoTech. Additionally, any decrease in the value of the initial $2.5 million investment that is deemed other than temporary will result in a writedown of the investment with a corresponding charge to Cohu’s results of operations. A future writedown of all or a portion of this investment could adversely impact Cohu’s 2003 results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2003</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10, 2003, Cohu announced that its Delta Design subsidiary was relocating its Littleton, Massachusetts operation to its headquarters facility in Poway, California. Cohu expects the consolidation to be completed in approximately six months. Cohu expects to incur charges primarily in the second and third quarters of 2003 totaling approximately $2.5 million for severance and other related exit costs.</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2003, Cohu’s Delta Design subsidiary completed the relocation of its Columbus, Ohio operations to its headquarters facility in Poway, California. The consolidation is expected to reduce costs without impacting the revenue generating activities of Delta Design. The Company recorded charges to operations in the quarter ended March 31, 2003, totaling $0.6 million for severance and one-time termination benefits and $0.1 million for contract termination costs primarily related to the leased facility. Exit related costs expected to be charged to operations subsequent to the quarter ended March 31, 2003 are not expected to be significant.</w:t>
      </w:r>
    </w:p>
    <w:p>
      <w:pPr>
        <w:spacing w:after="0" w:line="19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On April 25, 2003, Cohu sold twelve acres of land in Poway, California held for future development for $9.0 million in cash resulting in a pretax gain of approximately $7.9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$1.4 million in 2003, compared to a net loss of $0.6 million in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Our net cash flows used for operating activities in the first three months of 2003 totaled $3.9 million. The major components of cash flows used for operating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were a net loss of $1.4 million, the net change in current assets and liabilities totaling $3.6 million, less depreciation and amortization of $1.1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Net cash used for investing activities included $22.4 million for the purchase of short-term investments, less sales and maturities, and purchases of property, plant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equipment and other assets of $0.2 million offset by a $0.2 million payment on a note receivable. Cash provided by financing activities included $1.0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from the issuance of stock upon the exercise of stock options offset by $1.0 million for the payment of dividends. Cohu has a $5 million bank line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of which approximately $2.5 million has been allocated to outstanding standby letters of credit, and working capital of $140.1 million at March 31, 2003.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calendar year minimum payments on operating leases as of March 31, 2003, are: 2003 — $856,000; 2004 — $959,000; 2005 — $691,000; 2006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$49,000; 2007 - $14,000; totaling $2,569,000. It is anticipated that present working capital and available borrowings under the line of credit will be sufficient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meet our operating requirements for at least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5"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2002 and 2003.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inventory write-offs and reserve requirements. In the years ended December 31, 2002 and December 31, 2001, we recorded pretax net inventory related charges of approximately $2.5 million and $15.9 million, respectively, primarily as a result of changes in customer forecasts.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rely on a limited number of customers for a substantial percentage of our net sales. In the year ended December 31, 2002, two customers of the semiconductor equipment segment accounted for 53% (44% in 2001, and 38% 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2003</w:t>
      </w:r>
    </w:p>
    <w:p>
      <w:pPr>
        <w:spacing w:after="0" w:line="219" w:lineRule="exact"/>
        <w:rPr>
          <w:sz w:val="20"/>
          <w:szCs w:val="20"/>
          <w:color w:val="auto"/>
        </w:rPr>
      </w:pPr>
    </w:p>
    <w:p>
      <w:pPr>
        <w:ind w:right="260"/>
        <w:spacing w:after="0" w:line="310" w:lineRule="auto"/>
        <w:rPr>
          <w:sz w:val="20"/>
          <w:szCs w:val="20"/>
          <w:color w:val="auto"/>
        </w:rPr>
      </w:pPr>
      <w:r>
        <w:rPr>
          <w:rFonts w:ascii="Arial" w:cs="Arial" w:eastAsia="Arial" w:hAnsi="Arial"/>
          <w:sz w:val="15"/>
          <w:szCs w:val="15"/>
          <w:color w:val="auto"/>
        </w:rPr>
        <w:t>2000) of our net sales. During the past five years, the percentage of Cohu’s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5"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semiconductor test handler industry is intensely competitive and we face substantial competition from numerous companies throughout the world.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If we are unable to reduce the cost of our existing products and successfully introduce new lower cost products we expect these competitive conditions to negatively impact our gross margin and operating results for the foreseeable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r>
        <w:rPr>
          <w:rFonts w:ascii="Arial" w:cs="Arial" w:eastAsia="Arial" w:hAnsi="Arial"/>
          <w:sz w:val="18"/>
          <w:szCs w:val="18"/>
          <w:color w:val="auto"/>
        </w:rPr>
        <w:t>.</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$14.2 million in cash. A significant portion of the purchase price was allocated to goodwill and other intangible assets. In the fourth quarter of 2002, Cohu invested $2.5 million in KryoTech, Inc. preferred stock and $1.7 million in intangible assets for certain technology.</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Acquisitions and investments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goodwill and equity investments, including our investment in KryoTech, that could result in significant charges to operating results in future periods. In addition, such acquisitions or investments may result in immediate charges to operating results. Mergers and acquisitions are inherently risky and the inability to effectively manage these risks could materially and adversely affect Cohu’s business, financial condition and results of operations.</w:t>
      </w:r>
    </w:p>
    <w:p>
      <w:pPr>
        <w:spacing w:after="0" w:line="1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We have taken and expect to continue to take remedial measures to address the slowdown in the semiconductor equipment industry that may affect our ability to be competitive.</w:t>
      </w:r>
    </w:p>
    <w:p>
      <w:pPr>
        <w:ind w:right="180"/>
        <w:spacing w:after="0" w:line="255" w:lineRule="auto"/>
        <w:rPr>
          <w:sz w:val="20"/>
          <w:szCs w:val="20"/>
          <w:color w:val="auto"/>
        </w:rPr>
      </w:pPr>
      <w:r>
        <w:rPr>
          <w:rFonts w:ascii="Arial" w:cs="Arial" w:eastAsia="Arial" w:hAnsi="Arial"/>
          <w:sz w:val="18"/>
          <w:szCs w:val="18"/>
          <w:color w:val="auto"/>
        </w:rPr>
        <w:t>We have taken and will continue to assess the need to take remedial measures to address the slowdown in the market for our products. In particular, we reduced our workforce, including reductions in September and October, 2002 and January and March, 2003, delayed salary increases, reduced senior executives’ pay, implemented furloughs,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2003</w:t>
      </w:r>
    </w:p>
    <w:p>
      <w:pPr>
        <w:spacing w:after="0" w:line="21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announced facilities consolidations and reduced expense budgets. In January and April, 2003, we announced the consolidation of Delta Design’s Columbus, Ohio and Littleton, Massachusetts operations into our Poway, California facility. Further workforce reductions are possible if the current worldwide slowdown in demand for high technology products persists. Each of these measures could have long-term effects on our business by reducing our pool of technical talent, decreasing or slowing improvements in our products and making it more difficult for us to respond to customers needs.</w:t>
      </w:r>
    </w:p>
    <w:p>
      <w:pPr>
        <w:spacing w:after="0" w:line="167"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ind w:right="20"/>
        <w:spacing w:after="0" w:line="287"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by Cohu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the third and fourth quarters of 2000 and the first three quarters of 2001. Future inventory write-offs and increased inventory reserve requirements could have a material adverse impact on our results of operations and financial condition.</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 packages is accelerating. As a result of these changes and other factors, assessing the market potential and 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7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Our revenues in recent quarters were, however, lower than our backlog at the end of the preceding quarter.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In 2002, we reduced backlog by approximately $2.5 million due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2003</w:t>
      </w:r>
    </w:p>
    <w:p>
      <w:pPr>
        <w:spacing w:after="0" w:line="21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customer cancellations. Furthermore, all orders are subject to cancellation or rescheduling by the customer with limited penalty. A reduction in backlog during any particular period could have a material adverse effect on our business, financial condition and results of operations. In addition, backlog at March 31, 2003, may not be a reliable indicator of revenues in future periods due to customer requested changes to delivery schedules, order cancellations and delays in recognizing revenue due to accounting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Workforce reductions have continued in the third and fourth quarter of 2002 and January and March, 2003. In January and April, 2003, we announced the consolidation of Delta Design’s Columbus, Ohio and Littleton, Massachusetts operations into our Poway, California facility.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Sales of gravity-feed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Pick-and-place IC handlers used in DRAM applications account for a significant portion of the worldwide IC handler market and Cohu’s market share in the DRAM segment is negligible. While Cohu’s share of the gravity-feed handler market is minimal, such handlers are used in numerous non DRAM applications and continue to represent a significant portion of the worldwide test handler market. Our failure to participate in the DRAM and/or gravity-feed market segments could adversely impact our business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5"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38" w:lineRule="exact"/>
        <w:rPr>
          <w:sz w:val="20"/>
          <w:szCs w:val="20"/>
          <w:color w:val="auto"/>
        </w:rPr>
      </w:pPr>
    </w:p>
    <w:p>
      <w:pPr>
        <w:jc w:val="both"/>
        <w:ind w:right="360"/>
        <w:spacing w:after="0" w:line="295" w:lineRule="auto"/>
        <w:rPr>
          <w:sz w:val="20"/>
          <w:szCs w:val="20"/>
          <w:color w:val="auto"/>
        </w:rPr>
      </w:pPr>
      <w:r>
        <w:rPr>
          <w:rFonts w:ascii="Arial" w:cs="Arial" w:eastAsia="Arial" w:hAnsi="Arial"/>
          <w:sz w:val="16"/>
          <w:szCs w:val="16"/>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2003</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parts and components from certain key suppliers. Our results of operations may be materially and adversely impacted if we do not receive sufficient parts to meet our requirements in a timely and cost effective manner.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that third parties may violate our proprietary rights or accuse us of infringing upon their proprietary rights.</w:t>
      </w: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instability and we compete against a number of Asian test handling equipment suppliers.</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year ended December 31, 2002, 63% of our total net sales were exported to foreign countries, including 76%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 over the last five years.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these businesses over the last several years and the future prospects for certain of these businesses remain uncertain. We may not be able to continue to compete successfully in these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our future operating results.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 December, 1999, the staff of the Securities and Exchange Commission issued SAB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Cohu adopted SAB 101 in the fourth quarter of 2000, and, as required, changed its method of revenue recognition in certain instances. As a result of this change, a cumulative effect adjustment was recorded in Cohu’s statement of income for the quarter ended March 31, 2000. Further changes in revenue recognition practices resulting from initiatives by the FASB are possible. In addition, the FASB recently advocated changing the accounting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2003</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stock-based compensation requiring the recognition of compensation expense. Such changes could result in additional adjustments to our results of operations that may be reflected in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5"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$61.75 to $9.78. The price of our stock may be more volatile than other companies due to, among other factors, the unpredictable and cyclical nature of the semiconductor industry, our significant customer concentration, intense competition in the IC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proposed changes in securities laws and regulations are likely to increase our costs.</w:t>
      </w:r>
    </w:p>
    <w:p>
      <w:pPr>
        <w:spacing w:after="0" w:line="15"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The Sarbanes-Oxley Act of 2002 that became law in July, 2002, requires changes in some of our corporate governance and securities disclosure or compliance practices. That Act also requires the SEC to promulgate new rules on a variety of subjects, in addition to rule proposals already made, and Nasdaq has proposed revisions to its requirements for companies that are Nasdaq-listed. We expect these developments to increase our legal compliance costs, and to make some activities more difficult, such as stockholder approval of new stock option plans. We expect these developments to make it more difficult and more expensive for us to obtain director and officer liability insurance, and we may be required to accept reduced coverage or incur substantially higher costs to obtain coverage. These developments could make it more difficult for us to attract and retain qualified members of our board of directors, or qualified executive officers. We are presently evaluating and monitoring regulatory developments and cannot estimate the timing or magnitude of additional costs we may incur as a result.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 outbreak of SARS in Asia may adversely impact our operations and sales.</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Asian sales and service headquarters is located in Singapore and the majority of our sales are made to destinations in Asia. Our operations and sales in this region may be adversely impacted by the recent outbreak of Severe Acute Respiratory Syndrome, or SARS, if our business or the businesses of our customers are disrupted by travel restrictions or the illness and quarantine of employees.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2002 Annual Report on Form 10-K, that could cause actual results to differ materially from those projected or forecasted. Cohu undertakes no obligation to update the information, including the forward-looking statements, in this Form 10-Q.</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At March 31, 2003 our investment portfolio includes fixed-income securities with a fair value of approximately $96.7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Foreign currency exchange risk.</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Based on their evaluation as of a date within the 90 day period prior to the filing date of this Quarterly Report on Form 10-Q, Cohu’s principal executive officer and principal financial officer have concluded that Cohu’s disclosure controls and procedures as defined in Rules 13a-14(c) and 15d-14(c) under the Securities Exchange Act of 1934 (the “Exchange Act”) are effective to ensure that information required to be disclosed by Cohu in reports that it files or submits under the Exchange Act is recorded, processed, summarized and reported within the time periods specified in Securities and Exchange Commission rules and forms.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There were no significant changes in Cohu’s internal controls or in other factors that could significantly affect these controls subsequent to the date of their evaluation and up to the filing date of this Quarterly Report on Form 10-Q. There were no significant deficiencies or material weaknesses, and therefore there were no corrective actions taken.</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August 17, 2001, Broadcast Microwave Services, Inc. (“BMS”), a wholly owned subsidiary of Cohu, was named as a defendant in a lawsuit filed by Adrienne Alpert and Barry Paulk in the Los Angeles County Superior Court, State of California. The suit alleges, among other things, that BMS and the other named defendants provided certain defective components or products and that as a result on May 22, 2000, Ms. Alpert suffered severe bodily injuries in an accident involving an electronic news gathering vehicle. The suit seeks general, special and exemplary damages of an unspecified amount. Extensive discovery in the case has occurred and trial is currently scheduled for July, 2003. Although the outcome of any litigation cannot be predicted with certainty, Cohu believes the plaintiff’s claims against BMS are without merit and that the resolution of the case will not have a material adverse effect on Cohu’s financial position or results of operations.</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Cohu is also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880" w:hanging="548"/>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8"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800" w:type="dxa"/>
            <w:vAlign w:val="bottom"/>
          </w:tcPr>
          <w:p>
            <w:pPr>
              <w:jc w:val="right"/>
              <w:ind w:right="392"/>
              <w:spacing w:after="0"/>
              <w:rPr>
                <w:sz w:val="20"/>
                <w:szCs w:val="20"/>
                <w:color w:val="auto"/>
              </w:rPr>
            </w:pPr>
            <w:r>
              <w:rPr>
                <w:rFonts w:ascii="Arial" w:cs="Arial" w:eastAsia="Arial" w:hAnsi="Arial"/>
                <w:sz w:val="18"/>
                <w:szCs w:val="18"/>
                <w:color w:val="auto"/>
              </w:rPr>
              <w:t>3.1</w:t>
            </w:r>
          </w:p>
        </w:tc>
        <w:tc>
          <w:tcPr>
            <w:tcW w:w="9820" w:type="dxa"/>
            <w:vAlign w:val="bottom"/>
          </w:tcPr>
          <w:p>
            <w:pPr>
              <w:ind w:left="300"/>
              <w:spacing w:after="0"/>
              <w:rPr>
                <w:sz w:val="20"/>
                <w:szCs w:val="20"/>
                <w:color w:val="auto"/>
              </w:rPr>
            </w:pPr>
            <w:r>
              <w:rPr>
                <w:rFonts w:ascii="Arial" w:cs="Arial" w:eastAsia="Arial" w:hAnsi="Arial"/>
                <w:sz w:val="18"/>
                <w:szCs w:val="18"/>
                <w:color w:val="auto"/>
                <w:w w:val="89"/>
              </w:rPr>
              <w:t>Amended and Restated Certificate of Incorporation of Cohu, Inc. incorporated herein by reference to Exhibit 3.1(a) from the Cohu, Inc.</w:t>
            </w:r>
          </w:p>
        </w:tc>
      </w:tr>
      <w:tr>
        <w:trPr>
          <w:trHeight w:val="222"/>
        </w:trPr>
        <w:tc>
          <w:tcPr>
            <w:tcW w:w="8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Form 10-Q for the quarterly period ended June 30, 1999</w:t>
            </w:r>
          </w:p>
        </w:tc>
      </w:tr>
      <w:tr>
        <w:trPr>
          <w:trHeight w:val="426"/>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3.1(a)</w:t>
            </w:r>
          </w:p>
        </w:tc>
        <w:tc>
          <w:tcPr>
            <w:tcW w:w="9820" w:type="dxa"/>
            <w:vAlign w:val="bottom"/>
          </w:tcPr>
          <w:p>
            <w:pPr>
              <w:ind w:left="300"/>
              <w:spacing w:after="0"/>
              <w:rPr>
                <w:sz w:val="20"/>
                <w:szCs w:val="20"/>
                <w:color w:val="auto"/>
              </w:rPr>
            </w:pPr>
            <w:r>
              <w:rPr>
                <w:rFonts w:ascii="Arial" w:cs="Arial" w:eastAsia="Arial" w:hAnsi="Arial"/>
                <w:sz w:val="18"/>
                <w:szCs w:val="18"/>
                <w:color w:val="auto"/>
                <w:w w:val="90"/>
              </w:rPr>
              <w:t>Certificate of Amendment of Amended and Restated Certificate of Incorporation of Cohu, Inc. incorporated herein by reference from</w:t>
            </w:r>
          </w:p>
        </w:tc>
      </w:tr>
      <w:tr>
        <w:trPr>
          <w:trHeight w:val="222"/>
        </w:trPr>
        <w:tc>
          <w:tcPr>
            <w:tcW w:w="8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the Cohu, Inc. Form S-8 filed June 30, 2000, Exhibit 4.1(a)</w:t>
            </w:r>
          </w:p>
        </w:tc>
      </w:tr>
      <w:tr>
        <w:trPr>
          <w:trHeight w:val="426"/>
        </w:trPr>
        <w:tc>
          <w:tcPr>
            <w:tcW w:w="800" w:type="dxa"/>
            <w:vAlign w:val="bottom"/>
          </w:tcPr>
          <w:p>
            <w:pPr>
              <w:jc w:val="right"/>
              <w:ind w:right="392"/>
              <w:spacing w:after="0"/>
              <w:rPr>
                <w:sz w:val="20"/>
                <w:szCs w:val="20"/>
                <w:color w:val="auto"/>
              </w:rPr>
            </w:pPr>
            <w:r>
              <w:rPr>
                <w:rFonts w:ascii="Arial" w:cs="Arial" w:eastAsia="Arial" w:hAnsi="Arial"/>
                <w:sz w:val="18"/>
                <w:szCs w:val="18"/>
                <w:color w:val="auto"/>
              </w:rPr>
              <w:t>3.2</w:t>
            </w:r>
          </w:p>
        </w:tc>
        <w:tc>
          <w:tcPr>
            <w:tcW w:w="9820" w:type="dxa"/>
            <w:vAlign w:val="bottom"/>
          </w:tcPr>
          <w:p>
            <w:pPr>
              <w:ind w:left="300"/>
              <w:spacing w:after="0"/>
              <w:rPr>
                <w:sz w:val="20"/>
                <w:szCs w:val="20"/>
                <w:color w:val="auto"/>
              </w:rPr>
            </w:pPr>
            <w:r>
              <w:rPr>
                <w:rFonts w:ascii="Arial" w:cs="Arial" w:eastAsia="Arial" w:hAnsi="Arial"/>
                <w:sz w:val="18"/>
                <w:szCs w:val="18"/>
                <w:color w:val="auto"/>
                <w:w w:val="90"/>
              </w:rPr>
              <w:t>Amended and Restated Bylaws of Cohu, Inc. incorporated herein by reference to Exhibit 3.2 from the Cohu, Inc. Report on Form 8-K</w:t>
            </w:r>
          </w:p>
        </w:tc>
      </w:tr>
      <w:tr>
        <w:trPr>
          <w:trHeight w:val="222"/>
        </w:trPr>
        <w:tc>
          <w:tcPr>
            <w:tcW w:w="8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filed with the Securities and Exchange Commission on December 12, 1996</w:t>
            </w:r>
          </w:p>
        </w:tc>
      </w:tr>
      <w:tr>
        <w:trPr>
          <w:trHeight w:val="426"/>
        </w:trPr>
        <w:tc>
          <w:tcPr>
            <w:tcW w:w="800" w:type="dxa"/>
            <w:vAlign w:val="bottom"/>
          </w:tcPr>
          <w:p>
            <w:pPr>
              <w:jc w:val="right"/>
              <w:ind w:right="392"/>
              <w:spacing w:after="0"/>
              <w:rPr>
                <w:sz w:val="20"/>
                <w:szCs w:val="20"/>
                <w:color w:val="auto"/>
              </w:rPr>
            </w:pPr>
            <w:r>
              <w:rPr>
                <w:rFonts w:ascii="Arial" w:cs="Arial" w:eastAsia="Arial" w:hAnsi="Arial"/>
                <w:sz w:val="18"/>
                <w:szCs w:val="18"/>
                <w:color w:val="auto"/>
              </w:rPr>
              <w:t>4.1</w:t>
            </w:r>
          </w:p>
        </w:tc>
        <w:tc>
          <w:tcPr>
            <w:tcW w:w="9820" w:type="dxa"/>
            <w:vAlign w:val="bottom"/>
          </w:tcPr>
          <w:p>
            <w:pPr>
              <w:ind w:left="300"/>
              <w:spacing w:after="0"/>
              <w:rPr>
                <w:sz w:val="20"/>
                <w:szCs w:val="20"/>
                <w:color w:val="auto"/>
              </w:rPr>
            </w:pPr>
            <w:r>
              <w:rPr>
                <w:rFonts w:ascii="Arial" w:cs="Arial" w:eastAsia="Arial" w:hAnsi="Arial"/>
                <w:sz w:val="18"/>
                <w:szCs w:val="18"/>
                <w:color w:val="auto"/>
                <w:w w:val="91"/>
              </w:rPr>
              <w:t>Rights Agreement dated November 15, 1996, between Cohu, Inc. and ChaseMellon Shareholder Services, L.L.C, as Rights Agent,</w:t>
            </w:r>
          </w:p>
        </w:tc>
      </w:tr>
      <w:tr>
        <w:trPr>
          <w:trHeight w:val="222"/>
        </w:trPr>
        <w:tc>
          <w:tcPr>
            <w:tcW w:w="800" w:type="dxa"/>
            <w:vAlign w:val="bottom"/>
          </w:tcPr>
          <w:p>
            <w:pPr>
              <w:spacing w:after="0"/>
              <w:rPr>
                <w:sz w:val="19"/>
                <w:szCs w:val="19"/>
                <w:color w:val="auto"/>
              </w:rPr>
            </w:pPr>
          </w:p>
        </w:tc>
        <w:tc>
          <w:tcPr>
            <w:tcW w:w="9820" w:type="dxa"/>
            <w:vAlign w:val="bottom"/>
          </w:tcPr>
          <w:p>
            <w:pPr>
              <w:ind w:left="300"/>
              <w:spacing w:after="0"/>
              <w:rPr>
                <w:sz w:val="20"/>
                <w:szCs w:val="20"/>
                <w:color w:val="auto"/>
              </w:rPr>
            </w:pPr>
            <w:r>
              <w:rPr>
                <w:rFonts w:ascii="Arial" w:cs="Arial" w:eastAsia="Arial" w:hAnsi="Arial"/>
                <w:sz w:val="18"/>
                <w:szCs w:val="18"/>
                <w:color w:val="auto"/>
              </w:rPr>
              <w:t>incorporated herein by reference from the Cohu, Inc. Form 8-K, filed December 12, 1996, Exhibit 4.1</w:t>
            </w:r>
          </w:p>
        </w:tc>
      </w:tr>
      <w:tr>
        <w:trPr>
          <w:trHeight w:val="432"/>
        </w:trPr>
        <w:tc>
          <w:tcPr>
            <w:tcW w:w="800" w:type="dxa"/>
            <w:vAlign w:val="bottom"/>
          </w:tcPr>
          <w:p>
            <w:pPr>
              <w:jc w:val="right"/>
              <w:ind w:right="392"/>
              <w:spacing w:after="0"/>
              <w:rPr>
                <w:sz w:val="20"/>
                <w:szCs w:val="20"/>
                <w:color w:val="auto"/>
              </w:rPr>
            </w:pPr>
            <w:r>
              <w:rPr>
                <w:rFonts w:ascii="Arial" w:cs="Arial" w:eastAsia="Arial" w:hAnsi="Arial"/>
                <w:sz w:val="18"/>
                <w:szCs w:val="18"/>
                <w:color w:val="auto"/>
                <w:w w:val="85"/>
              </w:rPr>
              <w:t>99.1</w:t>
            </w:r>
          </w:p>
        </w:tc>
        <w:tc>
          <w:tcPr>
            <w:tcW w:w="982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800" w:type="dxa"/>
            <w:vAlign w:val="bottom"/>
          </w:tcPr>
          <w:p>
            <w:pPr>
              <w:jc w:val="right"/>
              <w:ind w:right="392"/>
              <w:spacing w:after="0"/>
              <w:rPr>
                <w:sz w:val="20"/>
                <w:szCs w:val="20"/>
                <w:color w:val="auto"/>
              </w:rPr>
            </w:pPr>
            <w:r>
              <w:rPr>
                <w:rFonts w:ascii="Arial" w:cs="Arial" w:eastAsia="Arial" w:hAnsi="Arial"/>
                <w:sz w:val="18"/>
                <w:szCs w:val="18"/>
                <w:color w:val="auto"/>
                <w:w w:val="85"/>
              </w:rPr>
              <w:t>99.2</w:t>
            </w:r>
          </w:p>
        </w:tc>
        <w:tc>
          <w:tcPr>
            <w:tcW w:w="982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10" w:lineRule="exact"/>
        <w:rPr>
          <w:sz w:val="20"/>
          <w:szCs w:val="20"/>
          <w:color w:val="auto"/>
        </w:rPr>
      </w:pPr>
    </w:p>
    <w:p>
      <w:pPr>
        <w:ind w:left="5620" w:right="2340" w:hanging="5288"/>
        <w:spacing w:after="0" w:line="519"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Reports on Form 8-K: The Company did not file any reports on Form 8-K during the quarter ended March 31, 2003.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71120</wp:posOffset>
            </wp:positionV>
            <wp:extent cx="2470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7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Date: April 25, 2003</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71120</wp:posOffset>
            </wp:positionV>
            <wp:extent cx="11576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71120</wp:posOffset>
            </wp:positionV>
            <wp:extent cx="2470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7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Date: April 25, 2003</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71120</wp:posOffset>
            </wp:positionV>
            <wp:extent cx="11576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71120</wp:posOffset>
            </wp:positionV>
            <wp:extent cx="24701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7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John H. Allen</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Vice President, Finance &amp; Chief Financial Officer</w:t>
      </w:r>
    </w:p>
    <w:p>
      <w:pPr>
        <w:spacing w:after="0" w:line="21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9" w:right="7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SARBANES-OXLEY ACT SECTION 302(a)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225"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Cohu, Inc.;</w:t>
      </w:r>
    </w:p>
    <w:p>
      <w:pPr>
        <w:spacing w:after="0" w:line="225" w:lineRule="exact"/>
        <w:rPr>
          <w:rFonts w:ascii="Arial" w:cs="Arial" w:eastAsia="Arial" w:hAnsi="Arial"/>
          <w:sz w:val="18"/>
          <w:szCs w:val="18"/>
          <w:color w:val="auto"/>
        </w:rPr>
      </w:pPr>
    </w:p>
    <w:p>
      <w:pPr>
        <w:ind w:right="40" w:firstLine="8"/>
        <w:spacing w:after="0" w:line="370" w:lineRule="auto"/>
        <w:tabs>
          <w:tab w:leader="none" w:pos="351"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6" w:lineRule="exact"/>
        <w:rPr>
          <w:rFonts w:ascii="Arial" w:cs="Arial" w:eastAsia="Arial" w:hAnsi="Arial"/>
          <w:sz w:val="15"/>
          <w:szCs w:val="15"/>
          <w:color w:val="auto"/>
        </w:rPr>
      </w:pPr>
    </w:p>
    <w:p>
      <w:pPr>
        <w:ind w:right="140" w:firstLine="8"/>
        <w:spacing w:after="0" w:line="332" w:lineRule="auto"/>
        <w:tabs>
          <w:tab w:leader="none" w:pos="3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firstLine="8"/>
        <w:spacing w:after="0" w:line="268"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460" w:right="120" w:firstLine="7"/>
        <w:spacing w:after="0" w:line="332" w:lineRule="auto"/>
        <w:tabs>
          <w:tab w:leader="none" w:pos="6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Arial" w:cs="Arial" w:eastAsia="Arial" w:hAnsi="Arial"/>
          <w:sz w:val="16"/>
          <w:szCs w:val="16"/>
          <w:color w:val="auto"/>
        </w:rPr>
      </w:pPr>
    </w:p>
    <w:p>
      <w:pPr>
        <w:ind w:left="460" w:right="460" w:firstLine="7"/>
        <w:spacing w:after="0" w:line="268" w:lineRule="auto"/>
        <w:tabs>
          <w:tab w:leader="none" w:pos="6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460" w:right="400" w:firstLine="7"/>
        <w:spacing w:after="0" w:line="268" w:lineRule="auto"/>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right="400" w:firstLine="8"/>
        <w:spacing w:after="0" w:line="268"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460" w:right="740" w:firstLine="7"/>
        <w:spacing w:after="0" w:line="332" w:lineRule="auto"/>
        <w:tabs>
          <w:tab w:leader="none" w:pos="6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660" w:hanging="193"/>
        <w:spacing w:after="0"/>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right="180" w:firstLine="8"/>
        <w:spacing w:after="0" w:line="259"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Date: April 25, 2003</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71120</wp:posOffset>
            </wp:positionV>
            <wp:extent cx="1157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71120</wp:posOffset>
            </wp:positionV>
            <wp:extent cx="2470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7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&amp; Chief Executive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SARBANES-OXLEY ACT SECTION 302(a)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225"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Cohu, Inc.;</w:t>
      </w:r>
    </w:p>
    <w:p>
      <w:pPr>
        <w:spacing w:after="0" w:line="225" w:lineRule="exact"/>
        <w:rPr>
          <w:rFonts w:ascii="Arial" w:cs="Arial" w:eastAsia="Arial" w:hAnsi="Arial"/>
          <w:sz w:val="18"/>
          <w:szCs w:val="18"/>
          <w:color w:val="auto"/>
        </w:rPr>
      </w:pPr>
    </w:p>
    <w:p>
      <w:pPr>
        <w:ind w:right="40" w:firstLine="8"/>
        <w:spacing w:after="0" w:line="370" w:lineRule="auto"/>
        <w:tabs>
          <w:tab w:leader="none" w:pos="351"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6" w:lineRule="exact"/>
        <w:rPr>
          <w:rFonts w:ascii="Arial" w:cs="Arial" w:eastAsia="Arial" w:hAnsi="Arial"/>
          <w:sz w:val="15"/>
          <w:szCs w:val="15"/>
          <w:color w:val="auto"/>
        </w:rPr>
      </w:pPr>
    </w:p>
    <w:p>
      <w:pPr>
        <w:ind w:right="140" w:firstLine="8"/>
        <w:spacing w:after="0" w:line="332" w:lineRule="auto"/>
        <w:tabs>
          <w:tab w:leader="none" w:pos="35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firstLine="8"/>
        <w:spacing w:after="0" w:line="268"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460" w:right="120" w:firstLine="7"/>
        <w:spacing w:after="0" w:line="332" w:lineRule="auto"/>
        <w:tabs>
          <w:tab w:leader="none" w:pos="6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Arial" w:cs="Arial" w:eastAsia="Arial" w:hAnsi="Arial"/>
          <w:sz w:val="16"/>
          <w:szCs w:val="16"/>
          <w:color w:val="auto"/>
        </w:rPr>
      </w:pPr>
    </w:p>
    <w:p>
      <w:pPr>
        <w:ind w:left="460" w:right="460" w:firstLine="7"/>
        <w:spacing w:after="0" w:line="268" w:lineRule="auto"/>
        <w:tabs>
          <w:tab w:leader="none" w:pos="6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460" w:right="400" w:firstLine="7"/>
        <w:spacing w:after="0" w:line="268" w:lineRule="auto"/>
        <w:tabs>
          <w:tab w:leader="none" w:pos="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right="400" w:firstLine="8"/>
        <w:spacing w:after="0" w:line="268"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460" w:right="740" w:firstLine="7"/>
        <w:spacing w:after="0" w:line="332" w:lineRule="auto"/>
        <w:tabs>
          <w:tab w:leader="none" w:pos="6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660" w:hanging="193"/>
        <w:spacing w:after="0"/>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right="180" w:firstLine="8"/>
        <w:spacing w:after="0" w:line="259"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Date: April 25, 2003</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71120</wp:posOffset>
            </wp:positionV>
            <wp:extent cx="11576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71120</wp:posOffset>
            </wp:positionV>
            <wp:extent cx="2470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7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John H. Allen</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Vice President Finance &amp; Chief Financial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19" w:right="239" w:bottom="1440" w:gutter="0" w:footer="0" w:header="0"/>
        </w:sectPr>
      </w:pPr>
    </w:p>
    <w:bookmarkStart w:id="27" w:name="page28"/>
    <w:bookmarkEnd w:id="27"/>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 James A. Donahue, Chief Executive Officer of Cohu, Inc. (the "Registrant"), do hereby certify in accordance with 18 U.S.C. 1350, as adopted pursuant to Section 906 of the Sarbanes-Oxley Act of 2002, that, based on my knowledge:</w:t>
      </w:r>
    </w:p>
    <w:p>
      <w:pPr>
        <w:spacing w:after="0" w:line="207" w:lineRule="exact"/>
        <w:rPr>
          <w:sz w:val="20"/>
          <w:szCs w:val="20"/>
          <w:color w:val="auto"/>
        </w:rPr>
      </w:pPr>
    </w:p>
    <w:p>
      <w:pPr>
        <w:jc w:val="both"/>
        <w:ind w:left="640" w:right="1779"/>
        <w:spacing w:after="0" w:line="237" w:lineRule="auto"/>
        <w:tabs>
          <w:tab w:leader="none" w:pos="106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6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339"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25, 2003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James A. Donahue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Donahue</w:t>
      </w:r>
    </w:p>
    <w:p>
      <w:pPr>
        <w:spacing w:after="0" w:line="238" w:lineRule="auto"/>
        <w:rPr>
          <w:sz w:val="20"/>
          <w:szCs w:val="20"/>
          <w:color w:val="auto"/>
        </w:rPr>
      </w:pPr>
      <w:r>
        <w:rPr>
          <w:rFonts w:ascii="Courier New" w:cs="Courier New" w:eastAsia="Courier New" w:hAnsi="Courier New"/>
          <w:sz w:val="18"/>
          <w:szCs w:val="18"/>
          <w:color w:val="auto"/>
        </w:rPr>
        <w:t>President &amp; Chief Executive</w:t>
      </w: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4340" w:space="720"/>
            <w:col w:w="5159"/>
          </w:cols>
          <w:pgMar w:left="240" w:top="339" w:right="1440" w:bottom="1440" w:gutter="0" w:footer="0" w:header="0"/>
          <w:type w:val="continuous"/>
        </w:sectPr>
      </w:pPr>
    </w:p>
    <w:p>
      <w:pPr>
        <w:spacing w:after="0" w:line="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Cohu, Inc. and will be retained by Cohu, Inc. and furnished to the Securities and Exchange Commission or its staff upon request.</w:t>
      </w:r>
    </w:p>
    <w:p>
      <w:pPr>
        <w:sectPr>
          <w:pgSz w:w="11900" w:h="16838" w:orient="portrait"/>
          <w:cols w:equalWidth="0" w:num="1">
            <w:col w:w="10219"/>
          </w:cols>
          <w:pgMar w:left="240" w:top="339" w:right="1440" w:bottom="1440" w:gutter="0" w:footer="0" w:header="0"/>
          <w:type w:val="continuous"/>
        </w:sectPr>
      </w:pPr>
    </w:p>
    <w:bookmarkStart w:id="28" w:name="page29"/>
    <w:bookmarkEnd w:id="28"/>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FINANCIAL OFFICER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 John H. Allen, Chief Financial Officer of Cohu, Inc. (the "Registrant"), do hereby certify in accordance with 18 U.S.C. 1350, as adopted pursuant to Section 906 of the Sarbanes-Oxley Act of 2002, that, based on my knowledge:</w:t>
      </w:r>
    </w:p>
    <w:p>
      <w:pPr>
        <w:spacing w:after="0" w:line="209" w:lineRule="exact"/>
        <w:rPr>
          <w:sz w:val="20"/>
          <w:szCs w:val="20"/>
          <w:color w:val="auto"/>
        </w:rPr>
      </w:pPr>
    </w:p>
    <w:p>
      <w:pPr>
        <w:jc w:val="both"/>
        <w:ind w:left="640" w:right="1779"/>
        <w:spacing w:after="0" w:line="237" w:lineRule="auto"/>
        <w:tabs>
          <w:tab w:leader="none" w:pos="106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6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339"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25, 2003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w:t>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4340" w:space="720"/>
            <w:col w:w="5159"/>
          </w:cols>
          <w:pgMar w:left="240" w:top="3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Cohu, Inc. and will be retained by Cohu, Inc. and furnished to the Securities and Exchange Commission or its staff upon request.</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8"/>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2019-12-12T22:53:53Z</dcterms:created>
  <dcterms:modified xsi:type="dcterms:W3CDTF">2019-12-12T22:53:53Z</dcterms:modified>
</cp:coreProperties>
</file>