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1"/>
          <w:szCs w:val="31"/>
          <w:color w:val="auto"/>
        </w:rPr>
        <w:t>FORM 8-K</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CURRENT REPORT</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Pursuant to Section 13 or 15(d) of the Securities Exchange Act of 1934</w:t>
      </w:r>
    </w:p>
    <w:p>
      <w:pPr>
        <w:spacing w:after="0" w:line="212" w:lineRule="exact"/>
        <w:rPr>
          <w:sz w:val="24"/>
          <w:szCs w:val="24"/>
          <w:color w:val="auto"/>
        </w:rPr>
      </w:pPr>
    </w:p>
    <w:p>
      <w:pPr>
        <w:spacing w:after="0"/>
        <w:tabs>
          <w:tab w:leader="none" w:pos="8080" w:val="left"/>
        </w:tabs>
        <w:rPr>
          <w:sz w:val="20"/>
          <w:szCs w:val="20"/>
          <w:color w:val="auto"/>
        </w:rPr>
      </w:pPr>
      <w:r>
        <w:rPr>
          <w:rFonts w:ascii="Arial" w:cs="Arial" w:eastAsia="Arial" w:hAnsi="Arial"/>
          <w:sz w:val="17"/>
          <w:szCs w:val="17"/>
          <w:color w:val="auto"/>
        </w:rPr>
        <w:t>Date of Report (Date of Earliest Event Reported):</w:t>
      </w:r>
      <w:r>
        <w:rPr>
          <w:sz w:val="20"/>
          <w:szCs w:val="20"/>
          <w:color w:val="auto"/>
        </w:rPr>
        <w:tab/>
      </w:r>
      <w:r>
        <w:rPr>
          <w:rFonts w:ascii="Arial" w:cs="Arial" w:eastAsia="Arial" w:hAnsi="Arial"/>
          <w:sz w:val="15"/>
          <w:szCs w:val="15"/>
          <w:color w:val="auto"/>
        </w:rPr>
        <w:t>March 31, 2020</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41"/>
          <w:szCs w:val="41"/>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51435</wp:posOffset>
            </wp:positionV>
            <wp:extent cx="1781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640" w:type="dxa"/>
            <w:vAlign w:val="bottom"/>
            <w:gridSpan w:val="6"/>
          </w:tcPr>
          <w:p>
            <w:pPr>
              <w:jc w:val="center"/>
              <w:ind w:right="820"/>
              <w:spacing w:after="0"/>
              <w:rPr>
                <w:sz w:val="20"/>
                <w:szCs w:val="20"/>
                <w:color w:val="auto"/>
              </w:rPr>
            </w:pPr>
            <w:r>
              <w:rPr>
                <w:rFonts w:ascii="Arial" w:cs="Arial" w:eastAsia="Arial" w:hAnsi="Arial"/>
                <w:sz w:val="17"/>
                <w:szCs w:val="17"/>
                <w:color w:val="auto"/>
                <w:w w:val="91"/>
              </w:rPr>
              <w:t>Delaware</w:t>
            </w:r>
          </w:p>
        </w:tc>
        <w:tc>
          <w:tcPr>
            <w:tcW w:w="1980" w:type="dxa"/>
            <w:vAlign w:val="bottom"/>
          </w:tcPr>
          <w:p>
            <w:pPr>
              <w:jc w:val="center"/>
              <w:ind w:right="195"/>
              <w:spacing w:after="0"/>
              <w:rPr>
                <w:sz w:val="20"/>
                <w:szCs w:val="20"/>
                <w:color w:val="auto"/>
              </w:rPr>
            </w:pPr>
            <w:r>
              <w:rPr>
                <w:rFonts w:ascii="Arial" w:cs="Arial" w:eastAsia="Arial" w:hAnsi="Arial"/>
                <w:sz w:val="17"/>
                <w:szCs w:val="17"/>
                <w:color w:val="auto"/>
                <w:w w:val="90"/>
              </w:rPr>
              <w:t>001-04298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right"/>
              <w:ind w:right="915"/>
              <w:spacing w:after="0"/>
              <w:rPr>
                <w:sz w:val="20"/>
                <w:szCs w:val="20"/>
                <w:color w:val="auto"/>
              </w:rPr>
            </w:pPr>
            <w:r>
              <w:rPr>
                <w:rFonts w:ascii="Arial" w:cs="Arial" w:eastAsia="Arial" w:hAnsi="Arial"/>
                <w:sz w:val="17"/>
                <w:szCs w:val="17"/>
                <w:color w:val="auto"/>
              </w:rPr>
              <w:t>95-1934119</w:t>
            </w:r>
          </w:p>
        </w:tc>
        <w:tc>
          <w:tcPr>
            <w:tcW w:w="1120" w:type="dxa"/>
            <w:vAlign w:val="bottom"/>
          </w:tcPr>
          <w:p>
            <w:pPr>
              <w:spacing w:after="0"/>
              <w:rPr>
                <w:sz w:val="18"/>
                <w:szCs w:val="18"/>
                <w:color w:val="auto"/>
              </w:rPr>
            </w:pPr>
          </w:p>
        </w:tc>
      </w:tr>
      <w:tr>
        <w:trPr>
          <w:trHeight w:val="185"/>
        </w:trPr>
        <w:tc>
          <w:tcPr>
            <w:tcW w:w="1140" w:type="dxa"/>
            <w:vAlign w:val="bottom"/>
          </w:tcPr>
          <w:p>
            <w:pPr>
              <w:spacing w:after="0"/>
              <w:rPr>
                <w:sz w:val="16"/>
                <w:szCs w:val="16"/>
                <w:color w:val="auto"/>
              </w:rPr>
            </w:pPr>
          </w:p>
        </w:tc>
        <w:tc>
          <w:tcPr>
            <w:tcW w:w="2820" w:type="dxa"/>
            <w:vAlign w:val="bottom"/>
            <w:tcBorders>
              <w:top w:val="single" w:sz="8" w:color="auto"/>
            </w:tcBorders>
            <w:gridSpan w:val="3"/>
          </w:tcPr>
          <w:p>
            <w:pPr>
              <w:jc w:val="center"/>
              <w:spacing w:after="0" w:line="185" w:lineRule="exact"/>
              <w:rPr>
                <w:sz w:val="20"/>
                <w:szCs w:val="20"/>
                <w:color w:val="auto"/>
              </w:rPr>
            </w:pPr>
            <w:r>
              <w:rPr>
                <w:rFonts w:ascii="Arial" w:cs="Arial" w:eastAsia="Arial" w:hAnsi="Arial"/>
                <w:sz w:val="17"/>
                <w:szCs w:val="17"/>
                <w:color w:val="auto"/>
                <w:w w:val="91"/>
              </w:rPr>
              <w:t>(State or other jurisdiction</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center"/>
              <w:ind w:right="175"/>
              <w:spacing w:after="0" w:line="185" w:lineRule="exact"/>
              <w:rPr>
                <w:sz w:val="20"/>
                <w:szCs w:val="20"/>
                <w:color w:val="auto"/>
              </w:rPr>
            </w:pPr>
            <w:r>
              <w:rPr>
                <w:rFonts w:ascii="Arial" w:cs="Arial" w:eastAsia="Arial" w:hAnsi="Arial"/>
                <w:sz w:val="17"/>
                <w:szCs w:val="17"/>
                <w:color w:val="auto"/>
                <w:w w:val="92"/>
              </w:rPr>
              <w:t>(Commission</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jc w:val="center"/>
              <w:ind w:right="395"/>
              <w:spacing w:after="0" w:line="185" w:lineRule="exact"/>
              <w:rPr>
                <w:sz w:val="20"/>
                <w:szCs w:val="20"/>
                <w:color w:val="auto"/>
              </w:rPr>
            </w:pPr>
            <w:r>
              <w:rPr>
                <w:rFonts w:ascii="Arial" w:cs="Arial" w:eastAsia="Arial" w:hAnsi="Arial"/>
                <w:sz w:val="17"/>
                <w:szCs w:val="17"/>
                <w:color w:val="auto"/>
                <w:w w:val="92"/>
              </w:rPr>
              <w:t>(I.R.S. Employer</w:t>
            </w:r>
          </w:p>
        </w:tc>
        <w:tc>
          <w:tcPr>
            <w:tcW w:w="1120" w:type="dxa"/>
            <w:vAlign w:val="bottom"/>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3640" w:type="dxa"/>
            <w:vAlign w:val="bottom"/>
            <w:gridSpan w:val="6"/>
          </w:tcPr>
          <w:p>
            <w:pPr>
              <w:jc w:val="center"/>
              <w:ind w:right="840"/>
              <w:spacing w:after="0"/>
              <w:rPr>
                <w:sz w:val="20"/>
                <w:szCs w:val="20"/>
                <w:color w:val="auto"/>
              </w:rPr>
            </w:pPr>
            <w:r>
              <w:rPr>
                <w:rFonts w:ascii="Arial" w:cs="Arial" w:eastAsia="Arial" w:hAnsi="Arial"/>
                <w:sz w:val="17"/>
                <w:szCs w:val="17"/>
                <w:color w:val="auto"/>
                <w:w w:val="94"/>
              </w:rPr>
              <w:t>of incorporation)</w:t>
            </w:r>
          </w:p>
        </w:tc>
        <w:tc>
          <w:tcPr>
            <w:tcW w:w="3020" w:type="dxa"/>
            <w:vAlign w:val="bottom"/>
            <w:gridSpan w:val="6"/>
          </w:tcPr>
          <w:p>
            <w:pPr>
              <w:jc w:val="center"/>
              <w:ind w:right="1300"/>
              <w:spacing w:after="0"/>
              <w:rPr>
                <w:sz w:val="20"/>
                <w:szCs w:val="20"/>
                <w:color w:val="auto"/>
              </w:rPr>
            </w:pPr>
            <w:r>
              <w:rPr>
                <w:rFonts w:ascii="Arial" w:cs="Arial" w:eastAsia="Arial" w:hAnsi="Arial"/>
                <w:sz w:val="17"/>
                <w:szCs w:val="17"/>
                <w:color w:val="auto"/>
                <w:w w:val="93"/>
              </w:rPr>
              <w:t>File Number)</w:t>
            </w:r>
          </w:p>
        </w:tc>
        <w:tc>
          <w:tcPr>
            <w:tcW w:w="3440" w:type="dxa"/>
            <w:vAlign w:val="bottom"/>
            <w:gridSpan w:val="2"/>
          </w:tcPr>
          <w:p>
            <w:pPr>
              <w:jc w:val="center"/>
              <w:ind w:right="1600"/>
              <w:spacing w:after="0"/>
              <w:rPr>
                <w:sz w:val="20"/>
                <w:szCs w:val="20"/>
                <w:color w:val="auto"/>
              </w:rPr>
            </w:pPr>
            <w:r>
              <w:rPr>
                <w:rFonts w:ascii="Arial" w:cs="Arial" w:eastAsia="Arial" w:hAnsi="Arial"/>
                <w:sz w:val="17"/>
                <w:szCs w:val="17"/>
                <w:color w:val="auto"/>
                <w:w w:val="96"/>
              </w:rPr>
              <w:t>Identification No.)</w:t>
            </w:r>
          </w:p>
        </w:tc>
      </w:tr>
      <w:tr>
        <w:trPr>
          <w:trHeight w:val="397"/>
        </w:trPr>
        <w:tc>
          <w:tcPr>
            <w:tcW w:w="1140" w:type="dxa"/>
            <w:vAlign w:val="bottom"/>
          </w:tcPr>
          <w:p>
            <w:pPr>
              <w:spacing w:after="0"/>
              <w:rPr>
                <w:sz w:val="24"/>
                <w:szCs w:val="24"/>
                <w:color w:val="auto"/>
              </w:rPr>
            </w:pPr>
          </w:p>
        </w:tc>
        <w:tc>
          <w:tcPr>
            <w:tcW w:w="3640" w:type="dxa"/>
            <w:vAlign w:val="bottom"/>
            <w:gridSpan w:val="6"/>
          </w:tcPr>
          <w:p>
            <w:pPr>
              <w:jc w:val="center"/>
              <w:ind w:right="840"/>
              <w:spacing w:after="0"/>
              <w:rPr>
                <w:sz w:val="20"/>
                <w:szCs w:val="20"/>
                <w:color w:val="auto"/>
              </w:rPr>
            </w:pPr>
            <w:r>
              <w:rPr>
                <w:rFonts w:ascii="Arial" w:cs="Arial" w:eastAsia="Arial" w:hAnsi="Arial"/>
                <w:sz w:val="17"/>
                <w:szCs w:val="17"/>
                <w:color w:val="auto"/>
                <w:w w:val="90"/>
              </w:rPr>
              <w:t>12367 Crosthwaite Circle, Poway,</w:t>
            </w: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jc w:val="right"/>
              <w:ind w:right="1095"/>
              <w:spacing w:after="0"/>
              <w:rPr>
                <w:sz w:val="20"/>
                <w:szCs w:val="20"/>
                <w:color w:val="auto"/>
              </w:rPr>
            </w:pPr>
            <w:r>
              <w:rPr>
                <w:rFonts w:ascii="Arial" w:cs="Arial" w:eastAsia="Arial" w:hAnsi="Arial"/>
                <w:sz w:val="17"/>
                <w:szCs w:val="17"/>
                <w:color w:val="auto"/>
              </w:rPr>
              <w:t>92064</w:t>
            </w:r>
          </w:p>
        </w:tc>
        <w:tc>
          <w:tcPr>
            <w:tcW w:w="1120" w:type="dxa"/>
            <w:vAlign w:val="bottom"/>
          </w:tcPr>
          <w:p>
            <w:pPr>
              <w:spacing w:after="0"/>
              <w:rPr>
                <w:sz w:val="24"/>
                <w:szCs w:val="24"/>
                <w:color w:val="auto"/>
              </w:rPr>
            </w:pPr>
          </w:p>
        </w:tc>
      </w:tr>
      <w:tr>
        <w:trPr>
          <w:trHeight w:val="204"/>
        </w:trPr>
        <w:tc>
          <w:tcPr>
            <w:tcW w:w="1140" w:type="dxa"/>
            <w:vAlign w:val="bottom"/>
          </w:tcPr>
          <w:p>
            <w:pPr>
              <w:spacing w:after="0"/>
              <w:rPr>
                <w:sz w:val="17"/>
                <w:szCs w:val="17"/>
                <w:color w:val="auto"/>
              </w:rPr>
            </w:pPr>
          </w:p>
        </w:tc>
        <w:tc>
          <w:tcPr>
            <w:tcW w:w="3640" w:type="dxa"/>
            <w:vAlign w:val="bottom"/>
            <w:gridSpan w:val="6"/>
          </w:tcPr>
          <w:p>
            <w:pPr>
              <w:jc w:val="center"/>
              <w:ind w:right="840"/>
              <w:spacing w:after="0"/>
              <w:rPr>
                <w:sz w:val="20"/>
                <w:szCs w:val="20"/>
                <w:color w:val="auto"/>
              </w:rPr>
            </w:pPr>
            <w:r>
              <w:rPr>
                <w:rFonts w:ascii="Arial" w:cs="Arial" w:eastAsia="Arial" w:hAnsi="Arial"/>
                <w:sz w:val="17"/>
                <w:szCs w:val="17"/>
                <w:color w:val="auto"/>
                <w:w w:val="94"/>
              </w:rPr>
              <w:t>California</w:t>
            </w: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5"/>
        </w:trPr>
        <w:tc>
          <w:tcPr>
            <w:tcW w:w="1140" w:type="dxa"/>
            <w:vAlign w:val="bottom"/>
          </w:tcPr>
          <w:p>
            <w:pPr>
              <w:spacing w:after="0"/>
              <w:rPr>
                <w:sz w:val="18"/>
                <w:szCs w:val="18"/>
                <w:color w:val="auto"/>
              </w:rPr>
            </w:pPr>
          </w:p>
        </w:tc>
        <w:tc>
          <w:tcPr>
            <w:tcW w:w="3640" w:type="dxa"/>
            <w:vAlign w:val="bottom"/>
            <w:gridSpan w:val="6"/>
          </w:tcPr>
          <w:p>
            <w:pPr>
              <w:jc w:val="center"/>
              <w:ind w:right="820"/>
              <w:spacing w:after="0"/>
              <w:rPr>
                <w:sz w:val="20"/>
                <w:szCs w:val="20"/>
                <w:color w:val="auto"/>
              </w:rPr>
            </w:pPr>
            <w:r>
              <w:rPr>
                <w:rFonts w:ascii="Arial" w:cs="Arial" w:eastAsia="Arial" w:hAnsi="Arial"/>
                <w:sz w:val="17"/>
                <w:szCs w:val="17"/>
                <w:color w:val="auto"/>
                <w:w w:val="92"/>
              </w:rPr>
              <w:t>(Address of principal executive offices)</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2"/>
          </w:tcPr>
          <w:p>
            <w:pPr>
              <w:jc w:val="center"/>
              <w:ind w:right="1600"/>
              <w:spacing w:after="0"/>
              <w:rPr>
                <w:sz w:val="20"/>
                <w:szCs w:val="20"/>
                <w:color w:val="auto"/>
              </w:rPr>
            </w:pPr>
            <w:r>
              <w:rPr>
                <w:rFonts w:ascii="Arial" w:cs="Arial" w:eastAsia="Arial" w:hAnsi="Arial"/>
                <w:sz w:val="17"/>
                <w:szCs w:val="17"/>
                <w:color w:val="auto"/>
                <w:w w:val="94"/>
              </w:rPr>
              <w:t>(Zip Code)</w:t>
            </w:r>
          </w:p>
        </w:tc>
      </w:tr>
      <w:tr>
        <w:trPr>
          <w:trHeight w:val="408"/>
        </w:trPr>
        <w:tc>
          <w:tcPr>
            <w:tcW w:w="4780" w:type="dxa"/>
            <w:vAlign w:val="bottom"/>
            <w:gridSpan w:val="7"/>
          </w:tcPr>
          <w:p>
            <w:pPr>
              <w:ind w:left="1040"/>
              <w:spacing w:after="0"/>
              <w:rPr>
                <w:sz w:val="20"/>
                <w:szCs w:val="20"/>
                <w:color w:val="auto"/>
              </w:rPr>
            </w:pPr>
            <w:r>
              <w:rPr>
                <w:rFonts w:ascii="Arial" w:cs="Arial" w:eastAsia="Arial" w:hAnsi="Arial"/>
                <w:sz w:val="17"/>
                <w:szCs w:val="17"/>
                <w:color w:val="auto"/>
                <w:w w:val="94"/>
              </w:rPr>
              <w:t>Registrant’s telephone number, including area code:</w:t>
            </w: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jc w:val="right"/>
              <w:ind w:right="1075"/>
              <w:spacing w:after="0"/>
              <w:rPr>
                <w:sz w:val="20"/>
                <w:szCs w:val="20"/>
                <w:color w:val="auto"/>
              </w:rPr>
            </w:pPr>
            <w:r>
              <w:rPr>
                <w:rFonts w:ascii="Arial" w:cs="Arial" w:eastAsia="Arial" w:hAnsi="Arial"/>
                <w:sz w:val="17"/>
                <w:szCs w:val="17"/>
                <w:color w:val="auto"/>
              </w:rPr>
              <w:t>858-848-8100</w:t>
            </w:r>
          </w:p>
        </w:tc>
        <w:tc>
          <w:tcPr>
            <w:tcW w:w="1120" w:type="dxa"/>
            <w:vAlign w:val="bottom"/>
          </w:tcPr>
          <w:p>
            <w:pPr>
              <w:spacing w:after="0"/>
              <w:rPr>
                <w:sz w:val="24"/>
                <w:szCs w:val="24"/>
                <w:color w:val="auto"/>
              </w:rPr>
            </w:pPr>
          </w:p>
        </w:tc>
      </w:tr>
      <w:tr>
        <w:trPr>
          <w:trHeight w:val="408"/>
        </w:trPr>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6"/>
          </w:tcPr>
          <w:p>
            <w:pPr>
              <w:jc w:val="center"/>
              <w:ind w:right="1340"/>
              <w:spacing w:after="0"/>
              <w:rPr>
                <w:sz w:val="20"/>
                <w:szCs w:val="20"/>
                <w:color w:val="auto"/>
              </w:rPr>
            </w:pPr>
            <w:r>
              <w:rPr>
                <w:rFonts w:ascii="Arial" w:cs="Arial" w:eastAsia="Arial" w:hAnsi="Arial"/>
                <w:sz w:val="17"/>
                <w:szCs w:val="17"/>
                <w:color w:val="auto"/>
                <w:w w:val="94"/>
              </w:rPr>
              <w:t>Not Applicable</w:t>
            </w:r>
          </w:p>
        </w:tc>
        <w:tc>
          <w:tcPr>
            <w:tcW w:w="2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2"/>
        </w:trPr>
        <w:tc>
          <w:tcPr>
            <w:tcW w:w="11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2800" w:type="dxa"/>
            <w:vAlign w:val="bottom"/>
            <w:tcBorders>
              <w:bottom w:val="single" w:sz="8" w:color="auto"/>
            </w:tcBorders>
            <w:gridSpan w:val="4"/>
          </w:tcPr>
          <w:p>
            <w:pPr>
              <w:spacing w:after="0"/>
              <w:rPr>
                <w:sz w:val="4"/>
                <w:szCs w:val="4"/>
                <w:color w:val="auto"/>
              </w:rPr>
            </w:pPr>
          </w:p>
        </w:tc>
        <w:tc>
          <w:tcPr>
            <w:tcW w:w="42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47"/>
        </w:trPr>
        <w:tc>
          <w:tcPr>
            <w:tcW w:w="1140" w:type="dxa"/>
            <w:vAlign w:val="bottom"/>
          </w:tcPr>
          <w:p>
            <w:pPr>
              <w:spacing w:after="0"/>
              <w:rPr>
                <w:sz w:val="21"/>
                <w:szCs w:val="21"/>
                <w:color w:val="auto"/>
              </w:rPr>
            </w:pPr>
          </w:p>
        </w:tc>
        <w:tc>
          <w:tcPr>
            <w:tcW w:w="6660" w:type="dxa"/>
            <w:vAlign w:val="bottom"/>
            <w:gridSpan w:val="12"/>
          </w:tcPr>
          <w:p>
            <w:pPr>
              <w:jc w:val="center"/>
              <w:ind w:left="2235"/>
              <w:spacing w:after="0"/>
              <w:rPr>
                <w:sz w:val="20"/>
                <w:szCs w:val="20"/>
                <w:color w:val="auto"/>
              </w:rPr>
            </w:pPr>
            <w:r>
              <w:rPr>
                <w:rFonts w:ascii="Arial" w:cs="Arial" w:eastAsia="Arial" w:hAnsi="Arial"/>
                <w:sz w:val="17"/>
                <w:szCs w:val="17"/>
                <w:color w:val="auto"/>
                <w:w w:val="89"/>
              </w:rPr>
              <w:t>Former name or former address, if changed since last report</w:t>
            </w:r>
          </w:p>
        </w:tc>
        <w:tc>
          <w:tcPr>
            <w:tcW w:w="2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408"/>
        </w:trPr>
        <w:tc>
          <w:tcPr>
            <w:tcW w:w="4780" w:type="dxa"/>
            <w:vAlign w:val="bottom"/>
            <w:gridSpan w:val="7"/>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8"/>
        </w:trPr>
        <w:tc>
          <w:tcPr>
            <w:tcW w:w="1140" w:type="dxa"/>
            <w:vAlign w:val="bottom"/>
          </w:tcPr>
          <w:p>
            <w:pPr>
              <w:spacing w:after="0"/>
              <w:rPr>
                <w:sz w:val="24"/>
                <w:szCs w:val="24"/>
                <w:color w:val="auto"/>
              </w:rPr>
            </w:pPr>
          </w:p>
        </w:tc>
        <w:tc>
          <w:tcPr>
            <w:tcW w:w="3640" w:type="dxa"/>
            <w:vAlign w:val="bottom"/>
            <w:gridSpan w:val="6"/>
          </w:tcPr>
          <w:p>
            <w:pPr>
              <w:ind w:left="20"/>
              <w:spacing w:after="0"/>
              <w:rPr>
                <w:sz w:val="20"/>
                <w:szCs w:val="20"/>
                <w:color w:val="auto"/>
              </w:rPr>
            </w:pPr>
            <w:r>
              <w:rPr>
                <w:rFonts w:ascii="Arial" w:cs="Arial" w:eastAsia="Arial" w:hAnsi="Arial"/>
                <w:sz w:val="17"/>
                <w:szCs w:val="17"/>
                <w:color w:val="auto"/>
              </w:rPr>
              <w:t>Title of each class</w:t>
            </w:r>
          </w:p>
        </w:tc>
        <w:tc>
          <w:tcPr>
            <w:tcW w:w="3020" w:type="dxa"/>
            <w:vAlign w:val="bottom"/>
            <w:gridSpan w:val="6"/>
          </w:tcPr>
          <w:p>
            <w:pPr>
              <w:jc w:val="center"/>
              <w:ind w:right="1300"/>
              <w:spacing w:after="0"/>
              <w:rPr>
                <w:sz w:val="20"/>
                <w:szCs w:val="20"/>
                <w:color w:val="auto"/>
              </w:rPr>
            </w:pPr>
            <w:r>
              <w:rPr>
                <w:rFonts w:ascii="Arial" w:cs="Arial" w:eastAsia="Arial" w:hAnsi="Arial"/>
                <w:sz w:val="17"/>
                <w:szCs w:val="17"/>
                <w:color w:val="auto"/>
                <w:w w:val="92"/>
              </w:rPr>
              <w:t>Trading Symbol(s)</w:t>
            </w:r>
          </w:p>
        </w:tc>
        <w:tc>
          <w:tcPr>
            <w:tcW w:w="344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Name of each exchange on which registered</w:t>
            </w:r>
          </w:p>
        </w:tc>
      </w:tr>
      <w:tr>
        <w:trPr>
          <w:trHeight w:val="209"/>
        </w:trPr>
        <w:tc>
          <w:tcPr>
            <w:tcW w:w="3600" w:type="dxa"/>
            <w:vAlign w:val="bottom"/>
            <w:tcBorders>
              <w:top w:val="single" w:sz="8" w:color="auto"/>
            </w:tcBorders>
            <w:gridSpan w:val="2"/>
          </w:tcPr>
          <w:p>
            <w:pPr>
              <w:ind w:left="700"/>
              <w:spacing w:after="0"/>
              <w:rPr>
                <w:sz w:val="20"/>
                <w:szCs w:val="20"/>
                <w:color w:val="auto"/>
              </w:rPr>
            </w:pPr>
            <w:r>
              <w:rPr>
                <w:rFonts w:ascii="Arial" w:cs="Arial" w:eastAsia="Arial" w:hAnsi="Arial"/>
                <w:sz w:val="17"/>
                <w:szCs w:val="17"/>
                <w:color w:val="auto"/>
              </w:rPr>
              <w:t>Common Stock, $1.00 par value</w:t>
            </w:r>
          </w:p>
        </w:tc>
        <w:tc>
          <w:tcPr>
            <w:tcW w:w="240" w:type="dxa"/>
            <w:vAlign w:val="bottom"/>
          </w:tcPr>
          <w:p>
            <w:pPr>
              <w:spacing w:after="0"/>
              <w:rPr>
                <w:sz w:val="18"/>
                <w:szCs w:val="18"/>
                <w:color w:val="auto"/>
              </w:rPr>
            </w:pPr>
          </w:p>
        </w:tc>
        <w:tc>
          <w:tcPr>
            <w:tcW w:w="940" w:type="dxa"/>
            <w:vAlign w:val="bottom"/>
            <w:tcBorders>
              <w:top w:val="single" w:sz="8" w:color="auto"/>
            </w:tcBorders>
            <w:gridSpan w:val="4"/>
          </w:tcPr>
          <w:p>
            <w:pPr>
              <w:spacing w:after="0"/>
              <w:rPr>
                <w:sz w:val="18"/>
                <w:szCs w:val="18"/>
                <w:color w:val="auto"/>
              </w:rPr>
            </w:pPr>
          </w:p>
        </w:tc>
        <w:tc>
          <w:tcPr>
            <w:tcW w:w="2660" w:type="dxa"/>
            <w:vAlign w:val="bottom"/>
            <w:tcBorders>
              <w:top w:val="single" w:sz="8" w:color="auto"/>
            </w:tcBorders>
            <w:gridSpan w:val="4"/>
          </w:tcPr>
          <w:p>
            <w:pPr>
              <w:jc w:val="center"/>
              <w:ind w:right="940"/>
              <w:spacing w:after="0"/>
              <w:rPr>
                <w:sz w:val="20"/>
                <w:szCs w:val="20"/>
                <w:color w:val="auto"/>
              </w:rPr>
            </w:pPr>
            <w:r>
              <w:rPr>
                <w:rFonts w:ascii="Arial" w:cs="Arial" w:eastAsia="Arial" w:hAnsi="Arial"/>
                <w:sz w:val="17"/>
                <w:szCs w:val="17"/>
                <w:color w:val="auto"/>
                <w:w w:val="95"/>
              </w:rPr>
              <w:t>COHU</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7"/>
                <w:szCs w:val="17"/>
                <w:color w:val="auto"/>
                <w:w w:val="95"/>
              </w:rPr>
              <w:t>The NASDAQ Stock Market LLC</w:t>
            </w:r>
          </w:p>
        </w:tc>
      </w:tr>
    </w:tbl>
    <w:p>
      <w:pPr>
        <w:spacing w:after="0" w:line="180" w:lineRule="exact"/>
        <w:rPr>
          <w:sz w:val="24"/>
          <w:szCs w:val="24"/>
          <w:color w:val="auto"/>
        </w:rPr>
      </w:pPr>
    </w:p>
    <w:p>
      <w:pPr>
        <w:ind w:right="58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ind w:left="240" w:hanging="238"/>
        <w:spacing w:after="0"/>
        <w:tabs>
          <w:tab w:leader="none" w:pos="2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2" w:lineRule="exact"/>
        <w:rPr>
          <w:rFonts w:ascii="MS PGothic" w:cs="MS PGothic" w:eastAsia="MS PGothic" w:hAnsi="MS PGothic"/>
          <w:sz w:val="17"/>
          <w:szCs w:val="17"/>
          <w:color w:val="auto"/>
        </w:rPr>
      </w:pPr>
    </w:p>
    <w:p>
      <w:pPr>
        <w:ind w:left="240" w:hanging="238"/>
        <w:spacing w:after="0"/>
        <w:tabs>
          <w:tab w:leader="none" w:pos="2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 w:lineRule="exact"/>
        <w:rPr>
          <w:rFonts w:ascii="MS PGothic" w:cs="MS PGothic" w:eastAsia="MS PGothic" w:hAnsi="MS PGothic"/>
          <w:sz w:val="17"/>
          <w:szCs w:val="17"/>
          <w:color w:val="auto"/>
        </w:rPr>
      </w:pPr>
    </w:p>
    <w:p>
      <w:pPr>
        <w:ind w:left="240" w:hanging="238"/>
        <w:spacing w:after="0"/>
        <w:tabs>
          <w:tab w:leader="none" w:pos="2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 w:lineRule="exact"/>
        <w:rPr>
          <w:rFonts w:ascii="MS PGothic" w:cs="MS PGothic" w:eastAsia="MS PGothic" w:hAnsi="MS PGothic"/>
          <w:sz w:val="17"/>
          <w:szCs w:val="17"/>
          <w:color w:val="auto"/>
        </w:rPr>
      </w:pPr>
    </w:p>
    <w:p>
      <w:pPr>
        <w:ind w:left="240" w:hanging="238"/>
        <w:spacing w:after="0"/>
        <w:tabs>
          <w:tab w:leader="none" w:pos="2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98" w:lineRule="exact"/>
        <w:rPr>
          <w:sz w:val="24"/>
          <w:szCs w:val="24"/>
          <w:color w:val="auto"/>
        </w:rPr>
      </w:pPr>
    </w:p>
    <w:p>
      <w:pPr>
        <w:ind w:right="200"/>
        <w:spacing w:after="0" w:line="274"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45" w:lineRule="exact"/>
        <w:rPr>
          <w:sz w:val="24"/>
          <w:szCs w:val="24"/>
          <w:color w:val="auto"/>
        </w:rPr>
      </w:pPr>
    </w:p>
    <w:p>
      <w:pPr>
        <w:ind w:right="6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353060</wp:posOffset>
            </wp:positionV>
            <wp:extent cx="713994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7.01 Regulation FD Disclosure</w:t>
      </w:r>
    </w:p>
    <w:p>
      <w:pPr>
        <w:spacing w:after="0" w:line="216"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Cohu, Inc. (“Cohu”) is furnishing on Form 8-K the presentation in response to ongoing investor questions regarding potential business impacts surrounding the COVID-19 pandemic.</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specific reference in such filing.</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 Looking Statements:</w:t>
      </w:r>
    </w:p>
    <w:p>
      <w:pPr>
        <w:spacing w:after="0" w:line="2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Certain statements herein may be considered forward-looking statements within the meaning of the U.S. Private Securities Litigation Reform Act of 1995, including statements regarding business continuity during the COVID-19 pandemic; keeping factories open; supplier operations and supply chain; temporary cost reductions; estimated break-even EBITDA; market positioning and leadership in various market segments;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are based on current beliefs and assumptions that are subject to risks and uncertainties, and are not guarantees of future performance. Actual results could differ materially from those contained in any forward-looking statement as a result of various risk factors, including, without limitation: Our future performance will depend on the duration and spread of the recent outbreak of the COVID-19 virus, as well as any future government restrictions placed on us, our customers or suppliers due to the outbreak, whether mandated or recommended. Our factories may be forced to close. Customers may experience significant losses or weak demand due to the COVID-19 outbreak and may terminate their existing contracts or postpone or ultimately cancel future planned orders and contracts due to those losses or weak demand. We may have more difficulty collecting receivables. Suppliers may fail to deliver critical components and there may not be alternate sources. Travel may be restricted to certain areas which may limit our ability to obtain new customers or jurisdictions, or to provide support services in those areas in which our customers are currently located. We may incur significant costs in retaining idle employees. We may experience a shortage of labor due to government restrictions, quarantine or prolonged illness within our own organization or at supplier or customer locations. We may face IT issues that prevent productive work from home efforts. As this is a constantly changing and fluid situation, the full impact of COVID-19 cannot be measured at this time and might not become apparent until sometime in the next few months and beyond. These and other risks and uncertainties are discussed in Cohu’s filings with the SEC, including the most recently filed Form 10-K and Form 10-Q, and the other SEC filings made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exhibit listed below is being furnished with this Current Report on Form 8-K.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00" w:type="dxa"/>
            <w:vAlign w:val="bottom"/>
          </w:tcPr>
          <w:p>
            <w:pPr>
              <w:spacing w:after="0"/>
              <w:rPr>
                <w:sz w:val="20"/>
                <w:szCs w:val="20"/>
                <w:color w:val="auto"/>
              </w:rPr>
            </w:pPr>
            <w:r>
              <w:rPr>
                <w:rFonts w:ascii="Arial" w:cs="Arial" w:eastAsia="Arial" w:hAnsi="Arial"/>
                <w:sz w:val="17"/>
                <w:szCs w:val="17"/>
                <w:color w:val="auto"/>
              </w:rPr>
              <w:t>(d) Exhibit</w:t>
            </w:r>
          </w:p>
        </w:tc>
        <w:tc>
          <w:tcPr>
            <w:tcW w:w="2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408"/>
        </w:trPr>
        <w:tc>
          <w:tcPr>
            <w:tcW w:w="1100" w:type="dxa"/>
            <w:vAlign w:val="bottom"/>
          </w:tcPr>
          <w:p>
            <w:pPr>
              <w:spacing w:after="0"/>
              <w:rPr>
                <w:sz w:val="20"/>
                <w:szCs w:val="20"/>
                <w:color w:val="auto"/>
              </w:rPr>
            </w:pPr>
            <w:r>
              <w:rPr>
                <w:rFonts w:ascii="Arial" w:cs="Arial" w:eastAsia="Arial" w:hAnsi="Arial"/>
                <w:sz w:val="17"/>
                <w:szCs w:val="17"/>
                <w:b w:val="1"/>
                <w:bCs w:val="1"/>
                <w:color w:val="auto"/>
              </w:rPr>
              <w:t>Exhibit No.</w:t>
            </w:r>
          </w:p>
        </w:tc>
        <w:tc>
          <w:tcPr>
            <w:tcW w:w="10140" w:type="dxa"/>
            <w:vAlign w:val="bottom"/>
            <w:gridSpan w:val="3"/>
          </w:tcPr>
          <w:p>
            <w:pPr>
              <w:ind w:left="280"/>
              <w:spacing w:after="0"/>
              <w:rPr>
                <w:sz w:val="20"/>
                <w:szCs w:val="20"/>
                <w:color w:val="auto"/>
              </w:rPr>
            </w:pPr>
            <w:r>
              <w:rPr>
                <w:rFonts w:ascii="Arial" w:cs="Arial" w:eastAsia="Arial" w:hAnsi="Arial"/>
                <w:sz w:val="17"/>
                <w:szCs w:val="17"/>
                <w:b w:val="1"/>
                <w:bCs w:val="1"/>
                <w:color w:val="auto"/>
              </w:rPr>
              <w:t>Description</w:t>
            </w:r>
          </w:p>
        </w:tc>
      </w:tr>
      <w:tr>
        <w:trPr>
          <w:trHeight w:val="371"/>
        </w:trPr>
        <w:tc>
          <w:tcPr>
            <w:tcW w:w="1100" w:type="dxa"/>
            <w:vAlign w:val="bottom"/>
          </w:tcPr>
          <w:p>
            <w:pPr>
              <w:spacing w:after="0"/>
              <w:rPr>
                <w:sz w:val="20"/>
                <w:szCs w:val="20"/>
                <w:color w:val="auto"/>
              </w:rPr>
            </w:pPr>
            <w:r>
              <w:rPr>
                <w:rFonts w:ascii="Arial" w:cs="Arial" w:eastAsia="Arial" w:hAnsi="Arial"/>
                <w:sz w:val="17"/>
                <w:szCs w:val="17"/>
                <w:color w:val="auto"/>
              </w:rPr>
              <w:t>99.1</w:t>
            </w:r>
          </w:p>
        </w:tc>
        <w:tc>
          <w:tcPr>
            <w:tcW w:w="10140" w:type="dxa"/>
            <w:vAlign w:val="bottom"/>
            <w:gridSpan w:val="3"/>
          </w:tcPr>
          <w:p>
            <w:pPr>
              <w:ind w:left="280"/>
              <w:spacing w:after="0"/>
              <w:rPr>
                <w:rFonts w:ascii="Arial" w:cs="Arial" w:eastAsia="Arial" w:hAnsi="Arial"/>
                <w:sz w:val="17"/>
                <w:szCs w:val="17"/>
                <w:color w:val="0000EE"/>
              </w:rPr>
            </w:pPr>
            <w:hyperlink w:anchor="page4">
              <w:r>
                <w:rPr>
                  <w:rFonts w:ascii="Arial" w:cs="Arial" w:eastAsia="Arial" w:hAnsi="Arial"/>
                  <w:sz w:val="17"/>
                  <w:szCs w:val="17"/>
                  <w:color w:val="0000EE"/>
                </w:rPr>
                <w:t>Business Conditions under COVID-19 Pandemic, Dated March 31, 2020</w:t>
              </w:r>
            </w:hyperlink>
          </w:p>
        </w:tc>
      </w:tr>
      <w:tr>
        <w:trPr>
          <w:trHeight w:val="559"/>
        </w:trPr>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960" w:type="dxa"/>
            <w:vAlign w:val="bottom"/>
            <w:tcBorders>
              <w:top w:val="single" w:sz="8" w:color="0000EE"/>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37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Cohu, Inc.</w:t>
      </w:r>
    </w:p>
    <w:p>
      <w:pPr>
        <w:sectPr>
          <w:pgSz w:w="11900" w:h="16838" w:orient="portrait"/>
          <w:cols w:equalWidth="0" w:num="1">
            <w:col w:w="11220"/>
          </w:cols>
          <w:pgMar w:left="320" w:top="595" w:right="35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March 31, 2020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27940</wp:posOffset>
            </wp:positionV>
            <wp:extent cx="34969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96945"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3">
            <w:col w:w="4680" w:space="720"/>
            <w:col w:w="240" w:space="300"/>
            <w:col w:w="5280"/>
          </w:cols>
          <w:pgMar w:left="320" w:top="595" w:right="359" w:bottom="1440" w:gutter="0" w:footer="0" w:header="0"/>
          <w:type w:val="continuous"/>
        </w:sectPr>
      </w:pPr>
    </w:p>
    <w:p>
      <w:pPr>
        <w:ind w:left="5740"/>
        <w:spacing w:after="0"/>
        <w:rPr>
          <w:sz w:val="20"/>
          <w:szCs w:val="20"/>
          <w:color w:val="auto"/>
        </w:rPr>
      </w:pPr>
      <w:r>
        <w:rPr>
          <w:rFonts w:ascii="Arial" w:cs="Arial" w:eastAsia="Arial" w:hAnsi="Arial"/>
          <w:sz w:val="17"/>
          <w:szCs w:val="17"/>
          <w:i w:val="1"/>
          <w:iCs w:val="1"/>
          <w:color w:val="auto"/>
        </w:rPr>
        <w:t>Name: Jeffrey D. Jones</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5"/>
          <w:szCs w:val="15"/>
          <w:i w:val="1"/>
          <w:iCs w:val="1"/>
          <w:color w:val="auto"/>
        </w:rPr>
        <w:t>Title: VP Finance and Chief Financial Officer</w:t>
      </w:r>
    </w:p>
    <w:p>
      <w:pPr>
        <w:sectPr>
          <w:pgSz w:w="11900" w:h="16838" w:orient="portrait"/>
          <w:cols w:equalWidth="0" w:num="1">
            <w:col w:w="11220"/>
          </w:cols>
          <w:pgMar w:left="320" w:top="595" w:right="359" w:bottom="1440" w:gutter="0" w:footer="0" w:header="0"/>
          <w:type w:val="continuous"/>
        </w:sectPr>
      </w:pPr>
    </w:p>
    <w:bookmarkStart w:id="3" w:name="page4"/>
    <w:bookmarkEnd w:id="3"/>
    <w:p>
      <w:pPr>
        <w:ind w:left="924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451485</wp:posOffset>
            </wp:positionV>
            <wp:extent cx="7199630" cy="4420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9630" cy="4420235"/>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03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9630" cy="4403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03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9630" cy="4403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047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199630" cy="40474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2020-04-01T06:03:42Z</dcterms:created>
  <dcterms:modified xsi:type="dcterms:W3CDTF">2020-04-01T06:03:42Z</dcterms:modified>
</cp:coreProperties>
</file>