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ind w:right="-359"/>
        <w:spacing w:after="0"/>
        <w:rPr>
          <w:sz w:val="20"/>
          <w:szCs w:val="20"/>
          <w:color w:val="auto"/>
        </w:rPr>
      </w:pPr>
      <w:r>
        <w:rPr>
          <w:rFonts w:ascii="Arial" w:cs="Arial" w:eastAsia="Arial" w:hAnsi="Arial"/>
          <w:sz w:val="18"/>
          <w:szCs w:val="18"/>
          <w:b w:val="1"/>
          <w:bCs w:val="1"/>
          <w:color w:val="auto"/>
        </w:rPr>
        <w:t>Washington, D. C. 20549</w:t>
      </w:r>
    </w:p>
    <w:p>
      <w:pPr>
        <w:spacing w:after="0" w:line="200" w:lineRule="exact"/>
        <w:rPr>
          <w:sz w:val="24"/>
          <w:szCs w:val="24"/>
          <w:color w:val="auto"/>
        </w:rPr>
      </w:pPr>
    </w:p>
    <w:p>
      <w:pPr>
        <w:spacing w:after="0" w:line="285"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FORM SD</w:t>
      </w:r>
    </w:p>
    <w:p>
      <w:pPr>
        <w:spacing w:after="0" w:line="287" w:lineRule="exact"/>
        <w:rPr>
          <w:sz w:val="24"/>
          <w:szCs w:val="24"/>
          <w:color w:val="auto"/>
        </w:rPr>
      </w:pPr>
    </w:p>
    <w:p>
      <w:pPr>
        <w:jc w:val="center"/>
        <w:ind w:right="-359"/>
        <w:spacing w:after="0"/>
        <w:rPr>
          <w:sz w:val="20"/>
          <w:szCs w:val="20"/>
          <w:color w:val="auto"/>
        </w:rPr>
      </w:pPr>
      <w:r>
        <w:rPr>
          <w:rFonts w:ascii="Arial" w:cs="Arial" w:eastAsia="Arial" w:hAnsi="Arial"/>
          <w:sz w:val="22"/>
          <w:szCs w:val="22"/>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359"/>
        <w:spacing w:after="0"/>
        <w:rPr>
          <w:sz w:val="20"/>
          <w:szCs w:val="20"/>
          <w:color w:val="auto"/>
        </w:rPr>
      </w:pPr>
      <w:r>
        <w:rPr>
          <w:rFonts w:ascii="Arial" w:cs="Arial" w:eastAsia="Arial" w:hAnsi="Arial"/>
          <w:sz w:val="32"/>
          <w:szCs w:val="32"/>
          <w:b w:val="1"/>
          <w:bCs w:val="1"/>
          <w:color w:val="auto"/>
        </w:rPr>
        <w:t>COHU, INC.</w:t>
      </w:r>
    </w:p>
    <w:p>
      <w:pPr>
        <w:spacing w:after="0" w:line="53" w:lineRule="exact"/>
        <w:rPr>
          <w:sz w:val="24"/>
          <w:szCs w:val="24"/>
          <w:color w:val="auto"/>
        </w:rPr>
      </w:pPr>
    </w:p>
    <w:p>
      <w:pPr>
        <w:jc w:val="center"/>
        <w:ind w:right="-3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0" w:lineRule="exact"/>
        <w:rPr>
          <w:sz w:val="24"/>
          <w:szCs w:val="24"/>
          <w:color w:val="auto"/>
        </w:rPr>
      </w:pPr>
    </w:p>
    <w:p>
      <w:pPr>
        <w:spacing w:after="0" w:line="330"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3340" w:type="dxa"/>
            <w:vAlign w:val="bottom"/>
          </w:tcPr>
          <w:p>
            <w:pPr>
              <w:jc w:val="center"/>
              <w:ind w:right="1030"/>
              <w:spacing w:after="0"/>
              <w:rPr>
                <w:sz w:val="20"/>
                <w:szCs w:val="20"/>
                <w:color w:val="auto"/>
              </w:rPr>
            </w:pPr>
            <w:r>
              <w:rPr>
                <w:rFonts w:ascii="Arial" w:cs="Arial" w:eastAsia="Arial" w:hAnsi="Arial"/>
                <w:sz w:val="18"/>
                <w:szCs w:val="18"/>
                <w:b w:val="1"/>
                <w:bCs w:val="1"/>
                <w:color w:val="auto"/>
                <w:w w:val="93"/>
              </w:rPr>
              <w:t>Delaware</w:t>
            </w:r>
          </w:p>
        </w:tc>
        <w:tc>
          <w:tcPr>
            <w:tcW w:w="34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001-04298</w:t>
            </w: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95-1934119</w:t>
            </w:r>
          </w:p>
        </w:tc>
      </w:tr>
      <w:tr>
        <w:trPr>
          <w:trHeight w:val="216"/>
        </w:trPr>
        <w:tc>
          <w:tcPr>
            <w:tcW w:w="3340" w:type="dxa"/>
            <w:vAlign w:val="bottom"/>
          </w:tcPr>
          <w:p>
            <w:pPr>
              <w:jc w:val="center"/>
              <w:ind w:right="1030"/>
              <w:spacing w:after="0"/>
              <w:rPr>
                <w:sz w:val="20"/>
                <w:szCs w:val="20"/>
                <w:color w:val="auto"/>
              </w:rPr>
            </w:pPr>
            <w:r>
              <w:rPr>
                <w:rFonts w:ascii="Arial" w:cs="Arial" w:eastAsia="Arial" w:hAnsi="Arial"/>
                <w:sz w:val="18"/>
                <w:szCs w:val="18"/>
                <w:i w:val="1"/>
                <w:iCs w:val="1"/>
                <w:color w:val="auto"/>
                <w:w w:val="93"/>
              </w:rPr>
              <w:t>(State or other jurisdiction of</w:t>
            </w:r>
          </w:p>
        </w:tc>
        <w:tc>
          <w:tcPr>
            <w:tcW w:w="3420" w:type="dxa"/>
            <w:vAlign w:val="bottom"/>
          </w:tcPr>
          <w:p>
            <w:pPr>
              <w:jc w:val="center"/>
              <w:ind w:right="130"/>
              <w:spacing w:after="0"/>
              <w:rPr>
                <w:sz w:val="20"/>
                <w:szCs w:val="20"/>
                <w:color w:val="auto"/>
              </w:rPr>
            </w:pPr>
            <w:r>
              <w:rPr>
                <w:rFonts w:ascii="Arial" w:cs="Arial" w:eastAsia="Arial" w:hAnsi="Arial"/>
                <w:sz w:val="18"/>
                <w:szCs w:val="18"/>
                <w:i w:val="1"/>
                <w:iCs w:val="1"/>
                <w:color w:val="auto"/>
                <w:w w:val="91"/>
              </w:rPr>
              <w:t>(Commission</w:t>
            </w:r>
          </w:p>
        </w:tc>
        <w:tc>
          <w:tcPr>
            <w:tcW w:w="2660" w:type="dxa"/>
            <w:vAlign w:val="bottom"/>
          </w:tcPr>
          <w:p>
            <w:pPr>
              <w:ind w:left="1380"/>
              <w:spacing w:after="0"/>
              <w:rPr>
                <w:sz w:val="20"/>
                <w:szCs w:val="20"/>
                <w:color w:val="auto"/>
              </w:rPr>
            </w:pPr>
            <w:r>
              <w:rPr>
                <w:rFonts w:ascii="Arial" w:cs="Arial" w:eastAsia="Arial" w:hAnsi="Arial"/>
                <w:sz w:val="18"/>
                <w:szCs w:val="18"/>
                <w:i w:val="1"/>
                <w:iCs w:val="1"/>
                <w:color w:val="auto"/>
                <w:w w:val="95"/>
              </w:rPr>
              <w:t>(I.R.S. Employer</w:t>
            </w:r>
          </w:p>
        </w:tc>
      </w:tr>
      <w:tr>
        <w:trPr>
          <w:trHeight w:val="230"/>
        </w:trPr>
        <w:tc>
          <w:tcPr>
            <w:tcW w:w="3340" w:type="dxa"/>
            <w:vAlign w:val="bottom"/>
          </w:tcPr>
          <w:p>
            <w:pPr>
              <w:jc w:val="center"/>
              <w:ind w:right="1030"/>
              <w:spacing w:after="0"/>
              <w:rPr>
                <w:sz w:val="20"/>
                <w:szCs w:val="20"/>
                <w:color w:val="auto"/>
              </w:rPr>
            </w:pPr>
            <w:r>
              <w:rPr>
                <w:rFonts w:ascii="Arial" w:cs="Arial" w:eastAsia="Arial" w:hAnsi="Arial"/>
                <w:sz w:val="18"/>
                <w:szCs w:val="18"/>
                <w:i w:val="1"/>
                <w:iCs w:val="1"/>
                <w:color w:val="auto"/>
                <w:w w:val="94"/>
              </w:rPr>
              <w:t>incorporation or organization)</w:t>
            </w:r>
          </w:p>
        </w:tc>
        <w:tc>
          <w:tcPr>
            <w:tcW w:w="3420" w:type="dxa"/>
            <w:vAlign w:val="bottom"/>
          </w:tcPr>
          <w:p>
            <w:pPr>
              <w:jc w:val="center"/>
              <w:ind w:right="130"/>
              <w:spacing w:after="0"/>
              <w:rPr>
                <w:sz w:val="20"/>
                <w:szCs w:val="20"/>
                <w:color w:val="auto"/>
              </w:rPr>
            </w:pPr>
            <w:r>
              <w:rPr>
                <w:rFonts w:ascii="Arial" w:cs="Arial" w:eastAsia="Arial" w:hAnsi="Arial"/>
                <w:sz w:val="18"/>
                <w:szCs w:val="18"/>
                <w:i w:val="1"/>
                <w:iCs w:val="1"/>
                <w:color w:val="auto"/>
                <w:w w:val="92"/>
              </w:rPr>
              <w:t>File Number)</w:t>
            </w:r>
          </w:p>
        </w:tc>
        <w:tc>
          <w:tcPr>
            <w:tcW w:w="2660" w:type="dxa"/>
            <w:vAlign w:val="bottom"/>
          </w:tcPr>
          <w:p>
            <w:pPr>
              <w:jc w:val="center"/>
              <w:ind w:left="1250"/>
              <w:spacing w:after="0"/>
              <w:rPr>
                <w:sz w:val="20"/>
                <w:szCs w:val="20"/>
                <w:color w:val="auto"/>
              </w:rPr>
            </w:pPr>
            <w:r>
              <w:rPr>
                <w:rFonts w:ascii="Arial" w:cs="Arial" w:eastAsia="Arial" w:hAnsi="Arial"/>
                <w:sz w:val="18"/>
                <w:szCs w:val="18"/>
                <w:i w:val="1"/>
                <w:iCs w:val="1"/>
                <w:color w:val="auto"/>
                <w:w w:val="94"/>
              </w:rPr>
              <w:t>Identification No.)</w:t>
            </w:r>
          </w:p>
        </w:tc>
      </w:tr>
      <w:tr>
        <w:trPr>
          <w:trHeight w:val="958"/>
        </w:trPr>
        <w:tc>
          <w:tcPr>
            <w:tcW w:w="6760" w:type="dxa"/>
            <w:vAlign w:val="bottom"/>
            <w:gridSpan w:val="2"/>
          </w:tcPr>
          <w:p>
            <w:pPr>
              <w:jc w:val="center"/>
              <w:ind w:right="550"/>
              <w:spacing w:after="0"/>
              <w:rPr>
                <w:sz w:val="20"/>
                <w:szCs w:val="20"/>
                <w:color w:val="auto"/>
              </w:rPr>
            </w:pPr>
            <w:r>
              <w:rPr>
                <w:rFonts w:ascii="Arial" w:cs="Arial" w:eastAsia="Arial" w:hAnsi="Arial"/>
                <w:sz w:val="18"/>
                <w:szCs w:val="18"/>
                <w:b w:val="1"/>
                <w:bCs w:val="1"/>
                <w:color w:val="auto"/>
                <w:w w:val="91"/>
              </w:rPr>
              <w:t>12367 Crosthwaite Circle, Poway, California</w:t>
            </w: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92064-6817</w:t>
            </w:r>
          </w:p>
        </w:tc>
      </w:tr>
      <w:tr>
        <w:trPr>
          <w:trHeight w:val="230"/>
        </w:trPr>
        <w:tc>
          <w:tcPr>
            <w:tcW w:w="6760" w:type="dxa"/>
            <w:vAlign w:val="bottom"/>
            <w:gridSpan w:val="2"/>
          </w:tcPr>
          <w:p>
            <w:pPr>
              <w:jc w:val="center"/>
              <w:ind w:right="55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2660" w:type="dxa"/>
            <w:vAlign w:val="bottom"/>
          </w:tcPr>
          <w:p>
            <w:pPr>
              <w:jc w:val="center"/>
              <w:ind w:left="1270"/>
              <w:spacing w:after="0"/>
              <w:rPr>
                <w:sz w:val="20"/>
                <w:szCs w:val="20"/>
                <w:color w:val="auto"/>
              </w:rPr>
            </w:pPr>
            <w:r>
              <w:rPr>
                <w:rFonts w:ascii="Arial" w:cs="Arial" w:eastAsia="Arial" w:hAnsi="Arial"/>
                <w:sz w:val="18"/>
                <w:szCs w:val="18"/>
                <w:i w:val="1"/>
                <w:iCs w:val="1"/>
                <w:color w:val="auto"/>
                <w:w w:val="91"/>
              </w:rPr>
              <w:t>(Zip Code)</w:t>
            </w:r>
          </w:p>
        </w:tc>
      </w:tr>
    </w:tbl>
    <w:p>
      <w:pPr>
        <w:spacing w:after="0" w:line="200" w:lineRule="exact"/>
        <w:rPr>
          <w:sz w:val="24"/>
          <w:szCs w:val="24"/>
          <w:color w:val="auto"/>
        </w:rPr>
      </w:pPr>
    </w:p>
    <w:p>
      <w:pPr>
        <w:spacing w:after="0" w:line="322" w:lineRule="exact"/>
        <w:rPr>
          <w:sz w:val="24"/>
          <w:szCs w:val="24"/>
          <w:color w:val="auto"/>
        </w:rPr>
      </w:pPr>
    </w:p>
    <w:p>
      <w:pPr>
        <w:jc w:val="center"/>
        <w:ind w:right="-339"/>
        <w:spacing w:after="0"/>
        <w:tabs>
          <w:tab w:leader="none" w:pos="160" w:val="left"/>
        </w:tabs>
        <w:rPr>
          <w:sz w:val="20"/>
          <w:szCs w:val="20"/>
          <w:color w:val="auto"/>
        </w:rPr>
      </w:pPr>
      <w:r>
        <w:rPr>
          <w:rFonts w:ascii="Arial" w:cs="Arial" w:eastAsia="Arial" w:hAnsi="Arial"/>
          <w:sz w:val="18"/>
          <w:szCs w:val="18"/>
          <w:b w:val="1"/>
          <w:bCs w:val="1"/>
          <w:color w:val="auto"/>
        </w:rPr>
        <w:t>Jeffrey D. Jones</w:t>
      </w:r>
      <w:r>
        <w:rPr>
          <w:sz w:val="20"/>
          <w:szCs w:val="20"/>
          <w:color w:val="auto"/>
        </w:rPr>
        <w:tab/>
      </w:r>
      <w:r>
        <w:rPr>
          <w:rFonts w:ascii="Arial" w:cs="Arial" w:eastAsia="Arial" w:hAnsi="Arial"/>
          <w:sz w:val="16"/>
          <w:szCs w:val="16"/>
          <w:b w:val="1"/>
          <w:bCs w:val="1"/>
          <w:color w:val="auto"/>
        </w:rPr>
        <w:t>(858) 848-8100</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i w:val="1"/>
          <w:i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200" w:lineRule="exact"/>
        <w:rPr>
          <w:sz w:val="24"/>
          <w:szCs w:val="24"/>
          <w:color w:val="auto"/>
        </w:rPr>
      </w:pPr>
    </w:p>
    <w:p>
      <w:pPr>
        <w:spacing w:after="0" w:line="241" w:lineRule="exact"/>
        <w:rPr>
          <w:sz w:val="24"/>
          <w:szCs w:val="24"/>
          <w:color w:val="auto"/>
        </w:rPr>
      </w:pPr>
    </w:p>
    <w:p>
      <w:pPr>
        <w:ind w:left="720" w:hanging="388"/>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080"/>
          </w:cols>
          <w:pgMar w:left="240" w:top="234" w:right="5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29" w:lineRule="exact"/>
        <w:rPr>
          <w:sz w:val="20"/>
          <w:szCs w:val="20"/>
          <w:color w:val="auto"/>
        </w:rPr>
      </w:pPr>
    </w:p>
    <w:p>
      <w:pPr>
        <w:ind w:right="440" w:firstLine="567"/>
        <w:spacing w:after="0" w:line="277"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values regarding respect for human rights, integrity and environmental responsibility.</w:t>
      </w:r>
    </w:p>
    <w:p>
      <w:pPr>
        <w:spacing w:after="0" w:line="170" w:lineRule="exact"/>
        <w:rPr>
          <w:sz w:val="20"/>
          <w:szCs w:val="20"/>
          <w:color w:val="auto"/>
        </w:rPr>
      </w:pPr>
    </w:p>
    <w:p>
      <w:pPr>
        <w:ind w:firstLine="567"/>
        <w:spacing w:after="0" w:line="276" w:lineRule="auto"/>
        <w:rPr>
          <w:sz w:val="20"/>
          <w:szCs w:val="20"/>
          <w:color w:val="auto"/>
        </w:rPr>
      </w:pPr>
      <w:r>
        <w:rPr>
          <w:rFonts w:ascii="Arial" w:cs="Arial" w:eastAsia="Arial" w:hAnsi="Arial"/>
          <w:sz w:val="17"/>
          <w:szCs w:val="17"/>
          <w:color w:val="auto"/>
        </w:rPr>
        <w:t>Section 1502 of the Dodd Frank Financial Reform Act and U.S. Securities and Exchange Commission‘s Final Regulation to Implement Section 1502 of the Dodd-Frank Act both require reporting entities to exercise due diligence regarding the origin and chain of custody of the conflict minerals contained in their manufactured products. If the due diligence inquiry determines that the conflict minerals originated in the Democratic Republic of Congo or any of the covered countries (Angola, Burundi, Central Africa Republic, Rwanda, South Sudan, Tanzania, Uganda, and Zambia), the company is then obligated to determine whether the minerals financed or benefitted armed groups in these countries.</w:t>
      </w:r>
    </w:p>
    <w:p>
      <w:pPr>
        <w:spacing w:after="0" w:line="173" w:lineRule="exact"/>
        <w:rPr>
          <w:sz w:val="20"/>
          <w:szCs w:val="20"/>
          <w:color w:val="auto"/>
        </w:rPr>
      </w:pPr>
    </w:p>
    <w:p>
      <w:pPr>
        <w:jc w:val="both"/>
        <w:ind w:right="80" w:firstLine="567"/>
        <w:spacing w:after="0" w:line="286" w:lineRule="auto"/>
        <w:rPr>
          <w:sz w:val="20"/>
          <w:szCs w:val="20"/>
          <w:color w:val="auto"/>
        </w:rPr>
      </w:pPr>
      <w:r>
        <w:rPr>
          <w:rFonts w:ascii="Arial" w:cs="Arial" w:eastAsia="Arial" w:hAnsi="Arial"/>
          <w:sz w:val="17"/>
          <w:szCs w:val="17"/>
          <w:color w:val="auto"/>
        </w:rPr>
        <w:t xml:space="preserve">The foregoing description is qualified in its entirety by our Conflict Minerals Report, which is attached hereto as Exhibit 1.01 and is incorporated by reference. A copy of Cohu’s Conflict Minerals Report is also publicly available at: </w:t>
      </w:r>
      <w:r>
        <w:rPr>
          <w:rFonts w:ascii="Arial" w:cs="Arial" w:eastAsia="Arial" w:hAnsi="Arial"/>
          <w:sz w:val="17"/>
          <w:szCs w:val="17"/>
          <w:u w:val="single" w:color="auto"/>
          <w:color w:val="auto"/>
        </w:rPr>
        <w:t>www.cohu.com/about/responsibility</w:t>
      </w:r>
      <w:r>
        <w:rPr>
          <w:rFonts w:ascii="Arial" w:cs="Arial" w:eastAsia="Arial" w:hAnsi="Arial"/>
          <w:sz w:val="17"/>
          <w:szCs w:val="17"/>
          <w:color w:val="auto"/>
        </w:rPr>
        <w:t>. The content of any website referred to in this Form SD is included for general information only and is not incorporated by reference in this Form SD.</w:t>
      </w:r>
    </w:p>
    <w:p>
      <w:pPr>
        <w:spacing w:after="0" w:line="37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Item 1.01 and Item 2.01.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exhibit is filed as part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No. 1.01 - Conflict Minerals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duly authorized undersigned.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1"/>
              </w:rPr>
              <w:t>Cohu, Inc.</w:t>
            </w:r>
          </w:p>
        </w:tc>
        <w:tc>
          <w:tcPr>
            <w:tcW w:w="284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24"/>
        </w:trPr>
        <w:tc>
          <w:tcPr>
            <w:tcW w:w="5160" w:type="dxa"/>
            <w:vAlign w:val="bottom"/>
          </w:tcPr>
          <w:p>
            <w:pPr>
              <w:jc w:val="center"/>
              <w:ind w:left="70"/>
              <w:spacing w:after="0"/>
              <w:rPr>
                <w:sz w:val="20"/>
                <w:szCs w:val="20"/>
                <w:color w:val="auto"/>
              </w:rPr>
            </w:pPr>
            <w:r>
              <w:rPr>
                <w:rFonts w:ascii="Arial" w:cs="Arial" w:eastAsia="Arial" w:hAnsi="Arial"/>
                <w:sz w:val="18"/>
                <w:szCs w:val="18"/>
                <w:i w:val="1"/>
                <w:iCs w:val="1"/>
                <w:color w:val="auto"/>
                <w:w w:val="93"/>
              </w:rPr>
              <w:t>(Registrant)</w:t>
            </w:r>
          </w:p>
        </w:tc>
        <w:tc>
          <w:tcPr>
            <w:tcW w:w="284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85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c>
          <w:tcPr>
            <w:tcW w:w="2840" w:type="dxa"/>
            <w:vAlign w:val="bottom"/>
          </w:tcPr>
          <w:p>
            <w:pPr>
              <w:spacing w:after="0"/>
              <w:rPr>
                <w:sz w:val="24"/>
                <w:szCs w:val="24"/>
                <w:color w:val="auto"/>
              </w:rPr>
            </w:pPr>
          </w:p>
        </w:tc>
        <w:tc>
          <w:tcPr>
            <w:tcW w:w="34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May 30, 2017</w:t>
            </w:r>
          </w:p>
        </w:tc>
      </w:tr>
      <w:tr>
        <w:trPr>
          <w:trHeight w:val="195"/>
        </w:trPr>
        <w:tc>
          <w:tcPr>
            <w:tcW w:w="5160" w:type="dxa"/>
            <w:vAlign w:val="bottom"/>
          </w:tcPr>
          <w:p>
            <w:pPr>
              <w:spacing w:after="0" w:line="195" w:lineRule="exact"/>
              <w:rPr>
                <w:sz w:val="20"/>
                <w:szCs w:val="20"/>
                <w:color w:val="auto"/>
              </w:rPr>
            </w:pPr>
            <w:r>
              <w:rPr>
                <w:rFonts w:ascii="Arial" w:cs="Arial" w:eastAsia="Arial" w:hAnsi="Arial"/>
                <w:sz w:val="18"/>
                <w:szCs w:val="18"/>
                <w:color w:val="auto"/>
              </w:rPr>
              <w:t>Jeffrey D. Jones</w:t>
            </w:r>
          </w:p>
        </w:tc>
        <w:tc>
          <w:tcPr>
            <w:tcW w:w="2840" w:type="dxa"/>
            <w:vAlign w:val="bottom"/>
          </w:tcPr>
          <w:p>
            <w:pPr>
              <w:spacing w:after="0"/>
              <w:rPr>
                <w:sz w:val="16"/>
                <w:szCs w:val="16"/>
                <w:color w:val="auto"/>
              </w:rPr>
            </w:pPr>
          </w:p>
        </w:tc>
        <w:tc>
          <w:tcPr>
            <w:tcW w:w="3420" w:type="dxa"/>
            <w:vAlign w:val="bottom"/>
          </w:tcPr>
          <w:p>
            <w:pPr>
              <w:ind w:left="1480"/>
              <w:spacing w:after="0" w:line="195" w:lineRule="exact"/>
              <w:rPr>
                <w:sz w:val="20"/>
                <w:szCs w:val="20"/>
                <w:color w:val="auto"/>
              </w:rPr>
            </w:pPr>
            <w:r>
              <w:rPr>
                <w:rFonts w:ascii="Arial" w:cs="Arial" w:eastAsia="Arial" w:hAnsi="Arial"/>
                <w:sz w:val="18"/>
                <w:szCs w:val="18"/>
                <w:i w:val="1"/>
                <w:iCs w:val="1"/>
                <w:color w:val="auto"/>
              </w:rPr>
              <w:t>(Date)</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Vice President Finance &amp; Chief Financial Officer</w:t>
            </w:r>
          </w:p>
        </w:tc>
        <w:tc>
          <w:tcPr>
            <w:tcW w:w="2840" w:type="dxa"/>
            <w:vAlign w:val="bottom"/>
          </w:tcPr>
          <w:p>
            <w:pPr>
              <w:spacing w:after="0"/>
              <w:rPr>
                <w:sz w:val="20"/>
                <w:szCs w:val="20"/>
                <w:color w:val="auto"/>
              </w:rPr>
            </w:pPr>
          </w:p>
        </w:tc>
        <w:tc>
          <w:tcPr>
            <w:tcW w:w="3420" w:type="dxa"/>
            <w:vAlign w:val="bottom"/>
          </w:tcPr>
          <w:p>
            <w:pPr>
              <w:spacing w:after="0"/>
              <w:rPr>
                <w:sz w:val="20"/>
                <w:szCs w:val="20"/>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Exhibit 1.01 Conflict Minerals Report of Cohu, Inc.</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report for the twelve months ended December 31, 2016 is presented to comply with Rule 13p-1 under the Securities Exchange Act of 1934 (the “Rule”).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Form SD and the exhibit attached hereto contain certain forward-looking statements relating to due diligence and compliance process improvements. Such forward-looking statements are based on management’s current expectations and beliefs and are not a guarantee of future performance and are subject to a number of uncertainties and other factors primarily whether industry organizations and initiatives such as the Electronic Industry Citizenship Coalition (“EICC”) and Conflict-Free Sourcing Initiative (“CSFI”) remain effective as a recognized source of external support in the conflict minerals compliance process. Such risks and uncertainties may be outside of management’s control which could cause actual events to differ materially from those expressed or implied by the statements made herein and we undertake no obligation to publicly update any forward-looking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2010, the United States Congress enacted Section 1502 of the Dodd Frank Financial Reform Act (the “Act”), which issued rules requiring certain companies to disclose their use of conflict minerals if those minerals are “necessary to the functionality or production of a product” manufactured by those companies. Under the Act, those minerals include tantalum, tin, tungsten and gold (3TG) and herein are referred to as “Conflict Minerals”.</w:t>
      </w:r>
    </w:p>
    <w:p>
      <w:pPr>
        <w:spacing w:after="0" w:line="16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Congress enacted this legislation due to concerns that the exploitation and trade of Conflict Minerals by armed groups is helping to finance conflict in the Democratic Republic of Congo (“DRC”) region and surrounding areas (Angola, Burundi, Central Africa Republic, Rwanda, South Sudan, Tanzania, Uganda, and Zambia, collectively, the “Covered Countries”) and is contributing to a humanitarian crisis.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Adherence to the Law</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Cohu, Inc. (“Cohu”, “we”, “our” and “us”) is committed to sourcing components and materials from companies that share our corporate values regarding respect for human rights and integrity. Cohu corporate responsibility involves taking meaningful steps to ensure that the raw materials, components and sub-assemblies we receive from our supply chain are responsibly sourced. We will not support any vendor or other entity in our supply chain that extracts or transports materials defined as Conflict Minerals and uses the resulting financial or other resources to fund or support conflict in the DRC or any other country that could potentially contribute to human rights violations.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Cohu has adopted and published policies on Conflict Minerals and Supplier Code of Conduct, which are publicly available on our website at </w:t>
      </w:r>
      <w:r>
        <w:rPr>
          <w:rFonts w:ascii="Arial" w:cs="Arial" w:eastAsia="Arial" w:hAnsi="Arial"/>
          <w:sz w:val="18"/>
          <w:szCs w:val="18"/>
          <w:u w:val="single" w:color="auto"/>
          <w:color w:val="auto"/>
        </w:rPr>
        <w:t>www.cohu.com/about/responsibility.</w:t>
      </w:r>
      <w:r>
        <w:rPr>
          <w:rFonts w:ascii="Arial" w:cs="Arial" w:eastAsia="Arial" w:hAnsi="Arial"/>
          <w:sz w:val="18"/>
          <w:szCs w:val="18"/>
          <w:color w:val="auto"/>
        </w:rPr>
        <w:t xml:space="preserve"> Since the adoption of the Act, we have worked to strengthen our engagement with our suppliers through the fulfillment of the supplier code of conduct and by incorporating portions of the code of conduct into contracts with our suppliers. In summary, Cohu expects all vendors and suppliers to:</w:t>
      </w:r>
    </w:p>
    <w:p>
      <w:pPr>
        <w:spacing w:after="0" w:line="18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Purchase materials from legitimate sources not involved in funding conflict in the DRC and surrounding areas.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Avoid the use of Conflict Minerals which may directly or indirectly finance or benefit armed groups in the DRC or adjoining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Confirm that all Conflict Minerals purchased are conflict-free, based on personal knowledge and / or written guarantees provided by the supplier.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Cooperate with our due diligence process that Cohu has established to comply with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Company and Products</w:t>
      </w:r>
    </w:p>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Cohu is a leading supplier of semiconductor test and inspection handlers, micro-electro mechanical system (MEMS) test modules, test contactors and thermal sub-systems used by global semiconductor manufacturers and test subcontractors. We develop, manufacture, sell and service a broad line of equipment capable of handling a wide range of integrated circuits and light-emitting diodes (LEDs). Test handlers are electromechanical systems used to automate testing of integrated circuits and LEDs in the back-end of the semiconductor manufacturing process. Testing determines the quality and performance of the semiconductor device prior to shipment to customers. Testers are designed to verify the performance of semiconductor devices, such as microprocessors, logic, analog, memory or mixed signal devices. Handlers are automated systems engineered to thermally condition and present for testing the packaged semiconductor devices. The majority of test handlers use either pick-and-place, gravity-feed, turret or test-in-strip technologies. The type of device, test parallelism, thermal requirements and signal interface requirements normally determines the appropriate handling approach. Our products, like virtually all companies in the semiconductor and electronics industries, contain various metals including tantalum, tin, tungsten and gold, which originate in mines throughout the world.</w:t>
      </w:r>
    </w:p>
    <w:p>
      <w:pPr>
        <w:spacing w:after="0" w:line="17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Like other companies in the semiconductor and electronics industries, we have a complex globally dispersed supply chain with multiple tiers of suppliers between Cohu and the actual mining of the Conflict Minerals used in our products. As a downstream company, we do not directly purchase these minerals, nor do we have any direct relationship with mines or smelters that process these minerals. Therefore, we must rely on the good faith efforts of our suppliers and component manufacturers, including sub-tier suppliers, to provide us with information on the origin of the materials contained in our products and product components.</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Act, we are required to make certain inquires and perform certain due diligence with respect to any Conflict Minerals that are necessary to the functionality or production of a product manufactured or contracted to be manufactured by us or any of our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Process</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current reporting period we conducted a Reasonable Country of Origin Inquiry (“RCOI”), regarding sub-assemblies, parts and raw materials parts provided by our suppliers. Consistent with prior years, we utilized the due diligence framework advocated by the Organization for Economic Co-operation and Development (“OECD”), as tailored for downstream companies and among other actions, implemented the internal due diligence guidance of the OECD as it pertains to Conflict Minerals sourcing. We continued to employ an internal Conflict Minerals Compliance Team (“Team”) to support our supply chain due diligence. The Team includes members of our Senior Management and appropriate employees within our quality, supply chain, finance and operations departments. Our due diligence includes, but is not limited to, the following steps:</w:t>
      </w:r>
    </w:p>
    <w:p>
      <w:pPr>
        <w:spacing w:after="0" w:line="178" w:lineRule="exact"/>
        <w:rPr>
          <w:sz w:val="20"/>
          <w:szCs w:val="20"/>
          <w:color w:val="auto"/>
        </w:rPr>
      </w:pPr>
    </w:p>
    <w:p>
      <w:pPr>
        <w:jc w:val="both"/>
        <w:ind w:left="660" w:right="14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first step of our internal due diligence was to evaluate our products to determine if they contain any Conflict Minerals that are necessary to the product’s functionality or production. After determining that certain of our products contained Conflict Minerals necessary to product functionality, we performed a review of our list of suppliers that provide us with those items identified as containing Conflict Minerals.</w:t>
      </w:r>
    </w:p>
    <w:p>
      <w:pPr>
        <w:spacing w:after="0" w:line="165" w:lineRule="exact"/>
        <w:rPr>
          <w:rFonts w:ascii="Arial" w:cs="Arial" w:eastAsia="Arial" w:hAnsi="Arial"/>
          <w:sz w:val="17"/>
          <w:szCs w:val="17"/>
          <w:color w:val="auto"/>
        </w:rPr>
      </w:pPr>
    </w:p>
    <w:p>
      <w:pPr>
        <w:ind w:left="660" w:hanging="328"/>
        <w:spacing w:after="0" w:line="31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Team conducted a RCOI with our suppliers to determine whether in-scope Conflict Mineral content originated in the DRC or one of the Covered Countries. We utilized the Conflict Free Sourcing Initiative (“CFSI”) standardized supplier survey and its Conflict Minerals Reporting Template (“CMRT”) to gather information that would enable us to evaluate the source and chain of custody of the materials that suppliers provided.</w:t>
      </w:r>
    </w:p>
    <w:p>
      <w:pPr>
        <w:spacing w:after="0" w:line="146" w:lineRule="exact"/>
        <w:rPr>
          <w:rFonts w:ascii="Arial" w:cs="Arial" w:eastAsia="Arial" w:hAnsi="Arial"/>
          <w:sz w:val="16"/>
          <w:szCs w:val="16"/>
          <w:color w:val="auto"/>
        </w:rPr>
      </w:pPr>
    </w:p>
    <w:p>
      <w:pPr>
        <w:ind w:left="660" w:right="2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primary purpose of the CMRT is to determine the source of the identified Conflict Minerals to identify whether (i) Conflict Minerals sourced by our suppliers originated in the DRC and (ii) smelters used by our suppliers (or our supplier’s suppliers) have been validated as compliant in accordance with the CFSI’s Conflict Free Smelter Program (“CFSP”), including the country of origin, location of the mine or the smelter from which the materials were produced, or determine if the materials originated from scrap or recycled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ind w:left="660" w:right="20" w:hanging="328"/>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Team categorized our suppliers into three types: manufacturing partners; component suppliers; and logistics and service providers. For purposes of our current year RCOI, logistics and service providers were excluded as we concluded that they do not provide us with any materials within the scope of the Act. Subsequently, as it relates to our manufacturing partners and components suppliers surveyed (collectively referred to as “in-scope suppliers”) our RCOI due diligence performed was conducted per guidelines fostered by the OCED and the Global e-Sustainability Initiative (“GeSI”) as follows:</w:t>
      </w:r>
    </w:p>
    <w:p>
      <w:pPr>
        <w:spacing w:after="0" w:line="188" w:lineRule="exact"/>
        <w:rPr>
          <w:sz w:val="20"/>
          <w:szCs w:val="20"/>
          <w:color w:val="auto"/>
        </w:rPr>
      </w:pPr>
    </w:p>
    <w:p>
      <w:pPr>
        <w:ind w:left="960" w:right="100" w:hanging="236"/>
        <w:spacing w:after="0" w:line="259"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defined our supply chain due diligence scope of work to include our in-scope suppliers and we encouraged them to join EICC to further provide transparency evidencing their commitment to becoming conflict-free and to engage with our industry’s effort to achieve the OCED mission of cultivating transparent mineral supply chains and sustainable corporate engagement in creating a responsible global minerals supply chain.</w:t>
      </w:r>
    </w:p>
    <w:p>
      <w:pPr>
        <w:spacing w:after="0" w:line="186" w:lineRule="exact"/>
        <w:rPr>
          <w:rFonts w:ascii="Arial" w:cs="Arial" w:eastAsia="Arial" w:hAnsi="Arial"/>
          <w:sz w:val="18"/>
          <w:szCs w:val="18"/>
          <w:color w:val="auto"/>
        </w:rPr>
      </w:pPr>
    </w:p>
    <w:p>
      <w:pPr>
        <w:jc w:val="both"/>
        <w:ind w:left="960" w:right="240" w:hanging="236"/>
        <w:spacing w:after="0" w:line="264"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adoption and utilization of the industry standard templates and tools aids us in establishing consistency and transparency throughout our supply chain. We employed an EICC online application to collect, validate, manage and aggregate the data reported in the CMRT’s posted by our suppliers and reported the results to senior management.</w:t>
      </w:r>
    </w:p>
    <w:p>
      <w:pPr>
        <w:spacing w:after="0" w:line="181" w:lineRule="exact"/>
        <w:rPr>
          <w:rFonts w:ascii="Arial" w:cs="Arial" w:eastAsia="Arial" w:hAnsi="Arial"/>
          <w:sz w:val="18"/>
          <w:szCs w:val="18"/>
          <w:color w:val="auto"/>
        </w:rPr>
      </w:pPr>
    </w:p>
    <w:p>
      <w:pPr>
        <w:ind w:left="960" w:right="260" w:hanging="236"/>
        <w:spacing w:after="0" w:line="264"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Most of our suppliers execute and post their CMRT’s on the EICC site documenting smelters and countries of origin for the conflict minerals contained in their products. Some suppliers forwarded their CMRT’s directly to us. We contacted suppliers whose responses contained incomplete or unclear information to request further clarification.</w:t>
      </w:r>
    </w:p>
    <w:p>
      <w:pPr>
        <w:spacing w:after="0" w:line="181" w:lineRule="exact"/>
        <w:rPr>
          <w:rFonts w:ascii="Arial" w:cs="Arial" w:eastAsia="Arial" w:hAnsi="Arial"/>
          <w:sz w:val="18"/>
          <w:szCs w:val="18"/>
          <w:color w:val="auto"/>
        </w:rPr>
      </w:pPr>
    </w:p>
    <w:p>
      <w:pPr>
        <w:ind w:left="960" w:right="100" w:hanging="236"/>
        <w:spacing w:after="0" w:line="25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cross referenced the smelter information provided by our suppliers against the CFSI Standard Conflict Free Smelter list to validate our supplier conformance and results compiled for reference in Annex A. The CFSI Standard Smelter List was developed for verification of those Smelters that are compliant in accordance with OECD guidance and have been subject to an independent third party audit to assess whether a smelter entity employed EICC/CFSI policies, practices, and procedures to source conflict free minerals. Some of these Smelters listed may still be actively in the process of gaining certification.</w:t>
      </w:r>
    </w:p>
    <w:p>
      <w:pPr>
        <w:spacing w:after="0" w:line="188" w:lineRule="exact"/>
        <w:rPr>
          <w:rFonts w:ascii="Arial" w:cs="Arial" w:eastAsia="Arial" w:hAnsi="Arial"/>
          <w:sz w:val="18"/>
          <w:szCs w:val="18"/>
          <w:color w:val="auto"/>
        </w:rPr>
      </w:pPr>
    </w:p>
    <w:p>
      <w:pPr>
        <w:ind w:left="960" w:right="100" w:hanging="236"/>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performed risk mitigation efforts with suppliers we identified to be out of conformity with our conflict minerals policy and supplier code of conduct by working with them to bring them into compliance.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are inherent limitations in our due diligence process. Cohu is an indirect purchaser of Conflict Minerals and our due diligence measures provide reasonable, not absolute, assurance regarding the source and chain of custody of the Conflict Minerals we utilize. As we do not have a direct relationship with smelters and refineries, we rely on the efforts of our suppliers to provide us with up-to-date and accurate smelter and refinery sourcing information. In turn, our suppliers seek similar information within their own supply chains to identify the original sources of Conflict Minerals and such sources of information may produce inaccurate or incomplete information.</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Cohu utilizes certain small businesses, both domestic and international, within our supply chain. We have been informed that some of these suppliers have difficulty performing due diligence at their level of the supply chain. In addition, certain responding suppliers provided information that was incomplete. We were unable to obtain verifiable smelter data from such suppliers as a result. Non-responding suppliers failing to report produce a gap in smelter source determination for certain commodities.</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continue to work with our suppliers in our ongoing continuous improvement effort and strive to attain year over year improvement in our reporting effectiveness. During the current year, we successfully increased the response rate by 7% over our 2016 results and we achieved a 94% response rate of all of our in-scope suppliers surveyed. Of the suppliers who responded, 14% declared no Conflict Minerals were included within products supplied to us and therefore did not include any smelter information. For the remaining responder’s declarations received, we have determined that greater than 90% of respondents have declared the source of Conflict Minerals received from smelters that were on CFSI’s list. The other declared smelter facilities were identified as not being located within the Covered Countries, but had not yet received a conflict free certification by an independent 3rd party.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Identified 3TG Sourcing Information</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Based on our due diligence process and the information received from our suppliers, the facilities presented in Annex A were identified by our suppliers as the smelters and refiners of the tin, tantalum, tungsten and gold present in and necessary to the functionality of our products manufactured in the twelve months ended December 31, 2016. The information from our suppliers is still evolving and the smelter list presented in Annex A is based on our good faith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ROCI Results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on the results of our due diligence efforts as described herein, we do not have sufficient information to conclusively determine the countries of origin of the Conflict Minerals in our products or whether the minerals in our products are from recycled or scrap sources. We are not declaring any of our products as DRC Conflict Free for the current reporting period and, accordingly, are not required to obtain an independent private sector audit of the Conflict Minerals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Steps towards Conflict Mineral Compliance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Cohu will continue to exercise due diligence to identify risk of exposure to Conflict Minerals originating from Covered Countries. Moving forward, we intend to take the following steps with respect to our due diligence process to further mitigate the risk that Conflict Minerals in our products are sourced from the DRC or a Covered Country:</w:t>
      </w:r>
    </w:p>
    <w:p>
      <w:pPr>
        <w:spacing w:after="0" w:line="181" w:lineRule="exact"/>
        <w:rPr>
          <w:sz w:val="20"/>
          <w:szCs w:val="20"/>
          <w:color w:val="auto"/>
        </w:rPr>
      </w:pPr>
    </w:p>
    <w:p>
      <w:pPr>
        <w:ind w:left="660" w:right="20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continue to invest in our strong management systems which include our global team of professionals from across our organization. Supply Chain, Quality and managers throughout our organization will continue to enforce our established policies with regard to the sourcing of Conflict Minerals, conduct due diligence and report the result of their efforts to Senior Management.</w:t>
      </w:r>
    </w:p>
    <w:p>
      <w:pPr>
        <w:spacing w:after="0" w:line="181" w:lineRule="exact"/>
        <w:rPr>
          <w:rFonts w:ascii="Arial" w:cs="Arial" w:eastAsia="Arial" w:hAnsi="Arial"/>
          <w:sz w:val="18"/>
          <w:szCs w:val="18"/>
          <w:color w:val="auto"/>
        </w:rPr>
      </w:pPr>
    </w:p>
    <w:p>
      <w:pPr>
        <w:ind w:left="660" w:right="34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incorporate Conflict Minerals compliance requirements into our supplier contracts, supplier performance review and retention process and require that all new suppliers agree to provide us with their Conflict Minerals compliance status during the supplier on-boarding and qualification process.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Conflict Minerals associated with new product launches.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encourage our suppliers to purchase materials from smelters listed in the Conflict Free Smelter List.</w:t>
      </w:r>
    </w:p>
    <w:p>
      <w:pPr>
        <w:spacing w:after="0" w:line="225" w:lineRule="exact"/>
        <w:rPr>
          <w:rFonts w:ascii="Arial" w:cs="Arial" w:eastAsia="Arial" w:hAnsi="Arial"/>
          <w:sz w:val="18"/>
          <w:szCs w:val="18"/>
          <w:color w:val="auto"/>
        </w:rPr>
      </w:pPr>
    </w:p>
    <w:p>
      <w:pPr>
        <w:ind w:left="660" w:right="20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event Conflict Minerals originating in the DRC are identified, after providing the opportunity to change, we expect to disengage from any suppliers found to be persisting in supplying us with Conflict Minerals from sources that support conflict in the DRC or any adjoining country. We intend to continue supporting, promoting and relying on industry initiatives, such as the EICC, GeSI and CFSI, to validate that the sources of the minerals used in our products are not contributing to human rights violations.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Annex A. Smelter Information</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Based on the information that was provided by our suppliers and otherwise obtained through the due diligence process, we believe that, to the extent reasonably determinable, the facilities that were used to process the Conflict Minerals contained in our products include the smelters and refiners listed below.</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40" w:type="dxa"/>
            <w:vAlign w:val="bottom"/>
            <w:tcBorders>
              <w:top w:val="single" w:sz="8" w:color="auto"/>
              <w:left w:val="single" w:sz="8" w:color="auto"/>
              <w:right w:val="single" w:sz="8" w:color="auto"/>
            </w:tcBorders>
            <w:shd w:val="clear" w:color="auto" w:fill="CCEEFF"/>
          </w:tcPr>
          <w:p>
            <w:pPr>
              <w:spacing w:after="0"/>
              <w:rPr>
                <w:sz w:val="18"/>
                <w:szCs w:val="18"/>
                <w:color w:val="auto"/>
              </w:rPr>
            </w:pPr>
          </w:p>
        </w:tc>
        <w:tc>
          <w:tcPr>
            <w:tcW w:w="5140" w:type="dxa"/>
            <w:vAlign w:val="bottom"/>
            <w:tcBorders>
              <w:top w:val="single" w:sz="8" w:color="auto"/>
              <w:right w:val="single" w:sz="8" w:color="auto"/>
            </w:tcBorders>
            <w:shd w:val="clear" w:color="auto" w:fill="CCEEFF"/>
          </w:tcPr>
          <w:p>
            <w:pPr>
              <w:spacing w:after="0"/>
              <w:rPr>
                <w:sz w:val="18"/>
                <w:szCs w:val="18"/>
                <w:color w:val="auto"/>
              </w:rPr>
            </w:pPr>
          </w:p>
        </w:tc>
        <w:tc>
          <w:tcPr>
            <w:tcW w:w="2840" w:type="dxa"/>
            <w:vAlign w:val="bottom"/>
            <w:tcBorders>
              <w:top w:val="single" w:sz="8" w:color="auto"/>
              <w:right w:val="single" w:sz="8" w:color="auto"/>
            </w:tcBorders>
            <w:shd w:val="clear" w:color="auto" w:fill="CCEEFF"/>
          </w:tcPr>
          <w:p>
            <w:pPr>
              <w:spacing w:after="0"/>
              <w:rPr>
                <w:sz w:val="18"/>
                <w:szCs w:val="18"/>
                <w:color w:val="auto"/>
              </w:rPr>
            </w:pPr>
          </w:p>
        </w:tc>
        <w:tc>
          <w:tcPr>
            <w:tcW w:w="170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Smelter</w:t>
            </w:r>
          </w:p>
        </w:tc>
        <w:tc>
          <w:tcPr>
            <w:tcW w:w="40" w:type="dxa"/>
            <w:vAlign w:val="bottom"/>
          </w:tcPr>
          <w:p>
            <w:pPr>
              <w:spacing w:after="0"/>
              <w:rPr>
                <w:sz w:val="18"/>
                <w:szCs w:val="18"/>
                <w:color w:val="auto"/>
              </w:rPr>
            </w:pPr>
          </w:p>
        </w:tc>
      </w:tr>
      <w:tr>
        <w:trPr>
          <w:trHeight w:val="234"/>
        </w:trPr>
        <w:tc>
          <w:tcPr>
            <w:tcW w:w="17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Metal</w:t>
            </w:r>
          </w:p>
        </w:tc>
        <w:tc>
          <w:tcPr>
            <w:tcW w:w="514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Smelter Name</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Country</w:t>
            </w:r>
          </w:p>
        </w:tc>
        <w:tc>
          <w:tcPr>
            <w:tcW w:w="17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Identification</w:t>
            </w:r>
          </w:p>
        </w:tc>
        <w:tc>
          <w:tcPr>
            <w:tcW w:w="40" w:type="dxa"/>
            <w:vAlign w:val="bottom"/>
          </w:tcPr>
          <w:p>
            <w:pPr>
              <w:spacing w:after="0"/>
              <w:rPr>
                <w:sz w:val="20"/>
                <w:szCs w:val="20"/>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Advanced Chemical Company</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CID000015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Aida Chemical Industries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CID000019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Aktyubinsk Copper Company TOO</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CID000028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Allgemeine Gold-und Silberscheideanstalt A.G.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CID000035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Almalyk Mining and Metallurgical Complex (AMMC)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UZBEKISTAN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CID000041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AngloGold Ashanti Córrego do Sítio Mineração</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CID000058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Argor-Heraeus 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CID000077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Asahi Pretec Corp.</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CID000082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Asaka Riken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CID000090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Bauer Walser AG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CID000141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 Hafner GmbH + Co. KG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CID000176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Caridad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CID000180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CCR Refinery - Glencore Canada Corporation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CID000185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Cendres + Métaux 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CID000189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Yunnan Copper Industry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CID000197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Chimet S.p.A.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CID000233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Chugai Mining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CID000264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Colt Refining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CID000288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Daejin Indus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CID000328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DaeryongENC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CID000333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Daye Non-Ferrous Metals Mining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CID000343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DSC (Do Sung Corporation)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CID000359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DODUCO GmbH</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CID000362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Eco-System Recycling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CID000425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Gansu Seemine Material Hi-Tech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CID000522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Guoda Safina High-Tech Environmental Refinery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CID000651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Hangzhou Fuchunjiang Smelting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CID000671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Heraeus Ltd. Hong Kong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CID000707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Heraeus Precious Metals GmbH &amp; Co. KG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CID000711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Hunan Chenzhou Mining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CID000767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HwaSeong CJ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CID000778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Inner Mongolia Qiankun Gold and Silver Refinery Share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CID000801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Jiangxi Copper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CID000855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Asahi Refining USA Inc.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CID000920</w:t>
            </w:r>
          </w:p>
        </w:tc>
        <w:tc>
          <w:tcPr>
            <w:tcW w:w="40" w:type="dxa"/>
            <w:vAlign w:val="bottom"/>
          </w:tcPr>
          <w:p>
            <w:pPr>
              <w:spacing w:after="0"/>
              <w:rPr>
                <w:sz w:val="18"/>
                <w:szCs w:val="18"/>
                <w:color w:val="auto"/>
              </w:rPr>
            </w:pPr>
          </w:p>
        </w:tc>
      </w:tr>
      <w:tr>
        <w:trPr>
          <w:trHeight w:val="206"/>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Asahi Refining Canada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CANADA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CID000924</w:t>
            </w:r>
          </w:p>
        </w:tc>
        <w:tc>
          <w:tcPr>
            <w:tcW w:w="40" w:type="dxa"/>
            <w:vAlign w:val="bottom"/>
          </w:tcPr>
          <w:p>
            <w:pPr>
              <w:spacing w:after="0"/>
              <w:rPr>
                <w:sz w:val="17"/>
                <w:szCs w:val="17"/>
                <w:color w:val="auto"/>
              </w:rPr>
            </w:pPr>
          </w:p>
        </w:tc>
      </w:tr>
      <w:tr>
        <w:trPr>
          <w:trHeight w:val="831"/>
        </w:trPr>
        <w:tc>
          <w:tcPr>
            <w:tcW w:w="17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1740" w:type="dxa"/>
            <w:vAlign w:val="bottom"/>
            <w:tcBorders>
              <w:left w:val="single" w:sz="8" w:color="808080"/>
              <w:right w:val="single" w:sz="8" w:color="808080"/>
            </w:tcBorders>
            <w:shd w:val="clear" w:color="auto" w:fill="808080"/>
          </w:tcPr>
          <w:p>
            <w:pPr>
              <w:spacing w:after="0"/>
              <w:rPr>
                <w:sz w:val="5"/>
                <w:szCs w:val="5"/>
                <w:color w:val="auto"/>
              </w:rPr>
            </w:pPr>
          </w:p>
        </w:tc>
        <w:tc>
          <w:tcPr>
            <w:tcW w:w="5140" w:type="dxa"/>
            <w:vAlign w:val="bottom"/>
            <w:tcBorders>
              <w:right w:val="single" w:sz="8" w:color="808080"/>
            </w:tcBorders>
            <w:shd w:val="clear" w:color="auto" w:fill="808080"/>
          </w:tcPr>
          <w:p>
            <w:pPr>
              <w:spacing w:after="0"/>
              <w:rPr>
                <w:sz w:val="5"/>
                <w:szCs w:val="5"/>
                <w:color w:val="auto"/>
              </w:rPr>
            </w:pPr>
          </w:p>
        </w:tc>
        <w:tc>
          <w:tcPr>
            <w:tcW w:w="2840" w:type="dxa"/>
            <w:vAlign w:val="bottom"/>
            <w:tcBorders>
              <w:right w:val="single" w:sz="8" w:color="808080"/>
            </w:tcBorders>
            <w:shd w:val="clear" w:color="auto" w:fill="808080"/>
          </w:tcPr>
          <w:p>
            <w:pPr>
              <w:spacing w:after="0"/>
              <w:rPr>
                <w:sz w:val="5"/>
                <w:szCs w:val="5"/>
                <w:color w:val="auto"/>
              </w:rPr>
            </w:pPr>
          </w:p>
        </w:tc>
        <w:tc>
          <w:tcPr>
            <w:tcW w:w="170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8" w:name="page9"/>
    <w:bookmarkEnd w:id="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40" w:type="dxa"/>
            <w:vAlign w:val="bottom"/>
            <w:tcBorders>
              <w:top w:val="single" w:sz="8" w:color="auto"/>
              <w:left w:val="single" w:sz="8" w:color="auto"/>
              <w:right w:val="single" w:sz="8" w:color="auto"/>
            </w:tcBorders>
            <w:shd w:val="clear" w:color="auto" w:fill="CCEEFF"/>
          </w:tcPr>
          <w:p>
            <w:pPr>
              <w:spacing w:after="0"/>
              <w:rPr>
                <w:sz w:val="18"/>
                <w:szCs w:val="18"/>
                <w:color w:val="auto"/>
              </w:rPr>
            </w:pPr>
          </w:p>
        </w:tc>
        <w:tc>
          <w:tcPr>
            <w:tcW w:w="5140" w:type="dxa"/>
            <w:vAlign w:val="bottom"/>
            <w:tcBorders>
              <w:top w:val="single" w:sz="8" w:color="auto"/>
              <w:right w:val="single" w:sz="8" w:color="auto"/>
            </w:tcBorders>
            <w:shd w:val="clear" w:color="auto" w:fill="CCEEFF"/>
          </w:tcPr>
          <w:p>
            <w:pPr>
              <w:spacing w:after="0"/>
              <w:rPr>
                <w:sz w:val="18"/>
                <w:szCs w:val="18"/>
                <w:color w:val="auto"/>
              </w:rPr>
            </w:pPr>
          </w:p>
        </w:tc>
        <w:tc>
          <w:tcPr>
            <w:tcW w:w="2840" w:type="dxa"/>
            <w:vAlign w:val="bottom"/>
            <w:tcBorders>
              <w:top w:val="single" w:sz="8" w:color="auto"/>
              <w:right w:val="single" w:sz="8" w:color="auto"/>
            </w:tcBorders>
            <w:shd w:val="clear" w:color="auto" w:fill="CCEEFF"/>
          </w:tcPr>
          <w:p>
            <w:pPr>
              <w:spacing w:after="0"/>
              <w:rPr>
                <w:sz w:val="18"/>
                <w:szCs w:val="18"/>
                <w:color w:val="auto"/>
              </w:rPr>
            </w:pPr>
          </w:p>
        </w:tc>
        <w:tc>
          <w:tcPr>
            <w:tcW w:w="170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Smelter</w:t>
            </w:r>
          </w:p>
        </w:tc>
        <w:tc>
          <w:tcPr>
            <w:tcW w:w="40" w:type="dxa"/>
            <w:vAlign w:val="bottom"/>
          </w:tcPr>
          <w:p>
            <w:pPr>
              <w:spacing w:after="0"/>
              <w:rPr>
                <w:sz w:val="18"/>
                <w:szCs w:val="18"/>
                <w:color w:val="auto"/>
              </w:rPr>
            </w:pPr>
          </w:p>
        </w:tc>
      </w:tr>
      <w:tr>
        <w:trPr>
          <w:trHeight w:val="234"/>
        </w:trPr>
        <w:tc>
          <w:tcPr>
            <w:tcW w:w="17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Metal</w:t>
            </w:r>
          </w:p>
        </w:tc>
        <w:tc>
          <w:tcPr>
            <w:tcW w:w="514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Smelter Name</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Country</w:t>
            </w:r>
          </w:p>
        </w:tc>
        <w:tc>
          <w:tcPr>
            <w:tcW w:w="17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Identification</w:t>
            </w:r>
          </w:p>
        </w:tc>
        <w:tc>
          <w:tcPr>
            <w:tcW w:w="40" w:type="dxa"/>
            <w:vAlign w:val="bottom"/>
          </w:tcPr>
          <w:p>
            <w:pPr>
              <w:spacing w:after="0"/>
              <w:rPr>
                <w:sz w:val="20"/>
                <w:szCs w:val="20"/>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JSC Ekaterinburg Non-Ferrous Metal Processing Plant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CID000927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JSC Uralelectromed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CID000929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JX Nippon Mining &amp; Metals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CID000937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Kazakhmys Smelting LLC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CID000956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Kazzinc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CID000957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Kennecott Utah Copper LLC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CID000969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Kojima Chemicals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CID000981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Korea Metal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CID000988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L'azurde Company For Jewelry</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SAUDI ARABIA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CID001032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Lingbao Gold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CID001056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Lingbao Jinyuan Tonghui Refinery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CID001058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LS-NIKKO Copper Inc.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CID001078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Luoyang Zijin Yinhui Gold Refinery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CID001093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Matsuda Sangyo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CID001119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Metalor Technologies (Suzhou)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CID001147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Metalor Technologies (Hong Kong)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CID001149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Metalor Technologies (Singapore) Pte.,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SINGAPORE</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CID001152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Metalor Technologies 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CID001153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Metalor USA Refining Corporation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CID001157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Metalúrgica Met-Mex Peñoles S.A. De C.V.</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CID001161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Nihon Material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CID001259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Elemetal Refining, LLC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CID001322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Ohura Precious Metal Industry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CID001325</w:t>
            </w:r>
          </w:p>
        </w:tc>
        <w:tc>
          <w:tcPr>
            <w:tcW w:w="40" w:type="dxa"/>
            <w:vAlign w:val="bottom"/>
          </w:tcPr>
          <w:p>
            <w:pPr>
              <w:spacing w:after="0"/>
              <w:rPr>
                <w:sz w:val="18"/>
                <w:szCs w:val="18"/>
                <w:color w:val="auto"/>
              </w:rPr>
            </w:pPr>
          </w:p>
        </w:tc>
      </w:tr>
      <w:tr>
        <w:trPr>
          <w:trHeight w:val="195"/>
        </w:trPr>
        <w:tc>
          <w:tcPr>
            <w:tcW w:w="1740" w:type="dxa"/>
            <w:vAlign w:val="bottom"/>
            <w:tcBorders>
              <w:left w:val="single" w:sz="8" w:color="auto"/>
              <w:right w:val="single" w:sz="8" w:color="auto"/>
            </w:tcBorders>
          </w:tcPr>
          <w:p>
            <w:pPr>
              <w:spacing w:after="0"/>
              <w:rPr>
                <w:sz w:val="16"/>
                <w:szCs w:val="16"/>
                <w:color w:val="auto"/>
              </w:rPr>
            </w:pPr>
          </w:p>
        </w:tc>
        <w:tc>
          <w:tcPr>
            <w:tcW w:w="514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4"/>
              </w:rPr>
              <w:t>OJSC "The Gulidov Krasnoyarsk Non-Ferrous Metals Plant" (OJSC</w:t>
            </w:r>
          </w:p>
        </w:tc>
        <w:tc>
          <w:tcPr>
            <w:tcW w:w="284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Krastsvetmet)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CID001326</w:t>
            </w:r>
          </w:p>
        </w:tc>
        <w:tc>
          <w:tcPr>
            <w:tcW w:w="40" w:type="dxa"/>
            <w:vAlign w:val="bottom"/>
          </w:tcPr>
          <w:p>
            <w:pPr>
              <w:spacing w:after="0"/>
              <w:rPr>
                <w:sz w:val="20"/>
                <w:szCs w:val="20"/>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PAMP 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CID001352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Penglai Penggang Gold Industry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CID001362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PX Précinox 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CID001498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Rand Refinery (Pty)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CID001512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Samduck Precious Metals</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CID001555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Samwon Metals Corp.</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CID001562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Schone Edelmetaal B.V.</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CID001573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LS-Nikko</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CID001578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SEMPSA Joyería Platería 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CID001585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Shandong Tiancheng Biological Gold Industrial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CID001619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Shandong Zhaojin Gold &amp; Silver Refinery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CID001622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Sichuan Tianze Precious Metals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CID001736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 Accurate Group, Inc.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CID001754</w:t>
            </w:r>
          </w:p>
        </w:tc>
        <w:tc>
          <w:tcPr>
            <w:tcW w:w="40" w:type="dxa"/>
            <w:vAlign w:val="bottom"/>
          </w:tcPr>
          <w:p>
            <w:pPr>
              <w:spacing w:after="0"/>
              <w:rPr>
                <w:sz w:val="18"/>
                <w:szCs w:val="18"/>
                <w:color w:val="auto"/>
              </w:rPr>
            </w:pPr>
          </w:p>
        </w:tc>
      </w:tr>
      <w:tr>
        <w:trPr>
          <w:trHeight w:val="206"/>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Sumitomo Metal Mining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CID001798</w:t>
            </w:r>
          </w:p>
        </w:tc>
        <w:tc>
          <w:tcPr>
            <w:tcW w:w="40" w:type="dxa"/>
            <w:vAlign w:val="bottom"/>
          </w:tcPr>
          <w:p>
            <w:pPr>
              <w:spacing w:after="0"/>
              <w:rPr>
                <w:sz w:val="17"/>
                <w:szCs w:val="17"/>
                <w:color w:val="auto"/>
              </w:rPr>
            </w:pPr>
          </w:p>
        </w:tc>
      </w:tr>
      <w:tr>
        <w:trPr>
          <w:trHeight w:val="831"/>
        </w:trPr>
        <w:tc>
          <w:tcPr>
            <w:tcW w:w="17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1740" w:type="dxa"/>
            <w:vAlign w:val="bottom"/>
            <w:tcBorders>
              <w:left w:val="single" w:sz="8" w:color="808080"/>
              <w:right w:val="single" w:sz="8" w:color="808080"/>
            </w:tcBorders>
            <w:shd w:val="clear" w:color="auto" w:fill="808080"/>
          </w:tcPr>
          <w:p>
            <w:pPr>
              <w:spacing w:after="0"/>
              <w:rPr>
                <w:sz w:val="5"/>
                <w:szCs w:val="5"/>
                <w:color w:val="auto"/>
              </w:rPr>
            </w:pPr>
          </w:p>
        </w:tc>
        <w:tc>
          <w:tcPr>
            <w:tcW w:w="5140" w:type="dxa"/>
            <w:vAlign w:val="bottom"/>
            <w:tcBorders>
              <w:right w:val="single" w:sz="8" w:color="808080"/>
            </w:tcBorders>
            <w:shd w:val="clear" w:color="auto" w:fill="808080"/>
          </w:tcPr>
          <w:p>
            <w:pPr>
              <w:spacing w:after="0"/>
              <w:rPr>
                <w:sz w:val="5"/>
                <w:szCs w:val="5"/>
                <w:color w:val="auto"/>
              </w:rPr>
            </w:pPr>
          </w:p>
        </w:tc>
        <w:tc>
          <w:tcPr>
            <w:tcW w:w="2840" w:type="dxa"/>
            <w:vAlign w:val="bottom"/>
            <w:tcBorders>
              <w:right w:val="single" w:sz="8" w:color="808080"/>
            </w:tcBorders>
            <w:shd w:val="clear" w:color="auto" w:fill="808080"/>
          </w:tcPr>
          <w:p>
            <w:pPr>
              <w:spacing w:after="0"/>
              <w:rPr>
                <w:sz w:val="5"/>
                <w:szCs w:val="5"/>
                <w:color w:val="auto"/>
              </w:rPr>
            </w:pPr>
          </w:p>
        </w:tc>
        <w:tc>
          <w:tcPr>
            <w:tcW w:w="170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5" w:right="199" w:bottom="144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40" w:type="dxa"/>
            <w:vAlign w:val="bottom"/>
            <w:tcBorders>
              <w:top w:val="single" w:sz="8" w:color="auto"/>
              <w:left w:val="single" w:sz="8" w:color="auto"/>
              <w:right w:val="single" w:sz="8" w:color="auto"/>
            </w:tcBorders>
            <w:shd w:val="clear" w:color="auto" w:fill="CCEEFF"/>
          </w:tcPr>
          <w:p>
            <w:pPr>
              <w:spacing w:after="0"/>
              <w:rPr>
                <w:sz w:val="18"/>
                <w:szCs w:val="18"/>
                <w:color w:val="auto"/>
              </w:rPr>
            </w:pPr>
          </w:p>
        </w:tc>
        <w:tc>
          <w:tcPr>
            <w:tcW w:w="5140" w:type="dxa"/>
            <w:vAlign w:val="bottom"/>
            <w:tcBorders>
              <w:top w:val="single" w:sz="8" w:color="auto"/>
              <w:right w:val="single" w:sz="8" w:color="auto"/>
            </w:tcBorders>
            <w:shd w:val="clear" w:color="auto" w:fill="CCEEFF"/>
          </w:tcPr>
          <w:p>
            <w:pPr>
              <w:spacing w:after="0"/>
              <w:rPr>
                <w:sz w:val="18"/>
                <w:szCs w:val="18"/>
                <w:color w:val="auto"/>
              </w:rPr>
            </w:pPr>
          </w:p>
        </w:tc>
        <w:tc>
          <w:tcPr>
            <w:tcW w:w="2840" w:type="dxa"/>
            <w:vAlign w:val="bottom"/>
            <w:tcBorders>
              <w:top w:val="single" w:sz="8" w:color="auto"/>
              <w:right w:val="single" w:sz="8" w:color="auto"/>
            </w:tcBorders>
            <w:shd w:val="clear" w:color="auto" w:fill="CCEEFF"/>
          </w:tcPr>
          <w:p>
            <w:pPr>
              <w:spacing w:after="0"/>
              <w:rPr>
                <w:sz w:val="18"/>
                <w:szCs w:val="18"/>
                <w:color w:val="auto"/>
              </w:rPr>
            </w:pPr>
          </w:p>
        </w:tc>
        <w:tc>
          <w:tcPr>
            <w:tcW w:w="170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Smelter</w:t>
            </w:r>
          </w:p>
        </w:tc>
        <w:tc>
          <w:tcPr>
            <w:tcW w:w="40" w:type="dxa"/>
            <w:vAlign w:val="bottom"/>
          </w:tcPr>
          <w:p>
            <w:pPr>
              <w:spacing w:after="0"/>
              <w:rPr>
                <w:sz w:val="18"/>
                <w:szCs w:val="18"/>
                <w:color w:val="auto"/>
              </w:rPr>
            </w:pPr>
          </w:p>
        </w:tc>
      </w:tr>
      <w:tr>
        <w:trPr>
          <w:trHeight w:val="234"/>
        </w:trPr>
        <w:tc>
          <w:tcPr>
            <w:tcW w:w="17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Metal</w:t>
            </w:r>
          </w:p>
        </w:tc>
        <w:tc>
          <w:tcPr>
            <w:tcW w:w="514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Smelter Name</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Country</w:t>
            </w:r>
          </w:p>
        </w:tc>
        <w:tc>
          <w:tcPr>
            <w:tcW w:w="17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Identification</w:t>
            </w:r>
          </w:p>
        </w:tc>
        <w:tc>
          <w:tcPr>
            <w:tcW w:w="40" w:type="dxa"/>
            <w:vAlign w:val="bottom"/>
          </w:tcPr>
          <w:p>
            <w:pPr>
              <w:spacing w:after="0"/>
              <w:rPr>
                <w:sz w:val="20"/>
                <w:szCs w:val="20"/>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Great Wall Precious Metals Co., Ltd. of CBPM</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CID001909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The Refinery of Shandong Gold Mining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CID001916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Tokuriki Honten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CID001938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Tongling Nonferrous Metals Group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CID001947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Torecom</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CID001955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Umicore Brasil Ltda.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CID001977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Umicore S.A. Business Unit Precious Metals Refining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CID001980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United Precious Metal Refining, Inc.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CID001993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Valcambi 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SWITZERLAND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CID002003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Yamamoto Precious Metal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CID002100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Yokohama Metal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CID002129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Zhongyuan Gold Smelter of Zhongjin Gold Corporation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CID002224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Zijin Mining Group Co., Ltd. Gold Refinery</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CID002243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Morris and Watson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ZEALAND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CID002282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SAFINA A.S.</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CZECH REPUBLIC</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CID002290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Guangdong Jinding Gold Limited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CID002312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Umicore Precious Metals Thailand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CID002314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Faggi Enrico S.p.A.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CID002355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Geib Refining Corporation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CID002459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MMTC-PAMP India Pvt.,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CID002509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Republic Metals Corporation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CID002510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KGHM Polska Miedź Spółka Akcyjna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CID002511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Fidelity Printers and Refiners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ZIMBABWE</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CID002515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Singway Technology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CID002516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 Etihad Gold Refinery DMCC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CID002560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Emirates Gold DMCC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CID002561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Kaloti Precious Metals</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ARAB EMIRATES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CID002563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Sudan Gold Refinery</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SUDAN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CID002567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T.C.A S.p.A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ITALY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CID002580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Remondis Argentia B.V.</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NETHERLANDS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CID002582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Tony Goetz NV</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CID002587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Korea Zinc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CID002605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TOO Tau-Ken-Altyn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CID002615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Abington Reldan Metals, LLC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CID002708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SAAMP</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FRANCE</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CID002761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L'Orfebre 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ANDORRA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CID002762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SAXONIA Edelmetalle GmbH</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CID002777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WIELAND Edelmetalle GmbH</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CID002778</w:t>
            </w:r>
          </w:p>
        </w:tc>
        <w:tc>
          <w:tcPr>
            <w:tcW w:w="40" w:type="dxa"/>
            <w:vAlign w:val="bottom"/>
          </w:tcPr>
          <w:p>
            <w:pPr>
              <w:spacing w:after="0"/>
              <w:rPr>
                <w:sz w:val="18"/>
                <w:szCs w:val="18"/>
                <w:color w:val="auto"/>
              </w:rPr>
            </w:pPr>
          </w:p>
        </w:tc>
      </w:tr>
      <w:tr>
        <w:trPr>
          <w:trHeight w:val="206"/>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Ögussa Österreichische Gold- und Silber-Scheideanstalt GmbH</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CID002779</w:t>
            </w:r>
          </w:p>
        </w:tc>
        <w:tc>
          <w:tcPr>
            <w:tcW w:w="40" w:type="dxa"/>
            <w:vAlign w:val="bottom"/>
          </w:tcPr>
          <w:p>
            <w:pPr>
              <w:spacing w:after="0"/>
              <w:rPr>
                <w:sz w:val="17"/>
                <w:szCs w:val="17"/>
                <w:color w:val="auto"/>
              </w:rPr>
            </w:pPr>
          </w:p>
        </w:tc>
      </w:tr>
      <w:tr>
        <w:trPr>
          <w:trHeight w:val="831"/>
        </w:trPr>
        <w:tc>
          <w:tcPr>
            <w:tcW w:w="17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1740" w:type="dxa"/>
            <w:vAlign w:val="bottom"/>
            <w:tcBorders>
              <w:left w:val="single" w:sz="8" w:color="808080"/>
              <w:right w:val="single" w:sz="8" w:color="808080"/>
            </w:tcBorders>
            <w:shd w:val="clear" w:color="auto" w:fill="808080"/>
          </w:tcPr>
          <w:p>
            <w:pPr>
              <w:spacing w:after="0"/>
              <w:rPr>
                <w:sz w:val="5"/>
                <w:szCs w:val="5"/>
                <w:color w:val="auto"/>
              </w:rPr>
            </w:pPr>
          </w:p>
        </w:tc>
        <w:tc>
          <w:tcPr>
            <w:tcW w:w="5140" w:type="dxa"/>
            <w:vAlign w:val="bottom"/>
            <w:tcBorders>
              <w:right w:val="single" w:sz="8" w:color="808080"/>
            </w:tcBorders>
            <w:shd w:val="clear" w:color="auto" w:fill="808080"/>
          </w:tcPr>
          <w:p>
            <w:pPr>
              <w:spacing w:after="0"/>
              <w:rPr>
                <w:sz w:val="5"/>
                <w:szCs w:val="5"/>
                <w:color w:val="auto"/>
              </w:rPr>
            </w:pPr>
          </w:p>
        </w:tc>
        <w:tc>
          <w:tcPr>
            <w:tcW w:w="2840" w:type="dxa"/>
            <w:vAlign w:val="bottom"/>
            <w:tcBorders>
              <w:right w:val="single" w:sz="8" w:color="808080"/>
            </w:tcBorders>
            <w:shd w:val="clear" w:color="auto" w:fill="808080"/>
          </w:tcPr>
          <w:p>
            <w:pPr>
              <w:spacing w:after="0"/>
              <w:rPr>
                <w:sz w:val="5"/>
                <w:szCs w:val="5"/>
                <w:color w:val="auto"/>
              </w:rPr>
            </w:pPr>
          </w:p>
        </w:tc>
        <w:tc>
          <w:tcPr>
            <w:tcW w:w="170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5" w:right="19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40" w:type="dxa"/>
            <w:vAlign w:val="bottom"/>
            <w:tcBorders>
              <w:top w:val="single" w:sz="8" w:color="auto"/>
              <w:left w:val="single" w:sz="8" w:color="auto"/>
              <w:right w:val="single" w:sz="8" w:color="auto"/>
            </w:tcBorders>
            <w:shd w:val="clear" w:color="auto" w:fill="CCEEFF"/>
          </w:tcPr>
          <w:p>
            <w:pPr>
              <w:spacing w:after="0"/>
              <w:rPr>
                <w:sz w:val="18"/>
                <w:szCs w:val="18"/>
                <w:color w:val="auto"/>
              </w:rPr>
            </w:pPr>
          </w:p>
        </w:tc>
        <w:tc>
          <w:tcPr>
            <w:tcW w:w="5140" w:type="dxa"/>
            <w:vAlign w:val="bottom"/>
            <w:tcBorders>
              <w:top w:val="single" w:sz="8" w:color="auto"/>
              <w:right w:val="single" w:sz="8" w:color="auto"/>
            </w:tcBorders>
            <w:shd w:val="clear" w:color="auto" w:fill="CCEEFF"/>
          </w:tcPr>
          <w:p>
            <w:pPr>
              <w:spacing w:after="0"/>
              <w:rPr>
                <w:sz w:val="18"/>
                <w:szCs w:val="18"/>
                <w:color w:val="auto"/>
              </w:rPr>
            </w:pPr>
          </w:p>
        </w:tc>
        <w:tc>
          <w:tcPr>
            <w:tcW w:w="2840" w:type="dxa"/>
            <w:vAlign w:val="bottom"/>
            <w:tcBorders>
              <w:top w:val="single" w:sz="8" w:color="auto"/>
              <w:right w:val="single" w:sz="8" w:color="auto"/>
            </w:tcBorders>
            <w:shd w:val="clear" w:color="auto" w:fill="CCEEFF"/>
          </w:tcPr>
          <w:p>
            <w:pPr>
              <w:spacing w:after="0"/>
              <w:rPr>
                <w:sz w:val="18"/>
                <w:szCs w:val="18"/>
                <w:color w:val="auto"/>
              </w:rPr>
            </w:pPr>
          </w:p>
        </w:tc>
        <w:tc>
          <w:tcPr>
            <w:tcW w:w="170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Smelter</w:t>
            </w:r>
          </w:p>
        </w:tc>
        <w:tc>
          <w:tcPr>
            <w:tcW w:w="40" w:type="dxa"/>
            <w:vAlign w:val="bottom"/>
          </w:tcPr>
          <w:p>
            <w:pPr>
              <w:spacing w:after="0"/>
              <w:rPr>
                <w:sz w:val="18"/>
                <w:szCs w:val="18"/>
                <w:color w:val="auto"/>
              </w:rPr>
            </w:pPr>
          </w:p>
        </w:tc>
      </w:tr>
      <w:tr>
        <w:trPr>
          <w:trHeight w:val="234"/>
        </w:trPr>
        <w:tc>
          <w:tcPr>
            <w:tcW w:w="17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Metal</w:t>
            </w:r>
          </w:p>
        </w:tc>
        <w:tc>
          <w:tcPr>
            <w:tcW w:w="514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Smelter Name</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Country</w:t>
            </w:r>
          </w:p>
        </w:tc>
        <w:tc>
          <w:tcPr>
            <w:tcW w:w="17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Identification</w:t>
            </w:r>
          </w:p>
        </w:tc>
        <w:tc>
          <w:tcPr>
            <w:tcW w:w="40" w:type="dxa"/>
            <w:vAlign w:val="bottom"/>
          </w:tcPr>
          <w:p>
            <w:pPr>
              <w:spacing w:after="0"/>
              <w:rPr>
                <w:sz w:val="20"/>
                <w:szCs w:val="20"/>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 Traders and Refiners</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CID002850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AURA-II</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CID002851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Gujarat Gold Centre</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CID002852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Sai Refinery</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CID002853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Universal Precious Metals Refining Zambia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ZAMBIA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CID002854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Bangalore Refinery</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CID002863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Kyshtym Copper-Electrolytic Plant ZAO</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CID002865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Morris and Watson Gold Coast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AUSTRALIA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CID002866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Degussa Sonne / Mond Goldhandel GmbH</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CID002867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Pease &amp; Curren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CID002872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Gold</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SungEel HiTech</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CID002918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Avon Specialty Metals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KINGDOM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CID002705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Changsha South Tantalum Niobium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CID000211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Conghua Tantalum and Niobium Smeltry</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CID000291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 Block Metals, LLC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CID002504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Duoluoshan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CID000410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E.S.R. Electronics</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CID002590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Exotech Inc.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CID000456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F&amp;X Electro-Materials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CID000460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FIR Metals &amp; Resource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CID002505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Cabot Corporation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CID000564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Global Advanced Metals Aizu</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CID002558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Global Advanced Metals Boyertown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CID002557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Guangdong Zhiyuan New Material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CID000616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H.C. Starck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CID002544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H.C. Starck GmbH Goslar</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CID002545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H.C. Starck GmbH Laufenburg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CID002546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H.C. Starck Group</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CID000654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H.C. Starck Hermsdorf GmbH</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CID002547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H.C. Starck Inc.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CID002548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H.C. Starck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CID002549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H.C. Starck Smelting GmbH &amp; Co. KG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CID002550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Hengyang King Xing Lifeng New Materials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CID002492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Hi-Temp Specialty Metals, Inc.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CID000731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Jiangxi Dinghai Tantalum &amp; Niobium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CID002512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Jiangxi Tuohong New Raw Material</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CID002842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JiuJiang JinXin Nonferrous Metals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CID000914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Jiujiang Tanbre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CID000917</w:t>
            </w:r>
          </w:p>
        </w:tc>
        <w:tc>
          <w:tcPr>
            <w:tcW w:w="40" w:type="dxa"/>
            <w:vAlign w:val="bottom"/>
          </w:tcPr>
          <w:p>
            <w:pPr>
              <w:spacing w:after="0"/>
              <w:rPr>
                <w:sz w:val="18"/>
                <w:szCs w:val="18"/>
                <w:color w:val="auto"/>
              </w:rPr>
            </w:pPr>
          </w:p>
        </w:tc>
      </w:tr>
      <w:tr>
        <w:trPr>
          <w:trHeight w:val="206"/>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Jiujiang Zhongao Tantalum &amp; Niobium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CID002506</w:t>
            </w:r>
          </w:p>
        </w:tc>
        <w:tc>
          <w:tcPr>
            <w:tcW w:w="40" w:type="dxa"/>
            <w:vAlign w:val="bottom"/>
          </w:tcPr>
          <w:p>
            <w:pPr>
              <w:spacing w:after="0"/>
              <w:rPr>
                <w:sz w:val="17"/>
                <w:szCs w:val="17"/>
                <w:color w:val="auto"/>
              </w:rPr>
            </w:pPr>
          </w:p>
        </w:tc>
      </w:tr>
      <w:tr>
        <w:trPr>
          <w:trHeight w:val="831"/>
        </w:trPr>
        <w:tc>
          <w:tcPr>
            <w:tcW w:w="17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1740" w:type="dxa"/>
            <w:vAlign w:val="bottom"/>
            <w:tcBorders>
              <w:left w:val="single" w:sz="8" w:color="808080"/>
              <w:right w:val="single" w:sz="8" w:color="808080"/>
            </w:tcBorders>
            <w:shd w:val="clear" w:color="auto" w:fill="808080"/>
          </w:tcPr>
          <w:p>
            <w:pPr>
              <w:spacing w:after="0"/>
              <w:rPr>
                <w:sz w:val="5"/>
                <w:szCs w:val="5"/>
                <w:color w:val="auto"/>
              </w:rPr>
            </w:pPr>
          </w:p>
        </w:tc>
        <w:tc>
          <w:tcPr>
            <w:tcW w:w="5140" w:type="dxa"/>
            <w:vAlign w:val="bottom"/>
            <w:tcBorders>
              <w:right w:val="single" w:sz="8" w:color="808080"/>
            </w:tcBorders>
            <w:shd w:val="clear" w:color="auto" w:fill="808080"/>
          </w:tcPr>
          <w:p>
            <w:pPr>
              <w:spacing w:after="0"/>
              <w:rPr>
                <w:sz w:val="5"/>
                <w:szCs w:val="5"/>
                <w:color w:val="auto"/>
              </w:rPr>
            </w:pPr>
          </w:p>
        </w:tc>
        <w:tc>
          <w:tcPr>
            <w:tcW w:w="2840" w:type="dxa"/>
            <w:vAlign w:val="bottom"/>
            <w:tcBorders>
              <w:right w:val="single" w:sz="8" w:color="808080"/>
            </w:tcBorders>
            <w:shd w:val="clear" w:color="auto" w:fill="808080"/>
          </w:tcPr>
          <w:p>
            <w:pPr>
              <w:spacing w:after="0"/>
              <w:rPr>
                <w:sz w:val="5"/>
                <w:szCs w:val="5"/>
                <w:color w:val="auto"/>
              </w:rPr>
            </w:pPr>
          </w:p>
        </w:tc>
        <w:tc>
          <w:tcPr>
            <w:tcW w:w="170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5" w:right="199"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40" w:type="dxa"/>
            <w:vAlign w:val="bottom"/>
            <w:tcBorders>
              <w:top w:val="single" w:sz="8" w:color="auto"/>
              <w:left w:val="single" w:sz="8" w:color="auto"/>
              <w:right w:val="single" w:sz="8" w:color="auto"/>
            </w:tcBorders>
            <w:shd w:val="clear" w:color="auto" w:fill="CCEEFF"/>
          </w:tcPr>
          <w:p>
            <w:pPr>
              <w:spacing w:after="0"/>
              <w:rPr>
                <w:sz w:val="18"/>
                <w:szCs w:val="18"/>
                <w:color w:val="auto"/>
              </w:rPr>
            </w:pPr>
          </w:p>
        </w:tc>
        <w:tc>
          <w:tcPr>
            <w:tcW w:w="5140" w:type="dxa"/>
            <w:vAlign w:val="bottom"/>
            <w:tcBorders>
              <w:top w:val="single" w:sz="8" w:color="auto"/>
              <w:right w:val="single" w:sz="8" w:color="auto"/>
            </w:tcBorders>
            <w:shd w:val="clear" w:color="auto" w:fill="CCEEFF"/>
          </w:tcPr>
          <w:p>
            <w:pPr>
              <w:spacing w:after="0"/>
              <w:rPr>
                <w:sz w:val="18"/>
                <w:szCs w:val="18"/>
                <w:color w:val="auto"/>
              </w:rPr>
            </w:pPr>
          </w:p>
        </w:tc>
        <w:tc>
          <w:tcPr>
            <w:tcW w:w="2840" w:type="dxa"/>
            <w:vAlign w:val="bottom"/>
            <w:tcBorders>
              <w:top w:val="single" w:sz="8" w:color="auto"/>
              <w:right w:val="single" w:sz="8" w:color="auto"/>
            </w:tcBorders>
            <w:shd w:val="clear" w:color="auto" w:fill="CCEEFF"/>
          </w:tcPr>
          <w:p>
            <w:pPr>
              <w:spacing w:after="0"/>
              <w:rPr>
                <w:sz w:val="18"/>
                <w:szCs w:val="18"/>
                <w:color w:val="auto"/>
              </w:rPr>
            </w:pPr>
          </w:p>
        </w:tc>
        <w:tc>
          <w:tcPr>
            <w:tcW w:w="170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Smelter</w:t>
            </w:r>
          </w:p>
        </w:tc>
        <w:tc>
          <w:tcPr>
            <w:tcW w:w="40" w:type="dxa"/>
            <w:vAlign w:val="bottom"/>
          </w:tcPr>
          <w:p>
            <w:pPr>
              <w:spacing w:after="0"/>
              <w:rPr>
                <w:sz w:val="18"/>
                <w:szCs w:val="18"/>
                <w:color w:val="auto"/>
              </w:rPr>
            </w:pPr>
          </w:p>
        </w:tc>
      </w:tr>
      <w:tr>
        <w:trPr>
          <w:trHeight w:val="234"/>
        </w:trPr>
        <w:tc>
          <w:tcPr>
            <w:tcW w:w="17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Metal</w:t>
            </w:r>
          </w:p>
        </w:tc>
        <w:tc>
          <w:tcPr>
            <w:tcW w:w="514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Smelter Name</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Country</w:t>
            </w:r>
          </w:p>
        </w:tc>
        <w:tc>
          <w:tcPr>
            <w:tcW w:w="17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Identification</w:t>
            </w:r>
          </w:p>
        </w:tc>
        <w:tc>
          <w:tcPr>
            <w:tcW w:w="40" w:type="dxa"/>
            <w:vAlign w:val="bottom"/>
          </w:tcPr>
          <w:p>
            <w:pPr>
              <w:spacing w:after="0"/>
              <w:rPr>
                <w:sz w:val="20"/>
                <w:szCs w:val="20"/>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KEMET Blue Metals</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MEXICO</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CID002539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Kemet Blue Powder</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CID000963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King-Tan Tantalum Industry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CID000973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LSM Brasil 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CID001076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Metallurgical Products India Pvt.,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CID001163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Mineração Taboca 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CID001175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Mitsui Mining and Smelting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CID001192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Molycorp Silmet A.S.</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ESTONIA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CID001200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Ningxia Orient Tantalum Industry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CID001277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Plansee</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CID001368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Plansee SE Liezen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CID002540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Plansee SE Reutte</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CID002556</w:t>
            </w:r>
          </w:p>
        </w:tc>
        <w:tc>
          <w:tcPr>
            <w:tcW w:w="40" w:type="dxa"/>
            <w:vAlign w:val="bottom"/>
          </w:tcPr>
          <w:p>
            <w:pPr>
              <w:spacing w:after="0"/>
              <w:rPr>
                <w:sz w:val="18"/>
                <w:szCs w:val="18"/>
                <w:color w:val="auto"/>
              </w:rPr>
            </w:pPr>
          </w:p>
        </w:tc>
      </w:tr>
      <w:tr>
        <w:trPr>
          <w:trHeight w:val="195"/>
        </w:trPr>
        <w:tc>
          <w:tcPr>
            <w:tcW w:w="1740" w:type="dxa"/>
            <w:vAlign w:val="bottom"/>
            <w:tcBorders>
              <w:left w:val="single" w:sz="8" w:color="auto"/>
              <w:right w:val="single" w:sz="8" w:color="auto"/>
            </w:tcBorders>
          </w:tcPr>
          <w:p>
            <w:pPr>
              <w:spacing w:after="0"/>
              <w:rPr>
                <w:sz w:val="16"/>
                <w:szCs w:val="16"/>
                <w:color w:val="auto"/>
              </w:rPr>
            </w:pPr>
          </w:p>
        </w:tc>
        <w:tc>
          <w:tcPr>
            <w:tcW w:w="514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MACEDONIA (THE FORMER</w:t>
            </w:r>
          </w:p>
        </w:tc>
        <w:tc>
          <w:tcPr>
            <w:tcW w:w="17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Power Resources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YUGOSLAV REPUBLIC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CID002847</w:t>
            </w:r>
          </w:p>
        </w:tc>
        <w:tc>
          <w:tcPr>
            <w:tcW w:w="40" w:type="dxa"/>
            <w:vAlign w:val="bottom"/>
          </w:tcPr>
          <w:p>
            <w:pPr>
              <w:spacing w:after="0"/>
              <w:rPr>
                <w:sz w:val="20"/>
                <w:szCs w:val="20"/>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QuantumClean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CID001508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Resind Indústria e Comércio Ltda.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CID002707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RFH Tantalum Smeltry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CID001522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Shanghai Jiangxi Metals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CID001634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Solikamsk Magnesium Works OAO</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CID001769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Taki Chemical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CID001869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Tantalite Resources</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SOUTH AFRICA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CID001879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Telex Metals</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CID001891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Tranzact, Inc.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CID002571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Ulba Metallurgical Plant JSC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KAZAKHSTAN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CID001969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XinXing HaoRong Electronic Material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CID002508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Yichun Jin Yang Rare Metal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CID002307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Tantalum</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Zhuzhou Cemented Carbide Group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CID002232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Alpha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CID000292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 Thai Minerals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CID002825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 Vinh Joint Stock Mineral Processing Company</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CID002703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Timah (Persero) Tbk Mentok</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CID001482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Chenzhou Yunxiang Mining and Metallurgy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CID000228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China Tin Group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CID001070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CNMC (Guangxi) PGMA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CID000278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Cooperativa Metalurgica de Rondônia Ltda.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CID000295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CV Ayi Jaya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CID002570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CV Dua Sekawan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CID002592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CV Gita Pesona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CID000306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CV Serumpun Sebalai</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CID000313</w:t>
            </w:r>
          </w:p>
        </w:tc>
        <w:tc>
          <w:tcPr>
            <w:tcW w:w="40" w:type="dxa"/>
            <w:vAlign w:val="bottom"/>
          </w:tcPr>
          <w:p>
            <w:pPr>
              <w:spacing w:after="0"/>
              <w:rPr>
                <w:sz w:val="18"/>
                <w:szCs w:val="18"/>
                <w:color w:val="auto"/>
              </w:rPr>
            </w:pPr>
          </w:p>
        </w:tc>
      </w:tr>
      <w:tr>
        <w:trPr>
          <w:trHeight w:val="206"/>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CV Tiga Sekawan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CID002593</w:t>
            </w:r>
          </w:p>
        </w:tc>
        <w:tc>
          <w:tcPr>
            <w:tcW w:w="40" w:type="dxa"/>
            <w:vAlign w:val="bottom"/>
          </w:tcPr>
          <w:p>
            <w:pPr>
              <w:spacing w:after="0"/>
              <w:rPr>
                <w:sz w:val="17"/>
                <w:szCs w:val="17"/>
                <w:color w:val="auto"/>
              </w:rPr>
            </w:pPr>
          </w:p>
        </w:tc>
      </w:tr>
      <w:tr>
        <w:trPr>
          <w:trHeight w:val="831"/>
        </w:trPr>
        <w:tc>
          <w:tcPr>
            <w:tcW w:w="17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1740" w:type="dxa"/>
            <w:vAlign w:val="bottom"/>
            <w:tcBorders>
              <w:left w:val="single" w:sz="8" w:color="808080"/>
              <w:right w:val="single" w:sz="8" w:color="808080"/>
            </w:tcBorders>
            <w:shd w:val="clear" w:color="auto" w:fill="808080"/>
          </w:tcPr>
          <w:p>
            <w:pPr>
              <w:spacing w:after="0"/>
              <w:rPr>
                <w:sz w:val="5"/>
                <w:szCs w:val="5"/>
                <w:color w:val="auto"/>
              </w:rPr>
            </w:pPr>
          </w:p>
        </w:tc>
        <w:tc>
          <w:tcPr>
            <w:tcW w:w="5140" w:type="dxa"/>
            <w:vAlign w:val="bottom"/>
            <w:tcBorders>
              <w:right w:val="single" w:sz="8" w:color="808080"/>
            </w:tcBorders>
            <w:shd w:val="clear" w:color="auto" w:fill="808080"/>
          </w:tcPr>
          <w:p>
            <w:pPr>
              <w:spacing w:after="0"/>
              <w:rPr>
                <w:sz w:val="5"/>
                <w:szCs w:val="5"/>
                <w:color w:val="auto"/>
              </w:rPr>
            </w:pPr>
          </w:p>
        </w:tc>
        <w:tc>
          <w:tcPr>
            <w:tcW w:w="2840" w:type="dxa"/>
            <w:vAlign w:val="bottom"/>
            <w:tcBorders>
              <w:right w:val="single" w:sz="8" w:color="808080"/>
            </w:tcBorders>
            <w:shd w:val="clear" w:color="auto" w:fill="808080"/>
          </w:tcPr>
          <w:p>
            <w:pPr>
              <w:spacing w:after="0"/>
              <w:rPr>
                <w:sz w:val="5"/>
                <w:szCs w:val="5"/>
                <w:color w:val="auto"/>
              </w:rPr>
            </w:pPr>
          </w:p>
        </w:tc>
        <w:tc>
          <w:tcPr>
            <w:tcW w:w="170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5" w:right="19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40" w:type="dxa"/>
            <w:vAlign w:val="bottom"/>
            <w:tcBorders>
              <w:top w:val="single" w:sz="8" w:color="auto"/>
              <w:left w:val="single" w:sz="8" w:color="auto"/>
              <w:right w:val="single" w:sz="8" w:color="auto"/>
            </w:tcBorders>
            <w:shd w:val="clear" w:color="auto" w:fill="CCEEFF"/>
          </w:tcPr>
          <w:p>
            <w:pPr>
              <w:spacing w:after="0"/>
              <w:rPr>
                <w:sz w:val="18"/>
                <w:szCs w:val="18"/>
                <w:color w:val="auto"/>
              </w:rPr>
            </w:pPr>
          </w:p>
        </w:tc>
        <w:tc>
          <w:tcPr>
            <w:tcW w:w="5140" w:type="dxa"/>
            <w:vAlign w:val="bottom"/>
            <w:tcBorders>
              <w:top w:val="single" w:sz="8" w:color="auto"/>
              <w:right w:val="single" w:sz="8" w:color="auto"/>
            </w:tcBorders>
            <w:shd w:val="clear" w:color="auto" w:fill="CCEEFF"/>
          </w:tcPr>
          <w:p>
            <w:pPr>
              <w:spacing w:after="0"/>
              <w:rPr>
                <w:sz w:val="18"/>
                <w:szCs w:val="18"/>
                <w:color w:val="auto"/>
              </w:rPr>
            </w:pPr>
          </w:p>
        </w:tc>
        <w:tc>
          <w:tcPr>
            <w:tcW w:w="2840" w:type="dxa"/>
            <w:vAlign w:val="bottom"/>
            <w:tcBorders>
              <w:top w:val="single" w:sz="8" w:color="auto"/>
              <w:right w:val="single" w:sz="8" w:color="auto"/>
            </w:tcBorders>
            <w:shd w:val="clear" w:color="auto" w:fill="CCEEFF"/>
          </w:tcPr>
          <w:p>
            <w:pPr>
              <w:spacing w:after="0"/>
              <w:rPr>
                <w:sz w:val="18"/>
                <w:szCs w:val="18"/>
                <w:color w:val="auto"/>
              </w:rPr>
            </w:pPr>
          </w:p>
        </w:tc>
        <w:tc>
          <w:tcPr>
            <w:tcW w:w="170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Smelter</w:t>
            </w:r>
          </w:p>
        </w:tc>
        <w:tc>
          <w:tcPr>
            <w:tcW w:w="40" w:type="dxa"/>
            <w:vAlign w:val="bottom"/>
          </w:tcPr>
          <w:p>
            <w:pPr>
              <w:spacing w:after="0"/>
              <w:rPr>
                <w:sz w:val="18"/>
                <w:szCs w:val="18"/>
                <w:color w:val="auto"/>
              </w:rPr>
            </w:pPr>
          </w:p>
        </w:tc>
      </w:tr>
      <w:tr>
        <w:trPr>
          <w:trHeight w:val="234"/>
        </w:trPr>
        <w:tc>
          <w:tcPr>
            <w:tcW w:w="17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Metal</w:t>
            </w:r>
          </w:p>
        </w:tc>
        <w:tc>
          <w:tcPr>
            <w:tcW w:w="514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Smelter Name</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Country</w:t>
            </w:r>
          </w:p>
        </w:tc>
        <w:tc>
          <w:tcPr>
            <w:tcW w:w="17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Identification</w:t>
            </w:r>
          </w:p>
        </w:tc>
        <w:tc>
          <w:tcPr>
            <w:tcW w:w="40" w:type="dxa"/>
            <w:vAlign w:val="bottom"/>
          </w:tcPr>
          <w:p>
            <w:pPr>
              <w:spacing w:after="0"/>
              <w:rPr>
                <w:sz w:val="20"/>
                <w:szCs w:val="20"/>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CV United Smelting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CID000315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CV Venus Inti Perkasa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CID002455</w:t>
            </w:r>
          </w:p>
        </w:tc>
        <w:tc>
          <w:tcPr>
            <w:tcW w:w="40" w:type="dxa"/>
            <w:vAlign w:val="bottom"/>
          </w:tcPr>
          <w:p>
            <w:pPr>
              <w:spacing w:after="0"/>
              <w:rPr>
                <w:sz w:val="18"/>
                <w:szCs w:val="18"/>
                <w:color w:val="auto"/>
              </w:rPr>
            </w:pPr>
          </w:p>
        </w:tc>
      </w:tr>
      <w:tr>
        <w:trPr>
          <w:trHeight w:val="195"/>
        </w:trPr>
        <w:tc>
          <w:tcPr>
            <w:tcW w:w="1740" w:type="dxa"/>
            <w:vAlign w:val="bottom"/>
            <w:tcBorders>
              <w:left w:val="single" w:sz="8" w:color="auto"/>
              <w:right w:val="single" w:sz="8" w:color="auto"/>
            </w:tcBorders>
          </w:tcPr>
          <w:p>
            <w:pPr>
              <w:spacing w:after="0"/>
              <w:rPr>
                <w:sz w:val="16"/>
                <w:szCs w:val="16"/>
                <w:color w:val="auto"/>
              </w:rPr>
            </w:pPr>
          </w:p>
        </w:tc>
        <w:tc>
          <w:tcPr>
            <w:tcW w:w="514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5"/>
              </w:rPr>
              <w:t>Electro-Mechanical Facility of the Cao Bang Minerals &amp; Metallurgy</w:t>
            </w:r>
          </w:p>
        </w:tc>
        <w:tc>
          <w:tcPr>
            <w:tcW w:w="284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Joint Stock Company</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CID002572</w:t>
            </w:r>
          </w:p>
        </w:tc>
        <w:tc>
          <w:tcPr>
            <w:tcW w:w="40" w:type="dxa"/>
            <w:vAlign w:val="bottom"/>
          </w:tcPr>
          <w:p>
            <w:pPr>
              <w:spacing w:after="0"/>
              <w:rPr>
                <w:sz w:val="20"/>
                <w:szCs w:val="20"/>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Elmet S.L.U.</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SPAIN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CID002774</w:t>
            </w:r>
          </w:p>
        </w:tc>
        <w:tc>
          <w:tcPr>
            <w:tcW w:w="40" w:type="dxa"/>
            <w:vAlign w:val="bottom"/>
          </w:tcPr>
          <w:p>
            <w:pPr>
              <w:spacing w:after="0"/>
              <w:rPr>
                <w:sz w:val="18"/>
                <w:szCs w:val="18"/>
                <w:color w:val="auto"/>
              </w:rPr>
            </w:pPr>
          </w:p>
        </w:tc>
      </w:tr>
      <w:tr>
        <w:trPr>
          <w:trHeight w:val="195"/>
        </w:trPr>
        <w:tc>
          <w:tcPr>
            <w:tcW w:w="1740" w:type="dxa"/>
            <w:vAlign w:val="bottom"/>
            <w:tcBorders>
              <w:left w:val="single" w:sz="8" w:color="auto"/>
              <w:right w:val="single" w:sz="8" w:color="auto"/>
            </w:tcBorders>
          </w:tcPr>
          <w:p>
            <w:pPr>
              <w:spacing w:after="0"/>
              <w:rPr>
                <w:sz w:val="16"/>
                <w:szCs w:val="16"/>
                <w:color w:val="auto"/>
              </w:rPr>
            </w:pPr>
          </w:p>
        </w:tc>
        <w:tc>
          <w:tcPr>
            <w:tcW w:w="514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BOLIVIA (PLURINATIONAL</w:t>
            </w:r>
          </w:p>
        </w:tc>
        <w:tc>
          <w:tcPr>
            <w:tcW w:w="17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 Vinto</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STATE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CID000438</w:t>
            </w:r>
          </w:p>
        </w:tc>
        <w:tc>
          <w:tcPr>
            <w:tcW w:w="40" w:type="dxa"/>
            <w:vAlign w:val="bottom"/>
          </w:tcPr>
          <w:p>
            <w:pPr>
              <w:spacing w:after="0"/>
              <w:rPr>
                <w:sz w:val="20"/>
                <w:szCs w:val="20"/>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Estanho de Rondônia 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CID000448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Feinhütte Halsbrücke GmbH</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CID000466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Fenix Metals</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POLAND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CID000468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Gejiu Fengming Metallurgy Chemical Plant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CID002848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Gejiu Jinye Mineral Company</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CID002859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Gejiu Kai Meng Industry and Trade LLC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CID000942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Gejiu Non-Ferrous Metal Processing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CID000538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Gejiu Yunxin Nonferrous Electrolysis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CID001908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Gejiu Zili Mining And Metallurgy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CID000555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Guanyang Guida Nonferrous Metal Smelting Plant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CID002849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HuiChang Hill Tin Industry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CID002844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Huichang Jinshunda Tin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CID000760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Jiangxi Ketai Advanced Material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CID000244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Jiangxi Nanshan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CID000864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Linwu Xianggui Ore Smelting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CID001063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Magnu's Minerais Metais e Ligas Ltda.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CID002468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Malaysia Smelting Corporation (MSC)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CID001105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Melt Metais e Ligas 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CID002500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Metallic Resources, Inc.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CID001142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Metallo Chimique</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CID001143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Metallo-Chimique N.V.</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BELGIUM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CID002773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Minmetals Ganzhou Tin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CID001179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Minsur</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PERU</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CID001182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Mitsubishi Materials Corporation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CID001191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Modeltech Sdn Bhd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MALAYSIA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CID002858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Nankang Nanshan Tin Manufactory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CID001231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Nghe Tinh Non-Ferrous Metals Joint Stock Company</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CID002573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Novosibirsk Integrated Tin Works</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CID001305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O.M. Manufacturing (Thailand)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CID001314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O.M. Manufacturing Philippines, Inc.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CID002517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OJSC Novosibirsk Refinery</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CID000493</w:t>
            </w:r>
          </w:p>
        </w:tc>
        <w:tc>
          <w:tcPr>
            <w:tcW w:w="40" w:type="dxa"/>
            <w:vAlign w:val="bottom"/>
          </w:tcPr>
          <w:p>
            <w:pPr>
              <w:spacing w:after="0"/>
              <w:rPr>
                <w:sz w:val="18"/>
                <w:szCs w:val="18"/>
                <w:color w:val="auto"/>
              </w:rPr>
            </w:pPr>
          </w:p>
        </w:tc>
      </w:tr>
      <w:tr>
        <w:trPr>
          <w:trHeight w:val="195"/>
        </w:trPr>
        <w:tc>
          <w:tcPr>
            <w:tcW w:w="1740" w:type="dxa"/>
            <w:vAlign w:val="bottom"/>
            <w:tcBorders>
              <w:left w:val="single" w:sz="8" w:color="auto"/>
              <w:right w:val="single" w:sz="8" w:color="auto"/>
            </w:tcBorders>
          </w:tcPr>
          <w:p>
            <w:pPr>
              <w:spacing w:after="0"/>
              <w:rPr>
                <w:sz w:val="16"/>
                <w:szCs w:val="16"/>
                <w:color w:val="auto"/>
              </w:rPr>
            </w:pPr>
          </w:p>
        </w:tc>
        <w:tc>
          <w:tcPr>
            <w:tcW w:w="514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BOLIVIA (PLURINATIONAL</w:t>
            </w:r>
          </w:p>
        </w:tc>
        <w:tc>
          <w:tcPr>
            <w:tcW w:w="170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Operaciones Metalurgical 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STATE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CID001337</w:t>
            </w:r>
          </w:p>
        </w:tc>
        <w:tc>
          <w:tcPr>
            <w:tcW w:w="40" w:type="dxa"/>
            <w:vAlign w:val="bottom"/>
          </w:tcPr>
          <w:p>
            <w:pPr>
              <w:spacing w:after="0"/>
              <w:rPr>
                <w:sz w:val="20"/>
                <w:szCs w:val="20"/>
                <w:color w:val="auto"/>
              </w:rPr>
            </w:pPr>
          </w:p>
        </w:tc>
      </w:tr>
      <w:tr>
        <w:trPr>
          <w:trHeight w:val="206"/>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Phoenix Metal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RWANDA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CID002507</w:t>
            </w:r>
          </w:p>
        </w:tc>
        <w:tc>
          <w:tcPr>
            <w:tcW w:w="40" w:type="dxa"/>
            <w:vAlign w:val="bottom"/>
          </w:tcPr>
          <w:p>
            <w:pPr>
              <w:spacing w:after="0"/>
              <w:rPr>
                <w:sz w:val="17"/>
                <w:szCs w:val="17"/>
                <w:color w:val="auto"/>
              </w:rPr>
            </w:pPr>
          </w:p>
        </w:tc>
      </w:tr>
      <w:tr>
        <w:trPr>
          <w:trHeight w:val="831"/>
        </w:trPr>
        <w:tc>
          <w:tcPr>
            <w:tcW w:w="17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1740" w:type="dxa"/>
            <w:vAlign w:val="bottom"/>
            <w:tcBorders>
              <w:left w:val="single" w:sz="8" w:color="808080"/>
              <w:right w:val="single" w:sz="8" w:color="808080"/>
            </w:tcBorders>
            <w:shd w:val="clear" w:color="auto" w:fill="808080"/>
          </w:tcPr>
          <w:p>
            <w:pPr>
              <w:spacing w:after="0"/>
              <w:rPr>
                <w:sz w:val="5"/>
                <w:szCs w:val="5"/>
                <w:color w:val="auto"/>
              </w:rPr>
            </w:pPr>
          </w:p>
        </w:tc>
        <w:tc>
          <w:tcPr>
            <w:tcW w:w="5140" w:type="dxa"/>
            <w:vAlign w:val="bottom"/>
            <w:tcBorders>
              <w:right w:val="single" w:sz="8" w:color="808080"/>
            </w:tcBorders>
            <w:shd w:val="clear" w:color="auto" w:fill="808080"/>
          </w:tcPr>
          <w:p>
            <w:pPr>
              <w:spacing w:after="0"/>
              <w:rPr>
                <w:sz w:val="5"/>
                <w:szCs w:val="5"/>
                <w:color w:val="auto"/>
              </w:rPr>
            </w:pPr>
          </w:p>
        </w:tc>
        <w:tc>
          <w:tcPr>
            <w:tcW w:w="2840" w:type="dxa"/>
            <w:vAlign w:val="bottom"/>
            <w:tcBorders>
              <w:right w:val="single" w:sz="8" w:color="808080"/>
            </w:tcBorders>
            <w:shd w:val="clear" w:color="auto" w:fill="808080"/>
          </w:tcPr>
          <w:p>
            <w:pPr>
              <w:spacing w:after="0"/>
              <w:rPr>
                <w:sz w:val="5"/>
                <w:szCs w:val="5"/>
                <w:color w:val="auto"/>
              </w:rPr>
            </w:pPr>
          </w:p>
        </w:tc>
        <w:tc>
          <w:tcPr>
            <w:tcW w:w="170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5" w:right="19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40" w:type="dxa"/>
            <w:vAlign w:val="bottom"/>
            <w:tcBorders>
              <w:top w:val="single" w:sz="8" w:color="auto"/>
              <w:left w:val="single" w:sz="8" w:color="auto"/>
              <w:right w:val="single" w:sz="8" w:color="auto"/>
            </w:tcBorders>
            <w:shd w:val="clear" w:color="auto" w:fill="CCEEFF"/>
          </w:tcPr>
          <w:p>
            <w:pPr>
              <w:spacing w:after="0"/>
              <w:rPr>
                <w:sz w:val="18"/>
                <w:szCs w:val="18"/>
                <w:color w:val="auto"/>
              </w:rPr>
            </w:pPr>
          </w:p>
        </w:tc>
        <w:tc>
          <w:tcPr>
            <w:tcW w:w="5140" w:type="dxa"/>
            <w:vAlign w:val="bottom"/>
            <w:tcBorders>
              <w:top w:val="single" w:sz="8" w:color="auto"/>
              <w:right w:val="single" w:sz="8" w:color="auto"/>
            </w:tcBorders>
            <w:shd w:val="clear" w:color="auto" w:fill="CCEEFF"/>
          </w:tcPr>
          <w:p>
            <w:pPr>
              <w:spacing w:after="0"/>
              <w:rPr>
                <w:sz w:val="18"/>
                <w:szCs w:val="18"/>
                <w:color w:val="auto"/>
              </w:rPr>
            </w:pPr>
          </w:p>
        </w:tc>
        <w:tc>
          <w:tcPr>
            <w:tcW w:w="2840" w:type="dxa"/>
            <w:vAlign w:val="bottom"/>
            <w:tcBorders>
              <w:top w:val="single" w:sz="8" w:color="auto"/>
              <w:right w:val="single" w:sz="8" w:color="auto"/>
            </w:tcBorders>
            <w:shd w:val="clear" w:color="auto" w:fill="CCEEFF"/>
          </w:tcPr>
          <w:p>
            <w:pPr>
              <w:spacing w:after="0"/>
              <w:rPr>
                <w:sz w:val="18"/>
                <w:szCs w:val="18"/>
                <w:color w:val="auto"/>
              </w:rPr>
            </w:pPr>
          </w:p>
        </w:tc>
        <w:tc>
          <w:tcPr>
            <w:tcW w:w="170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Smelter</w:t>
            </w:r>
          </w:p>
        </w:tc>
        <w:tc>
          <w:tcPr>
            <w:tcW w:w="40" w:type="dxa"/>
            <w:vAlign w:val="bottom"/>
          </w:tcPr>
          <w:p>
            <w:pPr>
              <w:spacing w:after="0"/>
              <w:rPr>
                <w:sz w:val="18"/>
                <w:szCs w:val="18"/>
                <w:color w:val="auto"/>
              </w:rPr>
            </w:pPr>
          </w:p>
        </w:tc>
      </w:tr>
      <w:tr>
        <w:trPr>
          <w:trHeight w:val="234"/>
        </w:trPr>
        <w:tc>
          <w:tcPr>
            <w:tcW w:w="17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Metal</w:t>
            </w:r>
          </w:p>
        </w:tc>
        <w:tc>
          <w:tcPr>
            <w:tcW w:w="514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Smelter Name</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Country</w:t>
            </w:r>
          </w:p>
        </w:tc>
        <w:tc>
          <w:tcPr>
            <w:tcW w:w="17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Identification</w:t>
            </w:r>
          </w:p>
        </w:tc>
        <w:tc>
          <w:tcPr>
            <w:tcW w:w="40" w:type="dxa"/>
            <w:vAlign w:val="bottom"/>
          </w:tcPr>
          <w:p>
            <w:pPr>
              <w:spacing w:after="0"/>
              <w:rPr>
                <w:sz w:val="20"/>
                <w:szCs w:val="20"/>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Alam Lestari Kencana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CID001393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Aries Kencana Sejahtera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CID000309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Artha Cipta Langgeng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CID001399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ATD Makmur Mandiri Jaya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CID002503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Babel Inti Perkasa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CID001402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Bangka Kudai Tin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CID001409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Bangka Prima Tin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CID002776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Ketabang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CID001412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Bangka Timah Utama Sejahtera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CID001416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Bangka Tin Industry</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CID001419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Belitung Industri Sejahtera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CID001421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BilliTin Makmur Lestari</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CID001424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Bukit Timah</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CID001428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Cipta Persada Mulia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CID002696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DS Jaya Abadi</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CID001434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Eunindo Usaha Mandiri</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CID001438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Fang Di MulTindo</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CID001442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Inti Stania Prima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CID002530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Justindo</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CID000307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Karimun Mining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CID001448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Kijang Jaya Mandiri</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CID002829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Lautan Harmonis Sejahtera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CID002870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Menara Cipta Mulia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CID002835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Mitra Stania Prima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CID001453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O.M. Indonesia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CID002757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Panca Mega Persada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CID001457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Timah Nusantara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CID001486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Prima Timah Utama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CID001458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Refined Bangka Tin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CID001460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Sariwiguna Binasentosa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CID001463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Seirama Tin Investment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CID001466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Stanindo Inti Perkasa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CID001468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Sukses Inti Makmur</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CID002816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Sumber Jaya Indah</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CID001471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Timah (Persero) Tbk Kundur</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CID001477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Tinindo Inter Nusa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CID001490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Tirus Putra Mandiri</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CID002478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Tommy Utama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CID001493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PT Wahana Perkit Jaya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INDONESIA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CID002479</w:t>
            </w:r>
          </w:p>
        </w:tc>
        <w:tc>
          <w:tcPr>
            <w:tcW w:w="40" w:type="dxa"/>
            <w:vAlign w:val="bottom"/>
          </w:tcPr>
          <w:p>
            <w:pPr>
              <w:spacing w:after="0"/>
              <w:rPr>
                <w:sz w:val="18"/>
                <w:szCs w:val="18"/>
                <w:color w:val="auto"/>
              </w:rPr>
            </w:pPr>
          </w:p>
        </w:tc>
      </w:tr>
      <w:tr>
        <w:trPr>
          <w:trHeight w:val="206"/>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Rui Da Hung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TAIWAN, PROVINCE OF 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CID001539</w:t>
            </w:r>
          </w:p>
        </w:tc>
        <w:tc>
          <w:tcPr>
            <w:tcW w:w="40" w:type="dxa"/>
            <w:vAlign w:val="bottom"/>
          </w:tcPr>
          <w:p>
            <w:pPr>
              <w:spacing w:after="0"/>
              <w:rPr>
                <w:sz w:val="17"/>
                <w:szCs w:val="17"/>
                <w:color w:val="auto"/>
              </w:rPr>
            </w:pPr>
          </w:p>
        </w:tc>
      </w:tr>
      <w:tr>
        <w:trPr>
          <w:trHeight w:val="831"/>
        </w:trPr>
        <w:tc>
          <w:tcPr>
            <w:tcW w:w="17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1740" w:type="dxa"/>
            <w:vAlign w:val="bottom"/>
            <w:tcBorders>
              <w:left w:val="single" w:sz="8" w:color="808080"/>
              <w:right w:val="single" w:sz="8" w:color="808080"/>
            </w:tcBorders>
            <w:shd w:val="clear" w:color="auto" w:fill="808080"/>
          </w:tcPr>
          <w:p>
            <w:pPr>
              <w:spacing w:after="0"/>
              <w:rPr>
                <w:sz w:val="5"/>
                <w:szCs w:val="5"/>
                <w:color w:val="auto"/>
              </w:rPr>
            </w:pPr>
          </w:p>
        </w:tc>
        <w:tc>
          <w:tcPr>
            <w:tcW w:w="5140" w:type="dxa"/>
            <w:vAlign w:val="bottom"/>
            <w:tcBorders>
              <w:right w:val="single" w:sz="8" w:color="808080"/>
            </w:tcBorders>
            <w:shd w:val="clear" w:color="auto" w:fill="808080"/>
          </w:tcPr>
          <w:p>
            <w:pPr>
              <w:spacing w:after="0"/>
              <w:rPr>
                <w:sz w:val="5"/>
                <w:szCs w:val="5"/>
                <w:color w:val="auto"/>
              </w:rPr>
            </w:pPr>
          </w:p>
        </w:tc>
        <w:tc>
          <w:tcPr>
            <w:tcW w:w="2840" w:type="dxa"/>
            <w:vAlign w:val="bottom"/>
            <w:tcBorders>
              <w:right w:val="single" w:sz="8" w:color="808080"/>
            </w:tcBorders>
            <w:shd w:val="clear" w:color="auto" w:fill="808080"/>
          </w:tcPr>
          <w:p>
            <w:pPr>
              <w:spacing w:after="0"/>
              <w:rPr>
                <w:sz w:val="5"/>
                <w:szCs w:val="5"/>
                <w:color w:val="auto"/>
              </w:rPr>
            </w:pPr>
          </w:p>
        </w:tc>
        <w:tc>
          <w:tcPr>
            <w:tcW w:w="170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5" w:right="19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40" w:type="dxa"/>
            <w:vAlign w:val="bottom"/>
            <w:tcBorders>
              <w:top w:val="single" w:sz="8" w:color="auto"/>
              <w:left w:val="single" w:sz="8" w:color="auto"/>
              <w:right w:val="single" w:sz="8" w:color="auto"/>
            </w:tcBorders>
            <w:shd w:val="clear" w:color="auto" w:fill="CCEEFF"/>
          </w:tcPr>
          <w:p>
            <w:pPr>
              <w:spacing w:after="0"/>
              <w:rPr>
                <w:sz w:val="18"/>
                <w:szCs w:val="18"/>
                <w:color w:val="auto"/>
              </w:rPr>
            </w:pPr>
          </w:p>
        </w:tc>
        <w:tc>
          <w:tcPr>
            <w:tcW w:w="5140" w:type="dxa"/>
            <w:vAlign w:val="bottom"/>
            <w:tcBorders>
              <w:top w:val="single" w:sz="8" w:color="auto"/>
              <w:right w:val="single" w:sz="8" w:color="auto"/>
            </w:tcBorders>
            <w:shd w:val="clear" w:color="auto" w:fill="CCEEFF"/>
          </w:tcPr>
          <w:p>
            <w:pPr>
              <w:spacing w:after="0"/>
              <w:rPr>
                <w:sz w:val="18"/>
                <w:szCs w:val="18"/>
                <w:color w:val="auto"/>
              </w:rPr>
            </w:pPr>
          </w:p>
        </w:tc>
        <w:tc>
          <w:tcPr>
            <w:tcW w:w="2840" w:type="dxa"/>
            <w:vAlign w:val="bottom"/>
            <w:tcBorders>
              <w:top w:val="single" w:sz="8" w:color="auto"/>
              <w:right w:val="single" w:sz="8" w:color="auto"/>
            </w:tcBorders>
            <w:shd w:val="clear" w:color="auto" w:fill="CCEEFF"/>
          </w:tcPr>
          <w:p>
            <w:pPr>
              <w:spacing w:after="0"/>
              <w:rPr>
                <w:sz w:val="18"/>
                <w:szCs w:val="18"/>
                <w:color w:val="auto"/>
              </w:rPr>
            </w:pPr>
          </w:p>
        </w:tc>
        <w:tc>
          <w:tcPr>
            <w:tcW w:w="170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Smelter</w:t>
            </w:r>
          </w:p>
        </w:tc>
        <w:tc>
          <w:tcPr>
            <w:tcW w:w="40" w:type="dxa"/>
            <w:vAlign w:val="bottom"/>
          </w:tcPr>
          <w:p>
            <w:pPr>
              <w:spacing w:after="0"/>
              <w:rPr>
                <w:sz w:val="18"/>
                <w:szCs w:val="18"/>
                <w:color w:val="auto"/>
              </w:rPr>
            </w:pPr>
          </w:p>
        </w:tc>
      </w:tr>
      <w:tr>
        <w:trPr>
          <w:trHeight w:val="234"/>
        </w:trPr>
        <w:tc>
          <w:tcPr>
            <w:tcW w:w="17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Metal</w:t>
            </w:r>
          </w:p>
        </w:tc>
        <w:tc>
          <w:tcPr>
            <w:tcW w:w="514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Smelter Name</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Country</w:t>
            </w:r>
          </w:p>
        </w:tc>
        <w:tc>
          <w:tcPr>
            <w:tcW w:w="17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Identification</w:t>
            </w:r>
          </w:p>
        </w:tc>
        <w:tc>
          <w:tcPr>
            <w:tcW w:w="40" w:type="dxa"/>
            <w:vAlign w:val="bottom"/>
          </w:tcPr>
          <w:p>
            <w:pPr>
              <w:spacing w:after="0"/>
              <w:rPr>
                <w:sz w:val="20"/>
                <w:szCs w:val="20"/>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Soft Metais Ltda.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CID001758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Thaisarco</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THAILAND</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CID001898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Tuyen Quang Non-Ferrous Metals Joint Stock Company</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CID002574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VQB Mineral and Trading Group JSC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CID002015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White Solder Metalurgia e Mineração Ltda.</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CID002036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Yunnan Chengfeng Non-ferrous Metals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CID002158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Yunnan Tin Company Limited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CID002180</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A.L.M.T. TUNGSTEN Corp.</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CID000004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ACL Metais Eireli</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BRAZIL</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CID002833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Asia Tungsten Products Vietnam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CID002502</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Kennametal Huntsville</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CID000105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Guangdong Xianglu Tungsten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CID000218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Chenzhou Diamond Tungsten Products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CID002513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Zhuzhou Cemented Carbide Group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CID002236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Chongyi Zhangyuan Tungsten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CID000258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Dayu Jincheng Tungsten Industry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CID002518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Dayu Weiliang Tungsten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CID000345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Fujian Jinxin Tungsten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CID000499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Ganxian Shirui New Material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CID002531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Ganzhou Seadragon W &amp; Mo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CID002494</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Ganzhou Huaxing Tungsten Products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CID000875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Ganzhou Jiangwu Ferrotungsten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CID002315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Ganzhou Non-ferrous Metals Smelting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CID000868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Ganzhou Yatai Tungsten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CID002536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Global Tungsten &amp; Powders Corp.</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CID000568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Guizhou Zhenhua Xinyun Technology Ltd., Kaili branch</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CID002501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H.C. Starck GmbH</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CID002541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HC Starck GmbH</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GERMANY</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CID000683</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Hunan Chenzhou Mining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CID000766</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Hunan Chuangda Vanadium Tungsten Co., Ltd. Wuji</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CID002579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Hunan Chuangda Vanadium Tungsten Co., Ltd. Yanglin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CID002578</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Hunan Chunchang Nonferrous Metals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CID000769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Hydrometallurg, JSC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CID002649</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Japan New Metals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CID000825</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Jiangwu H.C. Starck Tungsten Products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CID002551</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Jiangxi Dayu Longxintai Tungsten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CID002647</w:t>
            </w:r>
          </w:p>
        </w:tc>
        <w:tc>
          <w:tcPr>
            <w:tcW w:w="40" w:type="dxa"/>
            <w:vAlign w:val="bottom"/>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Jiangxi Gan Bei Tungsten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CID002321</w:t>
            </w:r>
          </w:p>
        </w:tc>
        <w:tc>
          <w:tcPr>
            <w:tcW w:w="40" w:type="dxa"/>
            <w:vAlign w:val="bottom"/>
          </w:tcPr>
          <w:p>
            <w:pPr>
              <w:spacing w:after="0"/>
              <w:rPr>
                <w:sz w:val="18"/>
                <w:szCs w:val="18"/>
                <w:color w:val="auto"/>
              </w:rPr>
            </w:pPr>
          </w:p>
        </w:tc>
      </w:tr>
      <w:tr>
        <w:trPr>
          <w:trHeight w:val="206"/>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Jiangxi Minmetals Gao'an Non-ferrous Metals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CID002313</w:t>
            </w:r>
          </w:p>
        </w:tc>
        <w:tc>
          <w:tcPr>
            <w:tcW w:w="40" w:type="dxa"/>
            <w:vAlign w:val="bottom"/>
          </w:tcPr>
          <w:p>
            <w:pPr>
              <w:spacing w:after="0"/>
              <w:rPr>
                <w:sz w:val="17"/>
                <w:szCs w:val="17"/>
                <w:color w:val="auto"/>
              </w:rPr>
            </w:pPr>
          </w:p>
        </w:tc>
      </w:tr>
      <w:tr>
        <w:trPr>
          <w:trHeight w:val="831"/>
        </w:trPr>
        <w:tc>
          <w:tcPr>
            <w:tcW w:w="17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1740" w:type="dxa"/>
            <w:vAlign w:val="bottom"/>
            <w:tcBorders>
              <w:left w:val="single" w:sz="8" w:color="808080"/>
              <w:right w:val="single" w:sz="8" w:color="808080"/>
            </w:tcBorders>
            <w:shd w:val="clear" w:color="auto" w:fill="808080"/>
          </w:tcPr>
          <w:p>
            <w:pPr>
              <w:spacing w:after="0"/>
              <w:rPr>
                <w:sz w:val="5"/>
                <w:szCs w:val="5"/>
                <w:color w:val="auto"/>
              </w:rPr>
            </w:pPr>
          </w:p>
        </w:tc>
        <w:tc>
          <w:tcPr>
            <w:tcW w:w="5140" w:type="dxa"/>
            <w:vAlign w:val="bottom"/>
            <w:tcBorders>
              <w:right w:val="single" w:sz="8" w:color="808080"/>
            </w:tcBorders>
            <w:shd w:val="clear" w:color="auto" w:fill="808080"/>
          </w:tcPr>
          <w:p>
            <w:pPr>
              <w:spacing w:after="0"/>
              <w:rPr>
                <w:sz w:val="5"/>
                <w:szCs w:val="5"/>
                <w:color w:val="auto"/>
              </w:rPr>
            </w:pPr>
          </w:p>
        </w:tc>
        <w:tc>
          <w:tcPr>
            <w:tcW w:w="2840" w:type="dxa"/>
            <w:vAlign w:val="bottom"/>
            <w:tcBorders>
              <w:right w:val="single" w:sz="8" w:color="808080"/>
            </w:tcBorders>
            <w:shd w:val="clear" w:color="auto" w:fill="808080"/>
          </w:tcPr>
          <w:p>
            <w:pPr>
              <w:spacing w:after="0"/>
              <w:rPr>
                <w:sz w:val="5"/>
                <w:szCs w:val="5"/>
                <w:color w:val="auto"/>
              </w:rPr>
            </w:pPr>
          </w:p>
        </w:tc>
        <w:tc>
          <w:tcPr>
            <w:tcW w:w="1700" w:type="dxa"/>
            <w:vAlign w:val="bottom"/>
            <w:tcBorders>
              <w:right w:val="single" w:sz="8" w:color="808080"/>
            </w:tcBorders>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75" w:right="19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1740" w:type="dxa"/>
            <w:vAlign w:val="bottom"/>
            <w:tcBorders>
              <w:top w:val="single" w:sz="8" w:color="auto"/>
              <w:left w:val="single" w:sz="8" w:color="auto"/>
              <w:right w:val="single" w:sz="8" w:color="auto"/>
            </w:tcBorders>
            <w:shd w:val="clear" w:color="auto" w:fill="CCEEFF"/>
          </w:tcPr>
          <w:p>
            <w:pPr>
              <w:spacing w:after="0"/>
              <w:rPr>
                <w:sz w:val="18"/>
                <w:szCs w:val="18"/>
                <w:color w:val="auto"/>
              </w:rPr>
            </w:pPr>
          </w:p>
        </w:tc>
        <w:tc>
          <w:tcPr>
            <w:tcW w:w="5140" w:type="dxa"/>
            <w:vAlign w:val="bottom"/>
            <w:tcBorders>
              <w:top w:val="single" w:sz="8" w:color="auto"/>
              <w:right w:val="single" w:sz="8" w:color="auto"/>
            </w:tcBorders>
            <w:shd w:val="clear" w:color="auto" w:fill="CCEEFF"/>
          </w:tcPr>
          <w:p>
            <w:pPr>
              <w:spacing w:after="0"/>
              <w:rPr>
                <w:sz w:val="18"/>
                <w:szCs w:val="18"/>
                <w:color w:val="auto"/>
              </w:rPr>
            </w:pPr>
          </w:p>
        </w:tc>
        <w:tc>
          <w:tcPr>
            <w:tcW w:w="2840" w:type="dxa"/>
            <w:vAlign w:val="bottom"/>
            <w:tcBorders>
              <w:top w:val="single" w:sz="8" w:color="auto"/>
              <w:right w:val="single" w:sz="8" w:color="auto"/>
            </w:tcBorders>
            <w:shd w:val="clear" w:color="auto" w:fill="CCEEFF"/>
          </w:tcPr>
          <w:p>
            <w:pPr>
              <w:spacing w:after="0"/>
              <w:rPr>
                <w:sz w:val="18"/>
                <w:szCs w:val="18"/>
                <w:color w:val="auto"/>
              </w:rPr>
            </w:pPr>
          </w:p>
        </w:tc>
        <w:tc>
          <w:tcPr>
            <w:tcW w:w="170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Smelter</w:t>
            </w:r>
          </w:p>
        </w:tc>
      </w:tr>
      <w:tr>
        <w:trPr>
          <w:trHeight w:val="234"/>
        </w:trPr>
        <w:tc>
          <w:tcPr>
            <w:tcW w:w="17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Metal</w:t>
            </w:r>
          </w:p>
        </w:tc>
        <w:tc>
          <w:tcPr>
            <w:tcW w:w="5140" w:type="dxa"/>
            <w:vAlign w:val="bottom"/>
            <w:tcBorders>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Smelter Name</w:t>
            </w:r>
          </w:p>
        </w:tc>
        <w:tc>
          <w:tcPr>
            <w:tcW w:w="2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Country</w:t>
            </w:r>
          </w:p>
        </w:tc>
        <w:tc>
          <w:tcPr>
            <w:tcW w:w="170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Identification</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Jiangxi Tonggu Non-ferrous Metallurgical &amp; Chemical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CID002318</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Jiangxi Xinsheng Tungsten Industry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CID002317</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Jiangxi Xiushui Xianggan Nonferrous Metals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CID002535</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Jiangxi Yaosheng Tungsten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CID002316</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Kennametal Fallon</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CID000966</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Malipo Haiyu Tungsten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CID002319</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Moliren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CID002845</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Niagara Refining LLC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UNITED STATES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CID002589</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Nui Phao H.C. Starck Tungsten Chemicals Manufacturing LLC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CID002543</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Philippine Chuangxin Industrial Co., Inc.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PHILIPPINES</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CID002827</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Pobedit, JSC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CID002532</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Sanher Tungsten Vietnam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CID002538</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South-East Nonferrous Metal Company Limited of Hengyang City</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CID002815</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Tejing (Vietnam) Tungsten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CID001889</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Unecha Refractory metals plant</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CID002724</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Vietnam Youngsun Tungsten Industry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VIET NAM</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CID002011</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Wolfram Bergbau und Hütten AG</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AUSTRIA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CID002044</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Wolfram Company CJSC</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RUSSIAN FEDERATION</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CID002047</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Woltech Korea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KOREA (REPUBLIC OF)</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CID002843</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Xiamen Tungsten (H.C.)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CID002320</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Xiamen Tungsten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CID002082</w:t>
            </w:r>
          </w:p>
        </w:tc>
      </w:tr>
      <w:tr>
        <w:trPr>
          <w:trHeight w:val="210"/>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9"/>
              </w:rPr>
              <w:t>Xinfeng Huarui Tungsten &amp; Molybdenum New Material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CID002830</w:t>
            </w:r>
          </w:p>
        </w:tc>
      </w:tr>
      <w:tr>
        <w:trPr>
          <w:trHeight w:val="206"/>
        </w:trPr>
        <w:tc>
          <w:tcPr>
            <w:tcW w:w="17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Tungsten</w:t>
            </w:r>
          </w:p>
        </w:tc>
        <w:tc>
          <w:tcPr>
            <w:tcW w:w="51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Xinhai Rendan Shaoguan Tungsten Co., Ltd.</w:t>
            </w:r>
          </w:p>
        </w:tc>
        <w:tc>
          <w:tcPr>
            <w:tcW w:w="2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CHINA</w:t>
            </w:r>
          </w:p>
        </w:tc>
        <w:tc>
          <w:tcPr>
            <w:tcW w:w="1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CID002095</w:t>
            </w:r>
          </w:p>
        </w:tc>
      </w:tr>
    </w:tbl>
    <w:p>
      <w:pPr>
        <w:spacing w:after="0" w:line="1" w:lineRule="exact"/>
        <w:rPr>
          <w:sz w:val="20"/>
          <w:szCs w:val="20"/>
          <w:color w:val="auto"/>
        </w:rPr>
      </w:pPr>
    </w:p>
    <w:sectPr>
      <w:pgSz w:w="11900" w:h="16838" w:orient="portrait"/>
      <w:cols w:equalWidth="0" w:num="1">
        <w:col w:w="11420"/>
      </w:cols>
      <w:pgMar w:left="240" w:top="5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2019-12-05T02:16:59Z</dcterms:created>
  <dcterms:modified xsi:type="dcterms:W3CDTF">2019-12-05T02:16:59Z</dcterms:modified>
</cp:coreProperties>
</file>