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1099"/>
        <w:spacing w:after="0"/>
        <w:rPr>
          <w:sz w:val="20"/>
          <w:szCs w:val="20"/>
          <w:color w:val="auto"/>
        </w:rPr>
      </w:pPr>
      <w:r>
        <w:rPr>
          <w:rFonts w:ascii="Arial" w:cs="Arial" w:eastAsia="Arial" w:hAnsi="Arial"/>
          <w:sz w:val="24"/>
          <w:szCs w:val="24"/>
          <w:b w:val="1"/>
          <w:bCs w:val="1"/>
          <w:color w:val="auto"/>
        </w:rPr>
        <w:t>UNITED STATES</w:t>
      </w:r>
    </w:p>
    <w:p>
      <w:pPr>
        <w:spacing w:after="0" w:line="35" w:lineRule="exact"/>
        <w:rPr>
          <w:sz w:val="20"/>
          <w:szCs w:val="20"/>
          <w:color w:val="auto"/>
        </w:rPr>
      </w:pPr>
    </w:p>
    <w:p>
      <w:pPr>
        <w:jc w:val="center"/>
        <w:ind w:right="-1099"/>
        <w:spacing w:after="0"/>
        <w:rPr>
          <w:sz w:val="20"/>
          <w:szCs w:val="20"/>
          <w:color w:val="auto"/>
        </w:rPr>
      </w:pPr>
      <w:r>
        <w:rPr>
          <w:rFonts w:ascii="Arial" w:cs="Arial" w:eastAsia="Arial" w:hAnsi="Arial"/>
          <w:sz w:val="24"/>
          <w:szCs w:val="24"/>
          <w:b w:val="1"/>
          <w:bCs w:val="1"/>
          <w:color w:val="auto"/>
        </w:rPr>
        <w:t>SECURITIES AND EXCHANGE COMMISSION</w:t>
      </w:r>
    </w:p>
    <w:p>
      <w:pPr>
        <w:spacing w:after="0" w:line="219" w:lineRule="exact"/>
        <w:rPr>
          <w:sz w:val="20"/>
          <w:szCs w:val="20"/>
          <w:color w:val="auto"/>
        </w:rPr>
      </w:pPr>
    </w:p>
    <w:p>
      <w:pPr>
        <w:jc w:val="center"/>
        <w:ind w:right="-1099"/>
        <w:spacing w:after="0"/>
        <w:rPr>
          <w:sz w:val="20"/>
          <w:szCs w:val="20"/>
          <w:color w:val="auto"/>
        </w:rPr>
      </w:pPr>
      <w:r>
        <w:rPr>
          <w:rFonts w:ascii="Arial" w:cs="Arial" w:eastAsia="Arial" w:hAnsi="Arial"/>
          <w:sz w:val="21"/>
          <w:szCs w:val="21"/>
          <w:b w:val="1"/>
          <w:bCs w:val="1"/>
          <w:color w:val="auto"/>
        </w:rPr>
        <w:t>WASHINGTON, D.C. 20549</w:t>
      </w:r>
    </w:p>
    <w:p>
      <w:pPr>
        <w:spacing w:after="0" w:line="285" w:lineRule="exact"/>
        <w:rPr>
          <w:sz w:val="20"/>
          <w:szCs w:val="20"/>
          <w:color w:val="auto"/>
        </w:rPr>
      </w:pPr>
    </w:p>
    <w:p>
      <w:pPr>
        <w:ind w:left="4960"/>
        <w:spacing w:after="0"/>
        <w:rPr>
          <w:sz w:val="20"/>
          <w:szCs w:val="20"/>
          <w:color w:val="auto"/>
        </w:rPr>
      </w:pPr>
      <w:r>
        <w:rPr>
          <w:rFonts w:ascii="Arial" w:cs="Arial" w:eastAsia="Arial" w:hAnsi="Arial"/>
          <w:sz w:val="31"/>
          <w:szCs w:val="31"/>
          <w:b w:val="1"/>
          <w:bCs w:val="1"/>
          <w:color w:val="auto"/>
        </w:rPr>
        <w:t>FORM 8-K</w:t>
      </w:r>
    </w:p>
    <w:p>
      <w:pPr>
        <w:spacing w:after="0" w:line="321"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auto"/>
        </w:rPr>
        <w:t>CURRENT REPORT</w:t>
      </w:r>
    </w:p>
    <w:p>
      <w:pPr>
        <w:spacing w:after="0" w:line="27"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Pursuant to Section 13 or 15(d) of the Securities Exchange Act of 1934</w:t>
      </w:r>
    </w:p>
    <w:p>
      <w:pPr>
        <w:spacing w:after="0" w:line="189"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Date of report (Date of earliest event reported): July 22, 2004</w:t>
      </w:r>
    </w:p>
    <w:p>
      <w:pPr>
        <w:spacing w:after="0" w:line="392" w:lineRule="exact"/>
        <w:rPr>
          <w:sz w:val="20"/>
          <w:szCs w:val="20"/>
          <w:color w:val="auto"/>
        </w:rPr>
      </w:pPr>
    </w:p>
    <w:p>
      <w:pPr>
        <w:ind w:left="4800"/>
        <w:spacing w:after="0"/>
        <w:rPr>
          <w:sz w:val="20"/>
          <w:szCs w:val="20"/>
          <w:color w:val="auto"/>
        </w:rPr>
      </w:pPr>
      <w:r>
        <w:rPr>
          <w:rFonts w:ascii="Arial" w:cs="Arial" w:eastAsia="Arial" w:hAnsi="Arial"/>
          <w:sz w:val="41"/>
          <w:szCs w:val="41"/>
          <w:b w:val="1"/>
          <w:bCs w:val="1"/>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290195</wp:posOffset>
            </wp:positionV>
            <wp:extent cx="72529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3860"/>
        <w:spacing w:after="0"/>
        <w:rPr>
          <w:sz w:val="20"/>
          <w:szCs w:val="20"/>
          <w:color w:val="auto"/>
        </w:rPr>
      </w:pPr>
      <w:r>
        <w:rPr>
          <w:rFonts w:ascii="Arial" w:cs="Arial" w:eastAsia="Arial" w:hAnsi="Arial"/>
          <w:sz w:val="17"/>
          <w:szCs w:val="17"/>
          <w:i w:val="1"/>
          <w:iCs w:val="1"/>
          <w:color w:val="auto"/>
        </w:rPr>
        <w:t>(Exact Name of Registrant as Specified in its Charter)</w:t>
      </w:r>
    </w:p>
    <w:p>
      <w:pPr>
        <w:sectPr>
          <w:pgSz w:w="11900" w:h="16838" w:orient="portrait"/>
          <w:cols w:equalWidth="0" w:num="1">
            <w:col w:w="10340"/>
          </w:cols>
          <w:pgMar w:left="240" w:top="124" w:right="1319" w:bottom="1440" w:gutter="0" w:footer="0" w:header="0"/>
        </w:sectPr>
      </w:pPr>
    </w:p>
    <w:p>
      <w:pPr>
        <w:spacing w:after="0" w:line="210" w:lineRule="exact"/>
        <w:rPr>
          <w:sz w:val="20"/>
          <w:szCs w:val="20"/>
          <w:color w:val="auto"/>
        </w:rPr>
      </w:pPr>
    </w:p>
    <w:p>
      <w:pPr>
        <w:ind w:left="1380"/>
        <w:spacing w:after="0"/>
        <w:rPr>
          <w:sz w:val="20"/>
          <w:szCs w:val="20"/>
          <w:color w:val="auto"/>
        </w:rPr>
      </w:pPr>
      <w:r>
        <w:rPr>
          <w:rFonts w:ascii="Arial" w:cs="Arial" w:eastAsia="Arial" w:hAnsi="Arial"/>
          <w:sz w:val="17"/>
          <w:szCs w:val="17"/>
          <w:b w:val="1"/>
          <w:bCs w:val="1"/>
          <w:color w:val="auto"/>
        </w:rPr>
        <w:t>Delaware</w:t>
      </w:r>
    </w:p>
    <w:p>
      <w:pPr>
        <w:spacing w:after="0" w:line="27" w:lineRule="exact"/>
        <w:rPr>
          <w:sz w:val="20"/>
          <w:szCs w:val="20"/>
          <w:color w:val="auto"/>
        </w:rPr>
      </w:pPr>
    </w:p>
    <w:p>
      <w:pPr>
        <w:ind w:left="1200"/>
        <w:spacing w:after="0"/>
        <w:rPr>
          <w:sz w:val="20"/>
          <w:szCs w:val="20"/>
          <w:color w:val="auto"/>
        </w:rPr>
      </w:pPr>
      <w:r>
        <w:rPr>
          <w:rFonts w:ascii="Arial" w:cs="Arial" w:eastAsia="Arial" w:hAnsi="Arial"/>
          <w:sz w:val="15"/>
          <w:szCs w:val="15"/>
          <w:i w:val="1"/>
          <w:iCs w:val="1"/>
          <w:color w:val="auto"/>
        </w:rPr>
        <w:t>(State or Other</w:t>
      </w:r>
    </w:p>
    <w:p>
      <w:pPr>
        <w:spacing w:after="0" w:line="33" w:lineRule="exact"/>
        <w:rPr>
          <w:sz w:val="20"/>
          <w:szCs w:val="20"/>
          <w:color w:val="auto"/>
        </w:rPr>
      </w:pPr>
    </w:p>
    <w:p>
      <w:pPr>
        <w:ind w:left="1220"/>
        <w:spacing w:after="0"/>
        <w:rPr>
          <w:sz w:val="20"/>
          <w:szCs w:val="20"/>
          <w:color w:val="auto"/>
        </w:rPr>
      </w:pPr>
      <w:r>
        <w:rPr>
          <w:rFonts w:ascii="Arial" w:cs="Arial" w:eastAsia="Arial" w:hAnsi="Arial"/>
          <w:sz w:val="16"/>
          <w:szCs w:val="16"/>
          <w:i w:val="1"/>
          <w:iCs w:val="1"/>
          <w:color w:val="auto"/>
        </w:rPr>
        <w:t>Jurisdiction of</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ind w:right="2160"/>
        <w:spacing w:after="0"/>
        <w:rPr>
          <w:sz w:val="20"/>
          <w:szCs w:val="20"/>
          <w:color w:val="auto"/>
        </w:rPr>
      </w:pPr>
      <w:r>
        <w:rPr>
          <w:rFonts w:ascii="Arial" w:cs="Arial" w:eastAsia="Arial" w:hAnsi="Arial"/>
          <w:sz w:val="17"/>
          <w:szCs w:val="17"/>
          <w:b w:val="1"/>
          <w:bCs w:val="1"/>
          <w:color w:val="auto"/>
        </w:rPr>
        <w:t>1-4298</w:t>
      </w:r>
    </w:p>
    <w:p>
      <w:pPr>
        <w:spacing w:after="0" w:line="27" w:lineRule="exact"/>
        <w:rPr>
          <w:sz w:val="20"/>
          <w:szCs w:val="20"/>
          <w:color w:val="auto"/>
        </w:rPr>
      </w:pPr>
    </w:p>
    <w:p>
      <w:pPr>
        <w:jc w:val="center"/>
        <w:ind w:right="2160"/>
        <w:spacing w:after="0"/>
        <w:rPr>
          <w:sz w:val="20"/>
          <w:szCs w:val="20"/>
          <w:color w:val="auto"/>
        </w:rPr>
      </w:pPr>
      <w:r>
        <w:rPr>
          <w:rFonts w:ascii="Arial" w:cs="Arial" w:eastAsia="Arial" w:hAnsi="Arial"/>
          <w:sz w:val="16"/>
          <w:szCs w:val="16"/>
          <w:i w:val="1"/>
          <w:iCs w:val="1"/>
          <w:color w:val="auto"/>
        </w:rPr>
        <w:t>(Commission</w:t>
      </w:r>
    </w:p>
    <w:p>
      <w:pPr>
        <w:spacing w:after="0" w:line="22" w:lineRule="exact"/>
        <w:rPr>
          <w:sz w:val="20"/>
          <w:szCs w:val="20"/>
          <w:color w:val="auto"/>
        </w:rPr>
      </w:pPr>
    </w:p>
    <w:p>
      <w:pPr>
        <w:jc w:val="center"/>
        <w:ind w:right="2160"/>
        <w:spacing w:after="0"/>
        <w:rPr>
          <w:sz w:val="20"/>
          <w:szCs w:val="20"/>
          <w:color w:val="auto"/>
        </w:rPr>
      </w:pPr>
      <w:r>
        <w:rPr>
          <w:rFonts w:ascii="Arial" w:cs="Arial" w:eastAsia="Arial" w:hAnsi="Arial"/>
          <w:sz w:val="16"/>
          <w:szCs w:val="16"/>
          <w:i w:val="1"/>
          <w:iCs w:val="1"/>
          <w:color w:val="auto"/>
        </w:rPr>
        <w:t>File Number)</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95-1934119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(IRS Employer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Identification No.)</w:t>
      </w:r>
    </w:p>
    <w:p>
      <w:pPr>
        <w:spacing w:after="0" w:line="22" w:lineRule="exact"/>
        <w:rPr>
          <w:sz w:val="20"/>
          <w:szCs w:val="20"/>
          <w:color w:val="auto"/>
        </w:rPr>
      </w:pPr>
    </w:p>
    <w:p>
      <w:pPr>
        <w:sectPr>
          <w:pgSz w:w="11900" w:h="16838" w:orient="portrait"/>
          <w:cols w:equalWidth="0" w:num="3">
            <w:col w:w="4540" w:space="720"/>
            <w:col w:w="3100" w:space="720"/>
            <w:col w:w="1260"/>
          </w:cols>
          <w:pgMar w:left="240" w:top="124" w:right="1319" w:bottom="1440" w:gutter="0" w:footer="0" w:header="0"/>
          <w:type w:val="continuous"/>
        </w:sectPr>
      </w:pPr>
    </w:p>
    <w:p>
      <w:pPr>
        <w:ind w:left="1200"/>
        <w:spacing w:after="0"/>
        <w:rPr>
          <w:sz w:val="20"/>
          <w:szCs w:val="20"/>
          <w:color w:val="auto"/>
        </w:rPr>
      </w:pPr>
      <w:r>
        <w:rPr>
          <w:rFonts w:ascii="Arial" w:cs="Arial" w:eastAsia="Arial" w:hAnsi="Arial"/>
          <w:sz w:val="16"/>
          <w:szCs w:val="16"/>
          <w:i w:val="1"/>
          <w:iCs w:val="1"/>
          <w:color w:val="auto"/>
        </w:rPr>
        <w:t>Incorporation)</w:t>
      </w:r>
    </w:p>
    <w:p>
      <w:pPr>
        <w:sectPr>
          <w:pgSz w:w="11900" w:h="16838" w:orient="portrait"/>
          <w:cols w:equalWidth="0" w:num="1">
            <w:col w:w="10340"/>
          </w:cols>
          <w:pgMar w:left="240" w:top="124" w:right="1319" w:bottom="1440" w:gutter="0" w:footer="0" w:header="0"/>
          <w:type w:val="continuous"/>
        </w:sectPr>
      </w:pPr>
    </w:p>
    <w:p>
      <w:pPr>
        <w:spacing w:after="0" w:line="210" w:lineRule="exact"/>
        <w:rPr>
          <w:sz w:val="20"/>
          <w:szCs w:val="20"/>
          <w:color w:val="auto"/>
        </w:rPr>
      </w:pPr>
    </w:p>
    <w:p>
      <w:pPr>
        <w:ind w:left="1100"/>
        <w:spacing w:after="0"/>
        <w:rPr>
          <w:sz w:val="20"/>
          <w:szCs w:val="20"/>
          <w:color w:val="auto"/>
        </w:rPr>
      </w:pPr>
      <w:r>
        <w:rPr>
          <w:rFonts w:ascii="Arial" w:cs="Arial" w:eastAsia="Arial" w:hAnsi="Arial"/>
          <w:sz w:val="15"/>
          <w:szCs w:val="15"/>
          <w:b w:val="1"/>
          <w:bCs w:val="1"/>
          <w:color w:val="auto"/>
        </w:rPr>
        <w:t>12367 Crosthwaite Circle, Poway, California</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92064</w:t>
      </w:r>
    </w:p>
    <w:p>
      <w:pPr>
        <w:spacing w:after="0" w:line="50" w:lineRule="exact"/>
        <w:rPr>
          <w:sz w:val="20"/>
          <w:szCs w:val="20"/>
          <w:color w:val="auto"/>
        </w:rPr>
      </w:pPr>
    </w:p>
    <w:p>
      <w:pPr>
        <w:sectPr>
          <w:pgSz w:w="11900" w:h="16838" w:orient="portrait"/>
          <w:cols w:equalWidth="0" w:num="2">
            <w:col w:w="7780" w:space="720"/>
            <w:col w:w="1840"/>
          </w:cols>
          <w:pgMar w:left="240" w:top="124" w:right="1319" w:bottom="1440" w:gutter="0" w:footer="0" w:header="0"/>
          <w:type w:val="continuous"/>
        </w:sectPr>
      </w:pPr>
    </w:p>
    <w:p>
      <w:pPr>
        <w:ind w:left="1340"/>
        <w:spacing w:after="0"/>
        <w:rPr>
          <w:sz w:val="20"/>
          <w:szCs w:val="20"/>
          <w:color w:val="auto"/>
        </w:rPr>
      </w:pPr>
      <w:r>
        <w:rPr>
          <w:rFonts w:ascii="Arial" w:cs="Arial" w:eastAsia="Arial" w:hAnsi="Arial"/>
          <w:sz w:val="15"/>
          <w:szCs w:val="15"/>
          <w:i w:val="1"/>
          <w:i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i w:val="1"/>
          <w:iCs w:val="1"/>
          <w:color w:val="auto"/>
        </w:rPr>
        <w:t>(Zip Code)</w:t>
      </w:r>
    </w:p>
    <w:p>
      <w:pPr>
        <w:spacing w:after="0" w:line="183" w:lineRule="exact"/>
        <w:rPr>
          <w:sz w:val="20"/>
          <w:szCs w:val="20"/>
          <w:color w:val="auto"/>
        </w:rPr>
      </w:pPr>
    </w:p>
    <w:p>
      <w:pPr>
        <w:sectPr>
          <w:pgSz w:w="11900" w:h="16838" w:orient="portrait"/>
          <w:cols w:equalWidth="0" w:num="2">
            <w:col w:w="7620" w:space="720"/>
            <w:col w:w="2000"/>
          </w:cols>
          <w:pgMar w:left="240" w:top="124" w:right="1319" w:bottom="1440" w:gutter="0" w:footer="0" w:header="0"/>
          <w:type w:val="continuous"/>
        </w:sectPr>
      </w:pPr>
    </w:p>
    <w:p>
      <w:pPr>
        <w:jc w:val="center"/>
        <w:ind w:right="-1079"/>
        <w:spacing w:after="0"/>
        <w:rPr>
          <w:sz w:val="20"/>
          <w:szCs w:val="20"/>
          <w:color w:val="auto"/>
        </w:rPr>
      </w:pPr>
      <w:r>
        <w:rPr>
          <w:rFonts w:ascii="Arial" w:cs="Arial" w:eastAsia="Arial" w:hAnsi="Arial"/>
          <w:sz w:val="15"/>
          <w:szCs w:val="15"/>
          <w:b w:val="1"/>
          <w:bCs w:val="1"/>
          <w:color w:val="auto"/>
        </w:rPr>
        <w:t>Registrant’s telephone number, including area code (858) 848-8100</w:t>
      </w:r>
    </w:p>
    <w:p>
      <w:pPr>
        <w:spacing w:after="0" w:line="213" w:lineRule="exact"/>
        <w:rPr>
          <w:sz w:val="20"/>
          <w:szCs w:val="20"/>
          <w:color w:val="auto"/>
        </w:rPr>
      </w:pPr>
    </w:p>
    <w:p>
      <w:pPr>
        <w:ind w:left="5180"/>
        <w:spacing w:after="0"/>
        <w:rPr>
          <w:sz w:val="20"/>
          <w:szCs w:val="20"/>
          <w:color w:val="auto"/>
        </w:rPr>
      </w:pPr>
      <w:r>
        <w:rPr>
          <w:rFonts w:ascii="Arial" w:cs="Arial" w:eastAsia="Arial" w:hAnsi="Arial"/>
          <w:sz w:val="17"/>
          <w:szCs w:val="17"/>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72529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79"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386715</wp:posOffset>
            </wp:positionV>
            <wp:extent cx="725805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340"/>
          </w:cols>
          <w:pgMar w:left="240" w:top="124" w:right="1319" w:bottom="1440" w:gutter="0" w:footer="0" w:header="0"/>
          <w:type w:val="continuous"/>
        </w:sectPr>
      </w:pPr>
    </w:p>
    <w:bookmarkStart w:id="2" w:name="page3"/>
    <w:bookmarkEnd w:id="2"/>
    <w:p>
      <w:pPr>
        <w:jc w:val="right"/>
        <w:ind w:right="3399"/>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00" w:lineRule="exact"/>
        <w:rPr>
          <w:sz w:val="20"/>
          <w:szCs w:val="20"/>
          <w:color w:val="auto"/>
        </w:rPr>
      </w:pPr>
    </w:p>
    <w:p>
      <w:pPr>
        <w:spacing w:after="0"/>
        <w:rPr>
          <w:rFonts w:ascii="Arial" w:cs="Arial" w:eastAsia="Arial" w:hAnsi="Arial"/>
          <w:sz w:val="21"/>
          <w:szCs w:val="21"/>
          <w:u w:val="single" w:color="auto"/>
          <w:color w:val="0000EE"/>
        </w:rPr>
      </w:pPr>
      <w:hyperlink w:anchor="page5">
        <w:r>
          <w:rPr>
            <w:rFonts w:ascii="Arial" w:cs="Arial" w:eastAsia="Arial" w:hAnsi="Arial"/>
            <w:sz w:val="21"/>
            <w:szCs w:val="21"/>
            <w:u w:val="single" w:color="auto"/>
            <w:color w:val="0000EE"/>
          </w:rPr>
          <w:t>SIGNATURES</w:t>
        </w:r>
      </w:hyperlink>
    </w:p>
    <w:p>
      <w:pPr>
        <w:spacing w:after="0" w:line="237" w:lineRule="auto"/>
        <w:rPr>
          <w:rFonts w:ascii="Arial" w:cs="Arial" w:eastAsia="Arial" w:hAnsi="Arial"/>
          <w:sz w:val="21"/>
          <w:szCs w:val="21"/>
          <w:u w:val="single" w:color="auto"/>
          <w:color w:val="0000EE"/>
        </w:rPr>
      </w:pPr>
      <w:hyperlink w:anchor="page6">
        <w:r>
          <w:rPr>
            <w:rFonts w:ascii="Arial" w:cs="Arial" w:eastAsia="Arial" w:hAnsi="Arial"/>
            <w:sz w:val="21"/>
            <w:szCs w:val="21"/>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1"/>
          <w:szCs w:val="21"/>
          <w:u w:val="single" w:color="auto"/>
          <w:color w:val="0000EE"/>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123825</wp:posOffset>
            </wp:positionV>
            <wp:extent cx="725805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9639"/>
          </w:cols>
          <w:pgMar w:left="820" w:top="114" w:right="1440"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Financial Statements and Exhibits.</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 Exhibits.</w:t>
      </w:r>
    </w:p>
    <w:p>
      <w:pPr>
        <w:spacing w:after="0" w:line="373" w:lineRule="exact"/>
        <w:rPr>
          <w:sz w:val="20"/>
          <w:szCs w:val="20"/>
          <w:color w:val="auto"/>
        </w:rPr>
      </w:pPr>
    </w:p>
    <w:tbl>
      <w:tblPr>
        <w:tblLayout w:type="fixed"/>
        <w:tblInd w:w="860" w:type="dxa"/>
        <w:tblCellMar>
          <w:top w:w="0" w:type="dxa"/>
          <w:left w:w="0" w:type="dxa"/>
          <w:bottom w:w="0" w:type="dxa"/>
          <w:right w:w="0" w:type="dxa"/>
        </w:tblCellMar>
      </w:tblPr>
      <w:tr>
        <w:trPr>
          <w:trHeight w:val="178"/>
        </w:trPr>
        <w:tc>
          <w:tcPr>
            <w:tcW w:w="78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500" w:type="dxa"/>
            <w:vAlign w:val="bottom"/>
          </w:tcPr>
          <w:p>
            <w:pPr>
              <w:spacing w:after="0"/>
              <w:rPr>
                <w:sz w:val="15"/>
                <w:szCs w:val="15"/>
                <w:color w:val="auto"/>
              </w:rPr>
            </w:pPr>
          </w:p>
        </w:tc>
        <w:tc>
          <w:tcPr>
            <w:tcW w:w="8420" w:type="dxa"/>
            <w:vAlign w:val="bottom"/>
          </w:tcPr>
          <w:p>
            <w:pPr>
              <w:ind w:left="3880"/>
              <w:spacing w:after="0"/>
              <w:rPr>
                <w:sz w:val="20"/>
                <w:szCs w:val="20"/>
                <w:color w:val="auto"/>
              </w:rPr>
            </w:pPr>
            <w:r>
              <w:rPr>
                <w:rFonts w:ascii="Arial" w:cs="Arial" w:eastAsia="Arial" w:hAnsi="Arial"/>
                <w:sz w:val="14"/>
                <w:szCs w:val="14"/>
                <w:b w:val="1"/>
                <w:bCs w:val="1"/>
                <w:color w:val="auto"/>
              </w:rPr>
              <w:t>Description</w:t>
            </w:r>
          </w:p>
        </w:tc>
      </w:tr>
      <w:tr>
        <w:trPr>
          <w:trHeight w:val="50"/>
        </w:trPr>
        <w:tc>
          <w:tcPr>
            <w:tcW w:w="78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8420" w:type="dxa"/>
            <w:vAlign w:val="bottom"/>
            <w:tcBorders>
              <w:bottom w:val="single" w:sz="8" w:color="808080"/>
            </w:tcBorders>
          </w:tcPr>
          <w:p>
            <w:pPr>
              <w:spacing w:after="0"/>
              <w:rPr>
                <w:sz w:val="4"/>
                <w:szCs w:val="4"/>
                <w:color w:val="auto"/>
              </w:rPr>
            </w:pPr>
          </w:p>
        </w:tc>
      </w:tr>
      <w:tr>
        <w:trPr>
          <w:trHeight w:val="274"/>
        </w:trPr>
        <w:tc>
          <w:tcPr>
            <w:tcW w:w="780" w:type="dxa"/>
            <w:vAlign w:val="bottom"/>
          </w:tcPr>
          <w:p>
            <w:pPr>
              <w:spacing w:after="0"/>
              <w:rPr>
                <w:sz w:val="20"/>
                <w:szCs w:val="20"/>
                <w:color w:val="auto"/>
              </w:rPr>
            </w:pPr>
            <w:r>
              <w:rPr>
                <w:rFonts w:ascii="Arial" w:cs="Arial" w:eastAsia="Arial" w:hAnsi="Arial"/>
                <w:sz w:val="17"/>
                <w:szCs w:val="17"/>
                <w:color w:val="auto"/>
              </w:rPr>
              <w:t>99.1</w:t>
            </w:r>
          </w:p>
        </w:tc>
        <w:tc>
          <w:tcPr>
            <w:tcW w:w="8920" w:type="dxa"/>
            <w:vAlign w:val="bottom"/>
            <w:gridSpan w:val="2"/>
          </w:tcPr>
          <w:p>
            <w:pPr>
              <w:ind w:left="500"/>
              <w:spacing w:after="0"/>
              <w:rPr>
                <w:sz w:val="20"/>
                <w:szCs w:val="20"/>
                <w:color w:val="auto"/>
              </w:rPr>
            </w:pPr>
            <w:r>
              <w:rPr>
                <w:rFonts w:ascii="Arial" w:cs="Arial" w:eastAsia="Arial" w:hAnsi="Arial"/>
                <w:sz w:val="17"/>
                <w:szCs w:val="17"/>
                <w:color w:val="auto"/>
              </w:rPr>
              <w:t>Second Quarter 2004 Earnings Release, dated July 22, 2004, of Cohu, Inc.</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Results of Operations and Financial Condition.</w:t>
      </w:r>
    </w:p>
    <w:p>
      <w:pPr>
        <w:spacing w:after="0" w:line="196" w:lineRule="exact"/>
        <w:rPr>
          <w:sz w:val="20"/>
          <w:szCs w:val="20"/>
          <w:color w:val="auto"/>
        </w:rPr>
      </w:pPr>
    </w:p>
    <w:p>
      <w:pPr>
        <w:ind w:right="320" w:firstLine="214"/>
        <w:spacing w:after="0" w:line="278" w:lineRule="auto"/>
        <w:rPr>
          <w:sz w:val="20"/>
          <w:szCs w:val="20"/>
          <w:color w:val="auto"/>
        </w:rPr>
      </w:pPr>
      <w:r>
        <w:rPr>
          <w:rFonts w:ascii="Arial" w:cs="Arial" w:eastAsia="Arial" w:hAnsi="Arial"/>
          <w:sz w:val="17"/>
          <w:szCs w:val="17"/>
          <w:color w:val="auto"/>
        </w:rPr>
        <w:t>On July 22, 2004, Cohu, Inc. (the “Company”) issued a press release regarding its financial results for the quarter ended June 30, 2004. The Company’s press release is attached as Exhibit 99.1 to this Current Report on Form 8-K and incorporated by reference herein.</w:t>
      </w:r>
    </w:p>
    <w:p>
      <w:pPr>
        <w:spacing w:after="0" w:line="125" w:lineRule="exact"/>
        <w:rPr>
          <w:sz w:val="20"/>
          <w:szCs w:val="20"/>
          <w:color w:val="auto"/>
        </w:rPr>
      </w:pPr>
    </w:p>
    <w:p>
      <w:pPr>
        <w:ind w:firstLine="211"/>
        <w:spacing w:after="0" w:line="265" w:lineRule="auto"/>
        <w:rPr>
          <w:sz w:val="20"/>
          <w:szCs w:val="20"/>
          <w:color w:val="auto"/>
        </w:rPr>
      </w:pPr>
      <w:r>
        <w:rPr>
          <w:rFonts w:ascii="Arial" w:cs="Arial" w:eastAsia="Arial" w:hAnsi="Arial"/>
          <w:sz w:val="17"/>
          <w:szCs w:val="17"/>
          <w:color w:val="auto"/>
        </w:rPr>
        <w:t>The information in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725805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20"/>
          </w:cols>
          <w:pgMar w:left="240" w:top="406" w:right="33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jc w:val="center"/>
        <w:ind w:right="-559"/>
        <w:spacing w:after="0"/>
        <w:rPr>
          <w:sz w:val="20"/>
          <w:szCs w:val="20"/>
          <w:color w:val="auto"/>
        </w:rPr>
      </w:pPr>
      <w:r>
        <w:rPr>
          <w:rFonts w:ascii="Arial" w:cs="Arial" w:eastAsia="Arial" w:hAnsi="Arial"/>
          <w:sz w:val="17"/>
          <w:szCs w:val="17"/>
          <w:b w:val="1"/>
          <w:bCs w:val="1"/>
          <w:color w:val="auto"/>
        </w:rPr>
        <w:t>SIGNATURES</w:t>
      </w:r>
    </w:p>
    <w:p>
      <w:pPr>
        <w:spacing w:after="0" w:line="196" w:lineRule="exact"/>
        <w:rPr>
          <w:sz w:val="20"/>
          <w:szCs w:val="20"/>
          <w:color w:val="auto"/>
        </w:rPr>
      </w:pPr>
    </w:p>
    <w:p>
      <w:pPr>
        <w:ind w:firstLine="214"/>
        <w:spacing w:after="0" w:line="27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331"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COHU, INC.</w:t>
      </w:r>
    </w:p>
    <w:p>
      <w:pPr>
        <w:spacing w:after="0" w:line="216" w:lineRule="exact"/>
        <w:rPr>
          <w:sz w:val="20"/>
          <w:szCs w:val="20"/>
          <w:color w:val="auto"/>
        </w:rPr>
      </w:pPr>
    </w:p>
    <w:p>
      <w:pPr>
        <w:spacing w:after="0"/>
        <w:tabs>
          <w:tab w:leader="none" w:pos="6280" w:val="left"/>
          <w:tab w:leader="none" w:pos="6840" w:val="left"/>
        </w:tabs>
        <w:rPr>
          <w:sz w:val="20"/>
          <w:szCs w:val="20"/>
          <w:color w:val="auto"/>
        </w:rPr>
      </w:pPr>
      <w:r>
        <w:rPr>
          <w:rFonts w:ascii="Arial" w:cs="Arial" w:eastAsia="Arial" w:hAnsi="Arial"/>
          <w:sz w:val="17"/>
          <w:szCs w:val="17"/>
          <w:color w:val="auto"/>
        </w:rPr>
        <w:t>Dated: July 22, 2004</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22225</wp:posOffset>
            </wp:positionV>
            <wp:extent cx="289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96235" cy="8255"/>
                    </a:xfrm>
                    <a:prstGeom prst="rect">
                      <a:avLst/>
                    </a:prstGeom>
                    <a:noFill/>
                  </pic:spPr>
                </pic:pic>
              </a:graphicData>
            </a:graphic>
          </wp:anchor>
        </w:drawing>
      </w:r>
    </w:p>
    <w:p>
      <w:pPr>
        <w:spacing w:after="0" w:line="2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John H. Allen</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Vice President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372110</wp:posOffset>
            </wp:positionV>
            <wp:extent cx="725805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880"/>
          </w:cols>
          <w:pgMar w:left="240" w:top="406" w:right="77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180" w:type="dxa"/>
            <w:vAlign w:val="bottom"/>
          </w:tcPr>
          <w:p>
            <w:pPr>
              <w:ind w:left="3820"/>
              <w:spacing w:after="0"/>
              <w:rPr>
                <w:sz w:val="20"/>
                <w:szCs w:val="20"/>
                <w:color w:val="auto"/>
              </w:rPr>
            </w:pPr>
            <w:r>
              <w:rPr>
                <w:rFonts w:ascii="Arial" w:cs="Arial" w:eastAsia="Arial" w:hAnsi="Arial"/>
                <w:sz w:val="17"/>
                <w:szCs w:val="17"/>
                <w:b w:val="1"/>
                <w:bCs w:val="1"/>
                <w:color w:val="auto"/>
              </w:rPr>
              <w:t>EXHIBIT INDEX</w:t>
            </w:r>
          </w:p>
        </w:tc>
      </w:tr>
      <w:tr>
        <w:trPr>
          <w:trHeight w:val="542"/>
        </w:trPr>
        <w:tc>
          <w:tcPr>
            <w:tcW w:w="680" w:type="dxa"/>
            <w:vAlign w:val="bottom"/>
          </w:tcPr>
          <w:p>
            <w:pPr>
              <w:spacing w:after="0"/>
              <w:rPr>
                <w:sz w:val="20"/>
                <w:szCs w:val="20"/>
                <w:color w:val="auto"/>
              </w:rPr>
            </w:pPr>
            <w:r>
              <w:rPr>
                <w:rFonts w:ascii="Arial" w:cs="Arial" w:eastAsia="Arial" w:hAnsi="Arial"/>
                <w:sz w:val="14"/>
                <w:szCs w:val="14"/>
                <w:b w:val="1"/>
                <w:bCs w:val="1"/>
                <w:color w:val="auto"/>
                <w:w w:val="90"/>
              </w:rPr>
              <w:t>Exhibit No.</w:t>
            </w:r>
          </w:p>
        </w:tc>
        <w:tc>
          <w:tcPr>
            <w:tcW w:w="560" w:type="dxa"/>
            <w:vAlign w:val="bottom"/>
          </w:tcPr>
          <w:p>
            <w:pPr>
              <w:spacing w:after="0"/>
              <w:rPr>
                <w:sz w:val="24"/>
                <w:szCs w:val="24"/>
                <w:color w:val="auto"/>
              </w:rPr>
            </w:pPr>
          </w:p>
        </w:tc>
        <w:tc>
          <w:tcPr>
            <w:tcW w:w="10180" w:type="dxa"/>
            <w:vAlign w:val="bottom"/>
          </w:tcPr>
          <w:p>
            <w:pPr>
              <w:ind w:left="4760"/>
              <w:spacing w:after="0"/>
              <w:rPr>
                <w:sz w:val="20"/>
                <w:szCs w:val="20"/>
                <w:color w:val="auto"/>
              </w:rPr>
            </w:pPr>
            <w:r>
              <w:rPr>
                <w:rFonts w:ascii="Arial" w:cs="Arial" w:eastAsia="Arial" w:hAnsi="Arial"/>
                <w:sz w:val="14"/>
                <w:szCs w:val="14"/>
                <w:b w:val="1"/>
                <w:bCs w:val="1"/>
                <w:color w:val="auto"/>
              </w:rPr>
              <w:t>Description</w:t>
            </w:r>
          </w:p>
        </w:tc>
      </w:tr>
      <w:tr>
        <w:trPr>
          <w:trHeight w:val="50"/>
        </w:trPr>
        <w:tc>
          <w:tcPr>
            <w:tcW w:w="680" w:type="dxa"/>
            <w:vAlign w:val="bottom"/>
            <w:tcBorders>
              <w:bottom w:val="single" w:sz="8" w:color="808080"/>
            </w:tcBorders>
          </w:tcPr>
          <w:p>
            <w:pPr>
              <w:spacing w:after="0"/>
              <w:rPr>
                <w:sz w:val="4"/>
                <w:szCs w:val="4"/>
                <w:color w:val="auto"/>
              </w:rPr>
            </w:pPr>
          </w:p>
        </w:tc>
        <w:tc>
          <w:tcPr>
            <w:tcW w:w="560" w:type="dxa"/>
            <w:vAlign w:val="bottom"/>
          </w:tcPr>
          <w:p>
            <w:pPr>
              <w:spacing w:after="0"/>
              <w:rPr>
                <w:sz w:val="4"/>
                <w:szCs w:val="4"/>
                <w:color w:val="auto"/>
              </w:rPr>
            </w:pPr>
          </w:p>
        </w:tc>
        <w:tc>
          <w:tcPr>
            <w:tcW w:w="10180" w:type="dxa"/>
            <w:vAlign w:val="bottom"/>
            <w:tcBorders>
              <w:bottom w:val="single" w:sz="8" w:color="808080"/>
            </w:tcBorders>
          </w:tcPr>
          <w:p>
            <w:pPr>
              <w:spacing w:after="0"/>
              <w:rPr>
                <w:sz w:val="4"/>
                <w:szCs w:val="4"/>
                <w:color w:val="auto"/>
              </w:rPr>
            </w:pPr>
          </w:p>
        </w:tc>
      </w:tr>
      <w:tr>
        <w:trPr>
          <w:trHeight w:val="274"/>
        </w:trPr>
        <w:tc>
          <w:tcPr>
            <w:tcW w:w="680" w:type="dxa"/>
            <w:vAlign w:val="bottom"/>
          </w:tcPr>
          <w:p>
            <w:pPr>
              <w:spacing w:after="0"/>
              <w:rPr>
                <w:sz w:val="20"/>
                <w:szCs w:val="20"/>
                <w:color w:val="auto"/>
              </w:rPr>
            </w:pPr>
            <w:r>
              <w:rPr>
                <w:rFonts w:ascii="Arial" w:cs="Arial" w:eastAsia="Arial" w:hAnsi="Arial"/>
                <w:sz w:val="17"/>
                <w:szCs w:val="17"/>
                <w:color w:val="auto"/>
              </w:rPr>
              <w:t>99.1</w:t>
            </w:r>
          </w:p>
        </w:tc>
        <w:tc>
          <w:tcPr>
            <w:tcW w:w="10740" w:type="dxa"/>
            <w:vAlign w:val="bottom"/>
            <w:gridSpan w:val="2"/>
          </w:tcPr>
          <w:p>
            <w:pPr>
              <w:ind w:left="560"/>
              <w:spacing w:after="0"/>
              <w:rPr>
                <w:sz w:val="20"/>
                <w:szCs w:val="20"/>
                <w:color w:val="auto"/>
              </w:rPr>
            </w:pPr>
            <w:r>
              <w:rPr>
                <w:rFonts w:ascii="Arial" w:cs="Arial" w:eastAsia="Arial" w:hAnsi="Arial"/>
                <w:sz w:val="17"/>
                <w:szCs w:val="17"/>
                <w:color w:val="auto"/>
              </w:rPr>
              <w:t>Second Quarter 2004 Earnings Release, dated July 22, 2004, of Cohu, Inc.</w:t>
            </w:r>
          </w:p>
        </w:tc>
      </w:tr>
    </w:tbl>
    <w:p>
      <w:pPr>
        <w:sectPr>
          <w:pgSz w:w="11900" w:h="16838" w:orient="portrait"/>
          <w:cols w:equalWidth="0" w:num="1">
            <w:col w:w="11420"/>
          </w:cols>
          <w:pgMar w:left="240" w:top="406" w:right="239" w:bottom="1440" w:gutter="0" w:footer="0" w:header="0"/>
        </w:sectPr>
      </w:pPr>
    </w:p>
    <w:bookmarkStart w:id="6" w:name="page7"/>
    <w:bookmarkEnd w:id="6"/>
    <w:p>
      <w:pPr>
        <w:jc w:val="right"/>
        <w:ind w:right="2299"/>
        <w:spacing w:after="0"/>
        <w:rPr>
          <w:sz w:val="20"/>
          <w:szCs w:val="20"/>
          <w:color w:val="auto"/>
        </w:rPr>
      </w:pPr>
      <w:r>
        <w:rPr>
          <w:rFonts w:ascii="Courier New" w:cs="Courier New" w:eastAsia="Courier New" w:hAnsi="Courier New"/>
          <w:sz w:val="17"/>
          <w:szCs w:val="17"/>
          <w:color w:val="auto"/>
        </w:rPr>
        <w:t>EXHIBIT 99.1</w:t>
      </w:r>
    </w:p>
    <w:p>
      <w:pPr>
        <w:spacing w:after="0" w:line="386"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COHU REPORTS SECOND QUARTER 2004 OPERATING RESULTS</w:t>
      </w:r>
    </w:p>
    <w:p>
      <w:pPr>
        <w:spacing w:after="0" w:line="198"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POWAY, Calif., July 22, 2004 -- Cohu, Inc. (NASDAQ:COHU) today announced that sales were $47.3 million for the second quarter ended June 30, 2004 compared to $32.1 million for the second quarter of 2003 and $35.9 million for the first quarter of 2004. Net income for the second quarter of 2004 was $6.9 million, or $0.32 per share compared to net income of $4.1 million or $0.19 per share for the second quarter of 2003 and net income of $2.1 million or $0.10 per share for the first quarter of 2004. Included in the second quarter 2003 results were a $7.9 million gain related to the sale of land and a $2.5 million investment writedown.</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 sales for the first six months of 2004 were $83.3 million with net income</w:t>
      </w:r>
    </w:p>
    <w:p>
      <w:pPr>
        <w:spacing w:after="0"/>
        <w:rPr>
          <w:sz w:val="20"/>
          <w:szCs w:val="20"/>
          <w:color w:val="auto"/>
        </w:rPr>
      </w:pPr>
      <w:r>
        <w:rPr>
          <w:rFonts w:ascii="Courier New" w:cs="Courier New" w:eastAsia="Courier New" w:hAnsi="Courier New"/>
          <w:sz w:val="17"/>
          <w:szCs w:val="17"/>
          <w:color w:val="auto"/>
        </w:rPr>
        <w:t>of $9.0 million and net income per share of $0.41 compared to net sales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$63.2 million with net income of $2.7 million and net income per share of $0.13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the first six months of 2003.</w:t>
      </w:r>
    </w:p>
    <w:p>
      <w:pPr>
        <w:spacing w:after="0" w:line="198" w:lineRule="exact"/>
        <w:rPr>
          <w:sz w:val="20"/>
          <w:szCs w:val="20"/>
          <w:color w:val="auto"/>
        </w:rPr>
      </w:pPr>
    </w:p>
    <w:p>
      <w:pPr>
        <w:ind w:right="2399"/>
        <w:spacing w:after="0" w:line="256" w:lineRule="auto"/>
        <w:rPr>
          <w:sz w:val="20"/>
          <w:szCs w:val="20"/>
          <w:color w:val="auto"/>
        </w:rPr>
      </w:pPr>
      <w:r>
        <w:rPr>
          <w:rFonts w:ascii="Courier New" w:cs="Courier New" w:eastAsia="Courier New" w:hAnsi="Courier New"/>
          <w:sz w:val="16"/>
          <w:szCs w:val="16"/>
          <w:color w:val="auto"/>
        </w:rPr>
        <w:t>Orders for the second quarter of 2004 were $59.9 million compared to $58.2 million for the first quarter of 2004. Backlog was $72.4 million at June 30, 2004 compared to $59.8 million at March 31, 2004. Second quarter 2004 sales of semiconductor test handling equipment accounted for 83% of total sales. Sales of television cameras and related equipment were 11% of sales and metal detection and microwave communications equipment contributed 6% of sales.</w:t>
      </w:r>
    </w:p>
    <w:p>
      <w:pPr>
        <w:spacing w:after="0" w:line="189" w:lineRule="exact"/>
        <w:rPr>
          <w:sz w:val="20"/>
          <w:szCs w:val="20"/>
          <w:color w:val="auto"/>
        </w:rPr>
      </w:pPr>
    </w:p>
    <w:p>
      <w:pPr>
        <w:ind w:right="2499"/>
        <w:spacing w:after="0" w:line="239" w:lineRule="auto"/>
        <w:rPr>
          <w:sz w:val="20"/>
          <w:szCs w:val="20"/>
          <w:color w:val="auto"/>
        </w:rPr>
      </w:pPr>
      <w:r>
        <w:rPr>
          <w:rFonts w:ascii="Courier New" w:cs="Courier New" w:eastAsia="Courier New" w:hAnsi="Courier New"/>
          <w:sz w:val="17"/>
          <w:szCs w:val="17"/>
          <w:color w:val="auto"/>
        </w:rPr>
        <w:t>James A. Donahue, President and Chief Executive Officer, stated, "This was a great quarter for Cohu as sales increased 48% year over year and 32% sequentially. We are especially pleased with the significant improvement in operating income, resulting primarily from favorable product mix and improved gross margin in our IC test handling business. Orders were very strong as we saw demand increase across our semiconductor equipment product line, from a broader base of customers."</w:t>
      </w:r>
    </w:p>
    <w:p>
      <w:pPr>
        <w:spacing w:after="0" w:line="199"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Donahue concluded, "We are encouraged by the breadth of the recovery. The investments we've made in new product development, proprietary technologies and manufacturing infrastructure put us in an excellent position to benefit from improved business conditions. Our balance sheet remains strong, with cash of nearly $116 million and no debt."</w:t>
      </w:r>
    </w:p>
    <w:p>
      <w:pPr>
        <w:spacing w:after="0" w:line="202" w:lineRule="exact"/>
        <w:rPr>
          <w:sz w:val="20"/>
          <w:szCs w:val="20"/>
          <w:color w:val="auto"/>
        </w:rPr>
      </w:pPr>
    </w:p>
    <w:p>
      <w:pPr>
        <w:ind w:right="2299"/>
        <w:spacing w:after="0" w:line="237" w:lineRule="auto"/>
        <w:rPr>
          <w:sz w:val="20"/>
          <w:szCs w:val="20"/>
          <w:color w:val="auto"/>
        </w:rPr>
      </w:pPr>
      <w:r>
        <w:rPr>
          <w:rFonts w:ascii="Courier New" w:cs="Courier New" w:eastAsia="Courier New" w:hAnsi="Courier New"/>
          <w:sz w:val="17"/>
          <w:szCs w:val="17"/>
          <w:color w:val="auto"/>
        </w:rPr>
        <w:t>Cohu's Board of Directors approved a quarterly cash dividend of $0.05 per share payable on November 5, 2004 to shareholders of record on September 10, 2004. Cohu has paid consecutive quarterly cash dividends since 1977.</w:t>
      </w:r>
    </w:p>
    <w:p>
      <w:pPr>
        <w:spacing w:after="0" w:line="200" w:lineRule="exact"/>
        <w:rPr>
          <w:sz w:val="20"/>
          <w:szCs w:val="20"/>
          <w:color w:val="auto"/>
        </w:rPr>
      </w:pPr>
    </w:p>
    <w:p>
      <w:pPr>
        <w:ind w:right="2499"/>
        <w:spacing w:after="0" w:line="239" w:lineRule="auto"/>
        <w:rPr>
          <w:sz w:val="20"/>
          <w:szCs w:val="20"/>
          <w:color w:val="auto"/>
        </w:rPr>
      </w:pPr>
      <w:r>
        <w:rPr>
          <w:rFonts w:ascii="Courier New" w:cs="Courier New" w:eastAsia="Courier New" w:hAnsi="Courier New"/>
          <w:sz w:val="17"/>
          <w:szCs w:val="17"/>
          <w:color w:val="auto"/>
        </w:rPr>
        <w:t>Certain matters discussed in this release including statements concerning Cohu's expectations of industry conditions and 2004 operations are forward-looking statements that are subject to risks and uncertainties that could cause actual results to differ materially from those projected or forecasted. Such risks and uncertainties include, but are not limited to, the concentration of our revenues in a limited number of customers; intense competition in the semiconductor test handler industry; inventory write-offs; failure to obtain customer acceptance and recognize revenue; the cyclical and unpredictable nature of capital expenditures by semiconductor manufacturers; Cohu's ability to convert new products under development into production on a timely basis, support product development and meet customer delivery and acceptance requirements for next generation equipment; difficulties in integrating acquisitions and new technologies and other risks addressed in Cohu's filings with the Securities and Exchange Commission including the most recently filed Form 10-K and Form 10-Q. Cohu assumes no obligation to update the information in this release.</w:t>
      </w:r>
    </w:p>
    <w:p>
      <w:pPr>
        <w:spacing w:after="0" w:line="208" w:lineRule="exact"/>
        <w:rPr>
          <w:sz w:val="20"/>
          <w:szCs w:val="20"/>
          <w:color w:val="auto"/>
        </w:rPr>
      </w:pPr>
    </w:p>
    <w:p>
      <w:pPr>
        <w:ind w:right="2799"/>
        <w:spacing w:after="0" w:line="237" w:lineRule="auto"/>
        <w:rPr>
          <w:sz w:val="20"/>
          <w:szCs w:val="20"/>
          <w:color w:val="auto"/>
        </w:rPr>
      </w:pPr>
      <w:r>
        <w:rPr>
          <w:rFonts w:ascii="Courier New" w:cs="Courier New" w:eastAsia="Courier New" w:hAnsi="Courier New"/>
          <w:sz w:val="17"/>
          <w:szCs w:val="17"/>
          <w:color w:val="auto"/>
        </w:rPr>
        <w:t>Cohu is a leading supplier of test handling solutions used by the global semiconductor industry as well as a supplier of closed circuit television, metal detection and microwave communications equipment.</w:t>
      </w:r>
    </w:p>
    <w:p>
      <w:pPr>
        <w:spacing w:after="0" w:line="200" w:lineRule="exact"/>
        <w:rPr>
          <w:sz w:val="20"/>
          <w:szCs w:val="20"/>
          <w:color w:val="auto"/>
        </w:rPr>
      </w:pPr>
    </w:p>
    <w:p>
      <w:pPr>
        <w:jc w:val="both"/>
        <w:ind w:right="2599"/>
        <w:spacing w:after="0" w:line="237" w:lineRule="auto"/>
        <w:rPr>
          <w:sz w:val="20"/>
          <w:szCs w:val="20"/>
          <w:color w:val="auto"/>
        </w:rPr>
      </w:pPr>
      <w:r>
        <w:rPr>
          <w:rFonts w:ascii="Courier New" w:cs="Courier New" w:eastAsia="Courier New" w:hAnsi="Courier New"/>
          <w:sz w:val="17"/>
          <w:szCs w:val="17"/>
          <w:color w:val="auto"/>
        </w:rPr>
        <w:t>Cohu will be conducting their conference call on Thursday, July 22, 2004 at 2:00 p.m. Pacific Time. The call will be webcast at www.cohu.com. Replays of the call can be accessed at www.cohu.com.</w:t>
      </w:r>
    </w:p>
    <w:p>
      <w:pPr>
        <w:sectPr>
          <w:pgSz w:w="11900" w:h="16838" w:orient="portrait"/>
          <w:cols w:equalWidth="0" w:num="1">
            <w:col w:w="10219"/>
          </w:cols>
          <w:pgMar w:left="240" w:top="329" w:right="1440" w:bottom="1440" w:gutter="0" w:footer="0" w:header="0"/>
        </w:sectPr>
      </w:pPr>
    </w:p>
    <w:bookmarkStart w:id="7" w:name="page8"/>
    <w:bookmarkEnd w:id="7"/>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COHU, INC.</w:t>
      </w:r>
    </w:p>
    <w:p>
      <w:pPr>
        <w:spacing w:after="0"/>
        <w:rPr>
          <w:sz w:val="20"/>
          <w:szCs w:val="20"/>
          <w:color w:val="auto"/>
        </w:rPr>
      </w:pPr>
      <w:r>
        <w:rPr>
          <w:rFonts w:ascii="Courier New" w:cs="Courier New" w:eastAsia="Courier New" w:hAnsi="Courier New"/>
          <w:sz w:val="17"/>
          <w:szCs w:val="17"/>
          <w:color w:val="auto"/>
        </w:rPr>
        <w:t>CONDENSED CONSOLIDATED STATEMENTS OF INCOME</w:t>
      </w:r>
    </w:p>
    <w:p>
      <w:pPr>
        <w:spacing w:after="0"/>
        <w:rPr>
          <w:sz w:val="20"/>
          <w:szCs w:val="20"/>
          <w:color w:val="auto"/>
        </w:rPr>
      </w:pPr>
      <w:r>
        <w:rPr>
          <w:rFonts w:ascii="Courier New" w:cs="Courier New" w:eastAsia="Courier New" w:hAnsi="Courier New"/>
          <w:sz w:val="17"/>
          <w:szCs w:val="17"/>
          <w:color w:val="auto"/>
        </w:rPr>
        <w:t>(in thousands,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60" w:type="dxa"/>
            <w:vAlign w:val="bottom"/>
            <w:gridSpan w:val="3"/>
          </w:tcPr>
          <w:p>
            <w:pPr>
              <w:jc w:val="center"/>
              <w:ind w:right="256"/>
              <w:spacing w:after="0"/>
              <w:rPr>
                <w:sz w:val="20"/>
                <w:szCs w:val="20"/>
                <w:color w:val="auto"/>
              </w:rPr>
            </w:pPr>
            <w:r>
              <w:rPr>
                <w:rFonts w:ascii="Courier New" w:cs="Courier New" w:eastAsia="Courier New" w:hAnsi="Courier New"/>
                <w:sz w:val="17"/>
                <w:szCs w:val="17"/>
                <w:color w:val="auto"/>
                <w:w w:val="98"/>
              </w:rPr>
              <w:t>THREE MONTHS ENDED</w:t>
            </w:r>
          </w:p>
        </w:tc>
        <w:tc>
          <w:tcPr>
            <w:tcW w:w="1200" w:type="dxa"/>
            <w:vAlign w:val="bottom"/>
          </w:tcPr>
          <w:p>
            <w:pPr>
              <w:spacing w:after="0"/>
              <w:rPr>
                <w:sz w:val="16"/>
                <w:szCs w:val="16"/>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SIX MONTHS ENDED</w:t>
            </w:r>
          </w:p>
        </w:tc>
        <w:tc>
          <w:tcPr>
            <w:tcW w:w="740" w:type="dxa"/>
            <w:vAlign w:val="bottom"/>
          </w:tcPr>
          <w:p>
            <w:pPr>
              <w:spacing w:after="0"/>
              <w:rPr>
                <w:sz w:val="16"/>
                <w:szCs w:val="16"/>
                <w:color w:val="auto"/>
              </w:rPr>
            </w:pPr>
          </w:p>
        </w:tc>
      </w:tr>
      <w:tr>
        <w:trPr>
          <w:trHeight w:val="193"/>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JUNE 30,</w:t>
            </w:r>
          </w:p>
        </w:tc>
        <w:tc>
          <w:tcPr>
            <w:tcW w:w="6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5"/>
              </w:rPr>
              <w:t>JUNE 30,</w:t>
            </w:r>
          </w:p>
        </w:tc>
        <w:tc>
          <w:tcPr>
            <w:tcW w:w="740" w:type="dxa"/>
            <w:vAlign w:val="bottom"/>
          </w:tcPr>
          <w:p>
            <w:pPr>
              <w:spacing w:after="0"/>
              <w:rPr>
                <w:sz w:val="16"/>
                <w:szCs w:val="16"/>
                <w:color w:val="auto"/>
              </w:rPr>
            </w:pPr>
          </w:p>
        </w:tc>
      </w:tr>
      <w:tr>
        <w:trPr>
          <w:trHeight w:val="193"/>
        </w:trPr>
        <w:tc>
          <w:tcPr>
            <w:tcW w:w="4920" w:type="dxa"/>
            <w:vAlign w:val="bottom"/>
          </w:tcPr>
          <w:p>
            <w:pPr>
              <w:spacing w:after="0"/>
              <w:rPr>
                <w:sz w:val="16"/>
                <w:szCs w:val="16"/>
                <w:color w:val="auto"/>
              </w:rPr>
            </w:pPr>
          </w:p>
        </w:tc>
        <w:tc>
          <w:tcPr>
            <w:tcW w:w="28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c>
          <w:tcPr>
            <w:tcW w:w="3800" w:type="dxa"/>
            <w:vAlign w:val="bottom"/>
            <w:gridSpan w:val="4"/>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2004</w:t>
            </w:r>
          </w:p>
        </w:tc>
        <w:tc>
          <w:tcPr>
            <w:tcW w:w="1140" w:type="dxa"/>
            <w:vAlign w:val="bottom"/>
          </w:tcPr>
          <w:p>
            <w:pPr>
              <w:spacing w:after="0"/>
              <w:rPr>
                <w:sz w:val="16"/>
                <w:szCs w:val="16"/>
                <w:color w:val="auto"/>
              </w:rPr>
            </w:pPr>
          </w:p>
        </w:tc>
        <w:tc>
          <w:tcPr>
            <w:tcW w:w="6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2003</w:t>
            </w:r>
          </w:p>
        </w:tc>
        <w:tc>
          <w:tcPr>
            <w:tcW w:w="1200" w:type="dxa"/>
            <w:vAlign w:val="bottom"/>
          </w:tcPr>
          <w:p>
            <w:pPr>
              <w:spacing w:after="0"/>
              <w:rPr>
                <w:sz w:val="16"/>
                <w:szCs w:val="16"/>
                <w:color w:val="auto"/>
              </w:rPr>
            </w:pPr>
          </w:p>
        </w:tc>
        <w:tc>
          <w:tcPr>
            <w:tcW w:w="7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3"/>
              </w:rPr>
              <w:t>2004</w:t>
            </w:r>
          </w:p>
        </w:tc>
        <w:tc>
          <w:tcPr>
            <w:tcW w:w="1160" w:type="dxa"/>
            <w:vAlign w:val="bottom"/>
          </w:tcPr>
          <w:p>
            <w:pPr>
              <w:spacing w:after="0"/>
              <w:rPr>
                <w:sz w:val="16"/>
                <w:szCs w:val="16"/>
                <w:color w:val="auto"/>
              </w:rPr>
            </w:pPr>
          </w:p>
        </w:tc>
        <w:tc>
          <w:tcPr>
            <w:tcW w:w="7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2003</w:t>
            </w:r>
          </w:p>
        </w:tc>
      </w:tr>
      <w:tr>
        <w:trPr>
          <w:trHeight w:val="193"/>
        </w:trPr>
        <w:tc>
          <w:tcPr>
            <w:tcW w:w="492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578"/>
        </w:trPr>
        <w:tc>
          <w:tcPr>
            <w:tcW w:w="492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1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$ 47,337</w:t>
            </w:r>
          </w:p>
        </w:tc>
        <w:tc>
          <w:tcPr>
            <w:tcW w:w="18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$ 32,084</w:t>
            </w:r>
          </w:p>
        </w:tc>
        <w:tc>
          <w:tcPr>
            <w:tcW w:w="1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$ 83,276</w:t>
            </w:r>
          </w:p>
        </w:tc>
        <w:tc>
          <w:tcPr>
            <w:tcW w:w="19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$ 63,163</w:t>
            </w:r>
          </w:p>
        </w:tc>
      </w:tr>
      <w:tr>
        <w:trPr>
          <w:trHeight w:val="193"/>
        </w:trPr>
        <w:tc>
          <w:tcPr>
            <w:tcW w:w="4920" w:type="dxa"/>
            <w:vAlign w:val="bottom"/>
          </w:tcPr>
          <w:p>
            <w:pPr>
              <w:spacing w:after="0"/>
              <w:rPr>
                <w:sz w:val="20"/>
                <w:szCs w:val="20"/>
                <w:color w:val="auto"/>
              </w:rPr>
            </w:pPr>
            <w:r>
              <w:rPr>
                <w:rFonts w:ascii="Courier New" w:cs="Courier New" w:eastAsia="Courier New" w:hAnsi="Courier New"/>
                <w:sz w:val="17"/>
                <w:szCs w:val="17"/>
                <w:color w:val="auto"/>
              </w:rPr>
              <w:t>Cost and expenses:</w:t>
            </w: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4920" w:type="dxa"/>
            <w:vAlign w:val="bottom"/>
          </w:tcPr>
          <w:p>
            <w:pPr>
              <w:ind w:left="100"/>
              <w:spacing w:after="0"/>
              <w:rPr>
                <w:sz w:val="20"/>
                <w:szCs w:val="20"/>
                <w:color w:val="auto"/>
              </w:rPr>
            </w:pPr>
            <w:r>
              <w:rPr>
                <w:rFonts w:ascii="Courier New" w:cs="Courier New" w:eastAsia="Courier New" w:hAnsi="Courier New"/>
                <w:sz w:val="17"/>
                <w:szCs w:val="17"/>
                <w:color w:val="auto"/>
              </w:rPr>
              <w:t>Cost of sales</w:t>
            </w: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26,425</w:t>
            </w:r>
          </w:p>
        </w:tc>
        <w:tc>
          <w:tcPr>
            <w:tcW w:w="1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21,109</w:t>
            </w:r>
          </w:p>
        </w:tc>
        <w:tc>
          <w:tcPr>
            <w:tcW w:w="1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47,442</w:t>
            </w:r>
          </w:p>
        </w:tc>
        <w:tc>
          <w:tcPr>
            <w:tcW w:w="1160" w:type="dxa"/>
            <w:vAlign w:val="bottom"/>
          </w:tcPr>
          <w:p>
            <w:pPr>
              <w:spacing w:after="0"/>
              <w:rPr>
                <w:sz w:val="16"/>
                <w:szCs w:val="16"/>
                <w:color w:val="auto"/>
              </w:rPr>
            </w:pP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41,805</w:t>
            </w:r>
          </w:p>
        </w:tc>
      </w:tr>
      <w:tr>
        <w:trPr>
          <w:trHeight w:val="193"/>
        </w:trPr>
        <w:tc>
          <w:tcPr>
            <w:tcW w:w="4920" w:type="dxa"/>
            <w:vAlign w:val="bottom"/>
          </w:tcPr>
          <w:p>
            <w:pPr>
              <w:ind w:left="100"/>
              <w:spacing w:after="0"/>
              <w:rPr>
                <w:sz w:val="20"/>
                <w:szCs w:val="20"/>
                <w:color w:val="auto"/>
              </w:rPr>
            </w:pPr>
            <w:r>
              <w:rPr>
                <w:rFonts w:ascii="Courier New" w:cs="Courier New" w:eastAsia="Courier New" w:hAnsi="Courier New"/>
                <w:sz w:val="17"/>
                <w:szCs w:val="17"/>
                <w:color w:val="auto"/>
              </w:rPr>
              <w:t>Research and development</w:t>
            </w: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6,576</w:t>
            </w:r>
          </w:p>
        </w:tc>
        <w:tc>
          <w:tcPr>
            <w:tcW w:w="1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5,556</w:t>
            </w:r>
          </w:p>
        </w:tc>
        <w:tc>
          <w:tcPr>
            <w:tcW w:w="1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12,760</w:t>
            </w:r>
          </w:p>
        </w:tc>
        <w:tc>
          <w:tcPr>
            <w:tcW w:w="1160" w:type="dxa"/>
            <w:vAlign w:val="bottom"/>
          </w:tcPr>
          <w:p>
            <w:pPr>
              <w:spacing w:after="0"/>
              <w:rPr>
                <w:sz w:val="16"/>
                <w:szCs w:val="16"/>
                <w:color w:val="auto"/>
              </w:rPr>
            </w:pP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12,494</w:t>
            </w:r>
          </w:p>
        </w:tc>
      </w:tr>
      <w:tr>
        <w:trPr>
          <w:trHeight w:val="193"/>
        </w:trPr>
        <w:tc>
          <w:tcPr>
            <w:tcW w:w="4920" w:type="dxa"/>
            <w:vAlign w:val="bottom"/>
          </w:tcPr>
          <w:p>
            <w:pPr>
              <w:ind w:left="100"/>
              <w:spacing w:after="0"/>
              <w:rPr>
                <w:sz w:val="20"/>
                <w:szCs w:val="20"/>
                <w:color w:val="auto"/>
              </w:rPr>
            </w:pPr>
            <w:r>
              <w:rPr>
                <w:rFonts w:ascii="Courier New" w:cs="Courier New" w:eastAsia="Courier New" w:hAnsi="Courier New"/>
                <w:sz w:val="17"/>
                <w:szCs w:val="17"/>
                <w:color w:val="auto"/>
              </w:rPr>
              <w:t>Selling, general and administrative</w:t>
            </w: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7,230</w:t>
            </w:r>
          </w:p>
        </w:tc>
        <w:tc>
          <w:tcPr>
            <w:tcW w:w="1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6,028</w:t>
            </w:r>
          </w:p>
        </w:tc>
        <w:tc>
          <w:tcPr>
            <w:tcW w:w="1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14,090</w:t>
            </w:r>
          </w:p>
        </w:tc>
        <w:tc>
          <w:tcPr>
            <w:tcW w:w="1160" w:type="dxa"/>
            <w:vAlign w:val="bottom"/>
          </w:tcPr>
          <w:p>
            <w:pPr>
              <w:spacing w:after="0"/>
              <w:rPr>
                <w:sz w:val="16"/>
                <w:szCs w:val="16"/>
                <w:color w:val="auto"/>
              </w:rPr>
            </w:pP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11,943</w:t>
            </w:r>
          </w:p>
        </w:tc>
      </w:tr>
      <w:tr>
        <w:trPr>
          <w:trHeight w:val="193"/>
        </w:trPr>
        <w:tc>
          <w:tcPr>
            <w:tcW w:w="492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40,231</w:t>
            </w:r>
          </w:p>
        </w:tc>
        <w:tc>
          <w:tcPr>
            <w:tcW w:w="1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32,693</w:t>
            </w:r>
          </w:p>
        </w:tc>
        <w:tc>
          <w:tcPr>
            <w:tcW w:w="1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74,292</w:t>
            </w:r>
          </w:p>
        </w:tc>
        <w:tc>
          <w:tcPr>
            <w:tcW w:w="1160" w:type="dxa"/>
            <w:vAlign w:val="bottom"/>
          </w:tcPr>
          <w:p>
            <w:pPr>
              <w:spacing w:after="0"/>
              <w:rPr>
                <w:sz w:val="16"/>
                <w:szCs w:val="16"/>
                <w:color w:val="auto"/>
              </w:rPr>
            </w:pP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66,242</w:t>
            </w:r>
          </w:p>
        </w:tc>
      </w:tr>
      <w:tr>
        <w:trPr>
          <w:trHeight w:val="193"/>
        </w:trPr>
        <w:tc>
          <w:tcPr>
            <w:tcW w:w="492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920" w:type="dxa"/>
            <w:vAlign w:val="bottom"/>
          </w:tcPr>
          <w:p>
            <w:pPr>
              <w:spacing w:after="0"/>
              <w:rPr>
                <w:sz w:val="20"/>
                <w:szCs w:val="20"/>
                <w:color w:val="auto"/>
              </w:rPr>
            </w:pPr>
            <w:r>
              <w:rPr>
                <w:rFonts w:ascii="Courier New" w:cs="Courier New" w:eastAsia="Courier New" w:hAnsi="Courier New"/>
                <w:sz w:val="17"/>
                <w:szCs w:val="17"/>
                <w:color w:val="auto"/>
              </w:rPr>
              <w:t>Income (loss) from operations</w:t>
            </w: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7,106</w:t>
            </w:r>
          </w:p>
        </w:tc>
        <w:tc>
          <w:tcPr>
            <w:tcW w:w="1140" w:type="dxa"/>
            <w:vAlign w:val="bottom"/>
          </w:tcPr>
          <w:p>
            <w:pPr>
              <w:spacing w:after="0"/>
              <w:rPr>
                <w:sz w:val="16"/>
                <w:szCs w:val="16"/>
                <w:color w:val="auto"/>
              </w:rPr>
            </w:pPr>
          </w:p>
        </w:tc>
        <w:tc>
          <w:tcPr>
            <w:tcW w:w="1860" w:type="dxa"/>
            <w:vAlign w:val="bottom"/>
            <w:gridSpan w:val="2"/>
          </w:tcPr>
          <w:p>
            <w:pPr>
              <w:jc w:val="right"/>
              <w:ind w:right="1016"/>
              <w:spacing w:after="0"/>
              <w:rPr>
                <w:sz w:val="20"/>
                <w:szCs w:val="20"/>
                <w:color w:val="auto"/>
              </w:rPr>
            </w:pPr>
            <w:r>
              <w:rPr>
                <w:rFonts w:ascii="Courier New" w:cs="Courier New" w:eastAsia="Courier New" w:hAnsi="Courier New"/>
                <w:sz w:val="17"/>
                <w:szCs w:val="17"/>
                <w:color w:val="auto"/>
              </w:rPr>
              <w:t>(609)</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8,984</w:t>
            </w:r>
          </w:p>
        </w:tc>
        <w:tc>
          <w:tcPr>
            <w:tcW w:w="1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(3,079)</w:t>
            </w:r>
          </w:p>
        </w:tc>
      </w:tr>
      <w:tr>
        <w:trPr>
          <w:trHeight w:val="193"/>
        </w:trPr>
        <w:tc>
          <w:tcPr>
            <w:tcW w:w="4920" w:type="dxa"/>
            <w:vAlign w:val="bottom"/>
          </w:tcPr>
          <w:p>
            <w:pPr>
              <w:spacing w:after="0"/>
              <w:rPr>
                <w:sz w:val="20"/>
                <w:szCs w:val="20"/>
                <w:color w:val="auto"/>
              </w:rPr>
            </w:pPr>
            <w:r>
              <w:rPr>
                <w:rFonts w:ascii="Courier New" w:cs="Courier New" w:eastAsia="Courier New" w:hAnsi="Courier New"/>
                <w:sz w:val="17"/>
                <w:szCs w:val="17"/>
                <w:color w:val="auto"/>
              </w:rPr>
              <w:t>Gain from sale of land</w:t>
            </w: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7,873</w:t>
            </w:r>
          </w:p>
        </w:tc>
        <w:tc>
          <w:tcPr>
            <w:tcW w:w="1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spacing w:after="0"/>
              <w:rPr>
                <w:sz w:val="16"/>
                <w:szCs w:val="16"/>
                <w:color w:val="auto"/>
              </w:rPr>
            </w:pP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7,873</w:t>
            </w:r>
          </w:p>
        </w:tc>
      </w:tr>
      <w:tr>
        <w:trPr>
          <w:trHeight w:val="193"/>
        </w:trPr>
        <w:tc>
          <w:tcPr>
            <w:tcW w:w="4920" w:type="dxa"/>
            <w:vAlign w:val="bottom"/>
          </w:tcPr>
          <w:p>
            <w:pPr>
              <w:spacing w:after="0"/>
              <w:rPr>
                <w:sz w:val="20"/>
                <w:szCs w:val="20"/>
                <w:color w:val="auto"/>
              </w:rPr>
            </w:pPr>
            <w:r>
              <w:rPr>
                <w:rFonts w:ascii="Courier New" w:cs="Courier New" w:eastAsia="Courier New" w:hAnsi="Courier New"/>
                <w:sz w:val="17"/>
                <w:szCs w:val="17"/>
                <w:color w:val="auto"/>
              </w:rPr>
              <w:t>Investment impairment writedown</w:t>
            </w: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spacing w:after="0"/>
              <w:rPr>
                <w:sz w:val="16"/>
                <w:szCs w:val="16"/>
                <w:color w:val="auto"/>
              </w:rPr>
            </w:pPr>
          </w:p>
        </w:tc>
        <w:tc>
          <w:tcPr>
            <w:tcW w:w="1860" w:type="dxa"/>
            <w:vAlign w:val="bottom"/>
            <w:gridSpan w:val="2"/>
          </w:tcPr>
          <w:p>
            <w:pPr>
              <w:jc w:val="right"/>
              <w:ind w:right="1016"/>
              <w:spacing w:after="0"/>
              <w:rPr>
                <w:sz w:val="20"/>
                <w:szCs w:val="20"/>
                <w:color w:val="auto"/>
              </w:rPr>
            </w:pPr>
            <w:r>
              <w:rPr>
                <w:rFonts w:ascii="Courier New" w:cs="Courier New" w:eastAsia="Courier New" w:hAnsi="Courier New"/>
                <w:sz w:val="17"/>
                <w:szCs w:val="17"/>
                <w:color w:val="auto"/>
              </w:rPr>
              <w:t>(2,500)</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(2,500)</w:t>
            </w:r>
          </w:p>
        </w:tc>
      </w:tr>
      <w:tr>
        <w:trPr>
          <w:trHeight w:val="193"/>
        </w:trPr>
        <w:tc>
          <w:tcPr>
            <w:tcW w:w="4920" w:type="dxa"/>
            <w:vAlign w:val="bottom"/>
          </w:tcPr>
          <w:p>
            <w:pPr>
              <w:spacing w:after="0"/>
              <w:rPr>
                <w:sz w:val="20"/>
                <w:szCs w:val="20"/>
                <w:color w:val="auto"/>
              </w:rPr>
            </w:pPr>
            <w:r>
              <w:rPr>
                <w:rFonts w:ascii="Courier New" w:cs="Courier New" w:eastAsia="Courier New" w:hAnsi="Courier New"/>
                <w:sz w:val="17"/>
                <w:szCs w:val="17"/>
                <w:color w:val="auto"/>
              </w:rPr>
              <w:t>Interest income</w:t>
            </w: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336</w:t>
            </w:r>
          </w:p>
        </w:tc>
        <w:tc>
          <w:tcPr>
            <w:tcW w:w="1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442</w:t>
            </w:r>
          </w:p>
        </w:tc>
        <w:tc>
          <w:tcPr>
            <w:tcW w:w="1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956</w:t>
            </w:r>
          </w:p>
        </w:tc>
        <w:tc>
          <w:tcPr>
            <w:tcW w:w="1160" w:type="dxa"/>
            <w:vAlign w:val="bottom"/>
          </w:tcPr>
          <w:p>
            <w:pPr>
              <w:spacing w:after="0"/>
              <w:rPr>
                <w:sz w:val="16"/>
                <w:szCs w:val="16"/>
                <w:color w:val="auto"/>
              </w:rPr>
            </w:pP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1,142</w:t>
            </w:r>
          </w:p>
        </w:tc>
      </w:tr>
      <w:tr>
        <w:trPr>
          <w:trHeight w:val="193"/>
        </w:trPr>
        <w:tc>
          <w:tcPr>
            <w:tcW w:w="492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920" w:type="dxa"/>
            <w:vAlign w:val="bottom"/>
          </w:tcPr>
          <w:p>
            <w:pPr>
              <w:spacing w:after="0"/>
              <w:rPr>
                <w:sz w:val="20"/>
                <w:szCs w:val="20"/>
                <w:color w:val="auto"/>
              </w:rPr>
            </w:pPr>
            <w:r>
              <w:rPr>
                <w:rFonts w:ascii="Courier New" w:cs="Courier New" w:eastAsia="Courier New" w:hAnsi="Courier New"/>
                <w:sz w:val="17"/>
                <w:szCs w:val="17"/>
                <w:color w:val="auto"/>
              </w:rPr>
              <w:t>Income before income taxes</w:t>
            </w: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7,442</w:t>
            </w:r>
          </w:p>
        </w:tc>
        <w:tc>
          <w:tcPr>
            <w:tcW w:w="1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5,206</w:t>
            </w:r>
          </w:p>
        </w:tc>
        <w:tc>
          <w:tcPr>
            <w:tcW w:w="1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9,940</w:t>
            </w:r>
          </w:p>
        </w:tc>
        <w:tc>
          <w:tcPr>
            <w:tcW w:w="1160" w:type="dxa"/>
            <w:vAlign w:val="bottom"/>
          </w:tcPr>
          <w:p>
            <w:pPr>
              <w:spacing w:after="0"/>
              <w:rPr>
                <w:sz w:val="16"/>
                <w:szCs w:val="16"/>
                <w:color w:val="auto"/>
              </w:rPr>
            </w:pP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3,436</w:t>
            </w:r>
          </w:p>
        </w:tc>
      </w:tr>
      <w:tr>
        <w:trPr>
          <w:trHeight w:val="193"/>
        </w:trPr>
        <w:tc>
          <w:tcPr>
            <w:tcW w:w="4920" w:type="dxa"/>
            <w:vAlign w:val="bottom"/>
          </w:tcPr>
          <w:p>
            <w:pPr>
              <w:spacing w:after="0"/>
              <w:rPr>
                <w:sz w:val="20"/>
                <w:szCs w:val="20"/>
                <w:color w:val="auto"/>
              </w:rPr>
            </w:pPr>
            <w:r>
              <w:rPr>
                <w:rFonts w:ascii="Courier New" w:cs="Courier New" w:eastAsia="Courier New" w:hAnsi="Courier New"/>
                <w:sz w:val="17"/>
                <w:szCs w:val="17"/>
                <w:color w:val="auto"/>
              </w:rPr>
              <w:t>Income tax provision</w:t>
            </w: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500</w:t>
            </w:r>
          </w:p>
        </w:tc>
        <w:tc>
          <w:tcPr>
            <w:tcW w:w="1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1,100</w:t>
            </w:r>
          </w:p>
        </w:tc>
        <w:tc>
          <w:tcPr>
            <w:tcW w:w="1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900</w:t>
            </w:r>
          </w:p>
        </w:tc>
        <w:tc>
          <w:tcPr>
            <w:tcW w:w="1160" w:type="dxa"/>
            <w:vAlign w:val="bottom"/>
          </w:tcPr>
          <w:p>
            <w:pPr>
              <w:spacing w:after="0"/>
              <w:rPr>
                <w:sz w:val="16"/>
                <w:szCs w:val="16"/>
                <w:color w:val="auto"/>
              </w:rPr>
            </w:pP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700</w:t>
            </w:r>
          </w:p>
        </w:tc>
      </w:tr>
      <w:tr>
        <w:trPr>
          <w:trHeight w:val="193"/>
        </w:trPr>
        <w:tc>
          <w:tcPr>
            <w:tcW w:w="492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92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6,942</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4,106</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9,040</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2,736</w:t>
            </w:r>
          </w:p>
        </w:tc>
      </w:tr>
      <w:tr>
        <w:trPr>
          <w:trHeight w:val="193"/>
        </w:trPr>
        <w:tc>
          <w:tcPr>
            <w:tcW w:w="492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920" w:type="dxa"/>
            <w:vAlign w:val="bottom"/>
          </w:tcPr>
          <w:p>
            <w:pPr>
              <w:spacing w:after="0"/>
              <w:rPr>
                <w:sz w:val="20"/>
                <w:szCs w:val="20"/>
                <w:color w:val="auto"/>
              </w:rPr>
            </w:pPr>
            <w:r>
              <w:rPr>
                <w:rFonts w:ascii="Courier New" w:cs="Courier New" w:eastAsia="Courier New" w:hAnsi="Courier New"/>
                <w:sz w:val="17"/>
                <w:szCs w:val="17"/>
                <w:color w:val="auto"/>
              </w:rPr>
              <w:t>Income per share:</w:t>
            </w: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4920" w:type="dxa"/>
            <w:vAlign w:val="bottom"/>
          </w:tcPr>
          <w:p>
            <w:pPr>
              <w:ind w:left="200"/>
              <w:spacing w:after="0"/>
              <w:rPr>
                <w:sz w:val="20"/>
                <w:szCs w:val="20"/>
                <w:color w:val="auto"/>
              </w:rPr>
            </w:pPr>
            <w:r>
              <w:rPr>
                <w:rFonts w:ascii="Courier New" w:cs="Courier New" w:eastAsia="Courier New" w:hAnsi="Courier New"/>
                <w:sz w:val="17"/>
                <w:szCs w:val="17"/>
                <w:color w:val="auto"/>
              </w:rPr>
              <w:t>Basic</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0.32</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0.19</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0.42</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0.13</w:t>
            </w:r>
          </w:p>
        </w:tc>
      </w:tr>
      <w:tr>
        <w:trPr>
          <w:trHeight w:val="193"/>
        </w:trPr>
        <w:tc>
          <w:tcPr>
            <w:tcW w:w="4920" w:type="dxa"/>
            <w:vAlign w:val="bottom"/>
          </w:tcPr>
          <w:p>
            <w:pPr>
              <w:ind w:left="200"/>
              <w:spacing w:after="0"/>
              <w:rPr>
                <w:sz w:val="20"/>
                <w:szCs w:val="20"/>
                <w:color w:val="auto"/>
              </w:rPr>
            </w:pPr>
            <w:r>
              <w:rPr>
                <w:rFonts w:ascii="Courier New" w:cs="Courier New" w:eastAsia="Courier New" w:hAnsi="Courier New"/>
                <w:sz w:val="17"/>
                <w:szCs w:val="17"/>
                <w:color w:val="auto"/>
              </w:rPr>
              <w:t>Diluted</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0.32</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0.19</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0.41</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0.13</w:t>
            </w:r>
          </w:p>
        </w:tc>
      </w:tr>
      <w:tr>
        <w:trPr>
          <w:trHeight w:val="193"/>
        </w:trPr>
        <w:tc>
          <w:tcPr>
            <w:tcW w:w="4920" w:type="dxa"/>
            <w:vAlign w:val="bottom"/>
          </w:tcPr>
          <w:p>
            <w:pPr>
              <w:spacing w:after="0"/>
              <w:rPr>
                <w:sz w:val="20"/>
                <w:szCs w:val="20"/>
                <w:color w:val="auto"/>
              </w:rPr>
            </w:pPr>
            <w:r>
              <w:rPr>
                <w:rFonts w:ascii="Courier New" w:cs="Courier New" w:eastAsia="Courier New" w:hAnsi="Courier New"/>
                <w:sz w:val="17"/>
                <w:szCs w:val="17"/>
                <w:color w:val="auto"/>
              </w:rPr>
              <w:t>Weighted average shares used in computing</w:t>
            </w: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4920" w:type="dxa"/>
            <w:vAlign w:val="bottom"/>
          </w:tcPr>
          <w:p>
            <w:pPr>
              <w:spacing w:after="0"/>
              <w:rPr>
                <w:sz w:val="20"/>
                <w:szCs w:val="20"/>
                <w:color w:val="auto"/>
              </w:rPr>
            </w:pPr>
            <w:r>
              <w:rPr>
                <w:rFonts w:ascii="Courier New" w:cs="Courier New" w:eastAsia="Courier New" w:hAnsi="Courier New"/>
                <w:sz w:val="17"/>
                <w:szCs w:val="17"/>
                <w:color w:val="auto"/>
              </w:rPr>
              <w:t>income per share:</w:t>
            </w: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4920" w:type="dxa"/>
            <w:vAlign w:val="bottom"/>
          </w:tcPr>
          <w:p>
            <w:pPr>
              <w:ind w:left="200"/>
              <w:spacing w:after="0"/>
              <w:rPr>
                <w:sz w:val="20"/>
                <w:szCs w:val="20"/>
                <w:color w:val="auto"/>
              </w:rPr>
            </w:pPr>
            <w:r>
              <w:rPr>
                <w:rFonts w:ascii="Courier New" w:cs="Courier New" w:eastAsia="Courier New" w:hAnsi="Courier New"/>
                <w:sz w:val="17"/>
                <w:szCs w:val="17"/>
                <w:color w:val="auto"/>
              </w:rPr>
              <w:t>Basic</w:t>
            </w: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21,484</w:t>
            </w:r>
          </w:p>
        </w:tc>
        <w:tc>
          <w:tcPr>
            <w:tcW w:w="1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21,098</w:t>
            </w:r>
          </w:p>
        </w:tc>
        <w:tc>
          <w:tcPr>
            <w:tcW w:w="1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21,452</w:t>
            </w:r>
          </w:p>
        </w:tc>
        <w:tc>
          <w:tcPr>
            <w:tcW w:w="1160" w:type="dxa"/>
            <w:vAlign w:val="bottom"/>
          </w:tcPr>
          <w:p>
            <w:pPr>
              <w:spacing w:after="0"/>
              <w:rPr>
                <w:sz w:val="16"/>
                <w:szCs w:val="16"/>
                <w:color w:val="auto"/>
              </w:rPr>
            </w:pP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21,005</w:t>
            </w:r>
          </w:p>
        </w:tc>
      </w:tr>
      <w:tr>
        <w:trPr>
          <w:trHeight w:val="193"/>
        </w:trPr>
        <w:tc>
          <w:tcPr>
            <w:tcW w:w="4920" w:type="dxa"/>
            <w:vAlign w:val="bottom"/>
          </w:tcPr>
          <w:p>
            <w:pPr>
              <w:ind w:left="200"/>
              <w:spacing w:after="0"/>
              <w:rPr>
                <w:sz w:val="20"/>
                <w:szCs w:val="20"/>
                <w:color w:val="auto"/>
              </w:rPr>
            </w:pPr>
            <w:r>
              <w:rPr>
                <w:rFonts w:ascii="Courier New" w:cs="Courier New" w:eastAsia="Courier New" w:hAnsi="Courier New"/>
                <w:sz w:val="17"/>
                <w:szCs w:val="17"/>
                <w:color w:val="auto"/>
              </w:rPr>
              <w:t>Diluted</w:t>
            </w: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21,978</w:t>
            </w:r>
          </w:p>
        </w:tc>
        <w:tc>
          <w:tcPr>
            <w:tcW w:w="1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21,631</w:t>
            </w:r>
          </w:p>
        </w:tc>
        <w:tc>
          <w:tcPr>
            <w:tcW w:w="1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22,026</w:t>
            </w:r>
          </w:p>
        </w:tc>
        <w:tc>
          <w:tcPr>
            <w:tcW w:w="1160" w:type="dxa"/>
            <w:vAlign w:val="bottom"/>
          </w:tcPr>
          <w:p>
            <w:pPr>
              <w:spacing w:after="0"/>
              <w:rPr>
                <w:sz w:val="16"/>
                <w:szCs w:val="16"/>
                <w:color w:val="auto"/>
              </w:rPr>
            </w:pP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21,457</w:t>
            </w:r>
          </w:p>
        </w:tc>
      </w:tr>
      <w:tr>
        <w:trPr>
          <w:trHeight w:val="193"/>
        </w:trPr>
        <w:tc>
          <w:tcPr>
            <w:tcW w:w="492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771"/>
        </w:trPr>
        <w:tc>
          <w:tcPr>
            <w:tcW w:w="4920" w:type="dxa"/>
            <w:vAlign w:val="bottom"/>
          </w:tcPr>
          <w:p>
            <w:pPr>
              <w:spacing w:after="0"/>
              <w:rPr>
                <w:sz w:val="20"/>
                <w:szCs w:val="20"/>
                <w:color w:val="auto"/>
              </w:rPr>
            </w:pPr>
            <w:r>
              <w:rPr>
                <w:rFonts w:ascii="Courier New" w:cs="Courier New" w:eastAsia="Courier New" w:hAnsi="Courier New"/>
                <w:sz w:val="17"/>
                <w:szCs w:val="17"/>
                <w:color w:val="auto"/>
              </w:rPr>
              <w:t>CONDENSED CONSOLIDATED BALANCE SHEETS</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3"/>
        </w:trPr>
        <w:tc>
          <w:tcPr>
            <w:tcW w:w="4920" w:type="dxa"/>
            <w:vAlign w:val="bottom"/>
          </w:tcPr>
          <w:p>
            <w:pPr>
              <w:spacing w:after="0"/>
              <w:rPr>
                <w:sz w:val="20"/>
                <w:szCs w:val="20"/>
                <w:color w:val="auto"/>
              </w:rPr>
            </w:pPr>
            <w:r>
              <w:rPr>
                <w:rFonts w:ascii="Courier New" w:cs="Courier New" w:eastAsia="Courier New" w:hAnsi="Courier New"/>
                <w:sz w:val="17"/>
                <w:szCs w:val="17"/>
                <w:color w:val="auto"/>
              </w:rPr>
              <w:t>(in thousands) (unaudited)</w:t>
            </w: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771"/>
        </w:trPr>
        <w:tc>
          <w:tcPr>
            <w:tcW w:w="4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center"/>
              <w:ind w:right="256"/>
              <w:spacing w:after="0"/>
              <w:rPr>
                <w:sz w:val="20"/>
                <w:szCs w:val="20"/>
                <w:color w:val="auto"/>
              </w:rPr>
            </w:pPr>
            <w:r>
              <w:rPr>
                <w:rFonts w:ascii="Courier New" w:cs="Courier New" w:eastAsia="Courier New" w:hAnsi="Courier New"/>
                <w:sz w:val="17"/>
                <w:szCs w:val="17"/>
                <w:color w:val="auto"/>
                <w:w w:val="97"/>
              </w:rPr>
              <w:t>JUNE 30,</w:t>
            </w:r>
          </w:p>
        </w:tc>
        <w:tc>
          <w:tcPr>
            <w:tcW w:w="6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w w:val="96"/>
              </w:rPr>
              <w:t>December 31,</w:t>
            </w: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3"/>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jc w:val="center"/>
              <w:ind w:right="256"/>
              <w:spacing w:after="0"/>
              <w:rPr>
                <w:sz w:val="20"/>
                <w:szCs w:val="20"/>
                <w:color w:val="auto"/>
              </w:rPr>
            </w:pPr>
            <w:r>
              <w:rPr>
                <w:rFonts w:ascii="Courier New" w:cs="Courier New" w:eastAsia="Courier New" w:hAnsi="Courier New"/>
                <w:sz w:val="17"/>
                <w:szCs w:val="17"/>
                <w:color w:val="auto"/>
                <w:w w:val="97"/>
              </w:rPr>
              <w:t>2004</w:t>
            </w:r>
          </w:p>
        </w:tc>
        <w:tc>
          <w:tcPr>
            <w:tcW w:w="66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2003</w:t>
            </w: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5"/>
              </w:rPr>
              <w:t>--------</w:t>
            </w:r>
          </w:p>
        </w:tc>
        <w:tc>
          <w:tcPr>
            <w:tcW w:w="6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w w:val="96"/>
              </w:rPr>
              <w:t>------------</w:t>
            </w: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578"/>
        </w:trPr>
        <w:tc>
          <w:tcPr>
            <w:tcW w:w="492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3"/>
        </w:trPr>
        <w:tc>
          <w:tcPr>
            <w:tcW w:w="492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4920" w:type="dxa"/>
            <w:vAlign w:val="bottom"/>
          </w:tcPr>
          <w:p>
            <w:pPr>
              <w:ind w:left="100"/>
              <w:spacing w:after="0"/>
              <w:rPr>
                <w:sz w:val="20"/>
                <w:szCs w:val="20"/>
                <w:color w:val="auto"/>
              </w:rPr>
            </w:pPr>
            <w:r>
              <w:rPr>
                <w:rFonts w:ascii="Courier New" w:cs="Courier New" w:eastAsia="Courier New" w:hAnsi="Courier New"/>
                <w:sz w:val="17"/>
                <w:szCs w:val="17"/>
                <w:color w:val="auto"/>
              </w:rPr>
              <w:t>Cash and investments</w:t>
            </w: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5"/>
              </w:rPr>
              <w:t>$115,613</w:t>
            </w:r>
          </w:p>
        </w:tc>
        <w:tc>
          <w:tcPr>
            <w:tcW w:w="6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$107,620</w:t>
            </w: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4920" w:type="dxa"/>
            <w:vAlign w:val="bottom"/>
          </w:tcPr>
          <w:p>
            <w:pPr>
              <w:ind w:left="100"/>
              <w:spacing w:after="0"/>
              <w:rPr>
                <w:sz w:val="20"/>
                <w:szCs w:val="20"/>
                <w:color w:val="auto"/>
              </w:rPr>
            </w:pPr>
            <w:r>
              <w:rPr>
                <w:rFonts w:ascii="Courier New" w:cs="Courier New" w:eastAsia="Courier New" w:hAnsi="Courier New"/>
                <w:sz w:val="17"/>
                <w:szCs w:val="17"/>
                <w:color w:val="auto"/>
              </w:rPr>
              <w:t>Accounts receivable</w:t>
            </w: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39,349</w:t>
            </w:r>
          </w:p>
        </w:tc>
        <w:tc>
          <w:tcPr>
            <w:tcW w:w="6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25,578</w:t>
            </w: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4920" w:type="dxa"/>
            <w:vAlign w:val="bottom"/>
          </w:tcPr>
          <w:p>
            <w:pPr>
              <w:ind w:left="100"/>
              <w:spacing w:after="0"/>
              <w:rPr>
                <w:sz w:val="20"/>
                <w:szCs w:val="20"/>
                <w:color w:val="auto"/>
              </w:rPr>
            </w:pPr>
            <w:r>
              <w:rPr>
                <w:rFonts w:ascii="Courier New" w:cs="Courier New" w:eastAsia="Courier New" w:hAnsi="Courier New"/>
                <w:sz w:val="17"/>
                <w:szCs w:val="17"/>
                <w:color w:val="auto"/>
              </w:rPr>
              <w:t>Inventories</w:t>
            </w: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38,634</w:t>
            </w:r>
          </w:p>
        </w:tc>
        <w:tc>
          <w:tcPr>
            <w:tcW w:w="6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31,636</w:t>
            </w: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4920" w:type="dxa"/>
            <w:vAlign w:val="bottom"/>
          </w:tcPr>
          <w:p>
            <w:pPr>
              <w:ind w:left="100"/>
              <w:spacing w:after="0"/>
              <w:rPr>
                <w:sz w:val="20"/>
                <w:szCs w:val="20"/>
                <w:color w:val="auto"/>
              </w:rPr>
            </w:pPr>
            <w:r>
              <w:rPr>
                <w:rFonts w:ascii="Courier New" w:cs="Courier New" w:eastAsia="Courier New" w:hAnsi="Courier New"/>
                <w:sz w:val="17"/>
                <w:szCs w:val="17"/>
                <w:color w:val="auto"/>
              </w:rPr>
              <w:t>Deferred taxes and other</w:t>
            </w: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6,539</w:t>
            </w:r>
          </w:p>
        </w:tc>
        <w:tc>
          <w:tcPr>
            <w:tcW w:w="6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6,704</w:t>
            </w: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5"/>
              </w:rPr>
              <w:t>--------</w:t>
            </w:r>
          </w:p>
        </w:tc>
        <w:tc>
          <w:tcPr>
            <w:tcW w:w="6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200,135</w:t>
            </w:r>
          </w:p>
        </w:tc>
        <w:tc>
          <w:tcPr>
            <w:tcW w:w="6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171,538</w:t>
            </w: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4920" w:type="dxa"/>
            <w:vAlign w:val="bottom"/>
          </w:tcPr>
          <w:p>
            <w:pPr>
              <w:spacing w:after="0"/>
              <w:rPr>
                <w:sz w:val="20"/>
                <w:szCs w:val="20"/>
                <w:color w:val="auto"/>
              </w:rPr>
            </w:pPr>
            <w:r>
              <w:rPr>
                <w:rFonts w:ascii="Courier New" w:cs="Courier New" w:eastAsia="Courier New" w:hAnsi="Courier New"/>
                <w:sz w:val="17"/>
                <w:szCs w:val="17"/>
                <w:color w:val="auto"/>
              </w:rPr>
              <w:t>Note receivable</w:t>
            </w: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8,978</w:t>
            </w: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4920" w:type="dxa"/>
            <w:vAlign w:val="bottom"/>
          </w:tcPr>
          <w:p>
            <w:pPr>
              <w:spacing w:after="0"/>
              <w:rPr>
                <w:sz w:val="20"/>
                <w:szCs w:val="20"/>
                <w:color w:val="auto"/>
              </w:rPr>
            </w:pPr>
            <w:r>
              <w:rPr>
                <w:rFonts w:ascii="Courier New" w:cs="Courier New" w:eastAsia="Courier New" w:hAnsi="Courier New"/>
                <w:sz w:val="17"/>
                <w:szCs w:val="17"/>
                <w:color w:val="auto"/>
              </w:rPr>
              <w:t>Property, plant &amp; equipment, net</w:t>
            </w: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30,327</w:t>
            </w:r>
          </w:p>
        </w:tc>
        <w:tc>
          <w:tcPr>
            <w:tcW w:w="6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30,683</w:t>
            </w: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4920" w:type="dxa"/>
            <w:vAlign w:val="bottom"/>
          </w:tcPr>
          <w:p>
            <w:pPr>
              <w:spacing w:after="0"/>
              <w:rPr>
                <w:sz w:val="20"/>
                <w:szCs w:val="20"/>
                <w:color w:val="auto"/>
              </w:rPr>
            </w:pPr>
            <w:r>
              <w:rPr>
                <w:rFonts w:ascii="Courier New" w:cs="Courier New" w:eastAsia="Courier New" w:hAnsi="Courier New"/>
                <w:sz w:val="17"/>
                <w:szCs w:val="17"/>
                <w:color w:val="auto"/>
              </w:rPr>
              <w:t>Goodwill</w:t>
            </w: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8,340</w:t>
            </w:r>
          </w:p>
        </w:tc>
        <w:tc>
          <w:tcPr>
            <w:tcW w:w="6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8,340</w:t>
            </w: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492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971</w:t>
            </w:r>
          </w:p>
        </w:tc>
        <w:tc>
          <w:tcPr>
            <w:tcW w:w="6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1,191</w:t>
            </w: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5"/>
              </w:rPr>
              <w:t>--------</w:t>
            </w:r>
          </w:p>
        </w:tc>
        <w:tc>
          <w:tcPr>
            <w:tcW w:w="6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4920" w:type="dxa"/>
            <w:vAlign w:val="bottom"/>
          </w:tcPr>
          <w:p>
            <w:pPr>
              <w:ind w:left="400"/>
              <w:spacing w:after="0"/>
              <w:rPr>
                <w:sz w:val="20"/>
                <w:szCs w:val="20"/>
                <w:color w:val="auto"/>
              </w:rPr>
            </w:pPr>
            <w:r>
              <w:rPr>
                <w:rFonts w:ascii="Courier New" w:cs="Courier New" w:eastAsia="Courier New" w:hAnsi="Courier New"/>
                <w:sz w:val="17"/>
                <w:szCs w:val="17"/>
                <w:color w:val="auto"/>
              </w:rPr>
              <w:t>Total assets</w:t>
            </w: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5"/>
              </w:rPr>
              <w:t>$239,773</w:t>
            </w:r>
          </w:p>
        </w:tc>
        <w:tc>
          <w:tcPr>
            <w:tcW w:w="6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$220,730</w:t>
            </w: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5"/>
              </w:rPr>
              <w:t>========</w:t>
            </w:r>
          </w:p>
        </w:tc>
        <w:tc>
          <w:tcPr>
            <w:tcW w:w="6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4920" w:type="dxa"/>
            <w:vAlign w:val="bottom"/>
          </w:tcPr>
          <w:p>
            <w:pPr>
              <w:spacing w:after="0"/>
              <w:rPr>
                <w:sz w:val="20"/>
                <w:szCs w:val="20"/>
                <w:color w:val="auto"/>
              </w:rPr>
            </w:pPr>
            <w:r>
              <w:rPr>
                <w:rFonts w:ascii="Courier New" w:cs="Courier New" w:eastAsia="Courier New" w:hAnsi="Courier New"/>
                <w:sz w:val="17"/>
                <w:szCs w:val="17"/>
                <w:color w:val="auto"/>
              </w:rPr>
              <w:t>Liabilities &amp; Stockholders' Equity:</w:t>
            </w: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492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4920" w:type="dxa"/>
            <w:vAlign w:val="bottom"/>
          </w:tcPr>
          <w:p>
            <w:pPr>
              <w:ind w:left="100"/>
              <w:spacing w:after="0"/>
              <w:rPr>
                <w:sz w:val="20"/>
                <w:szCs w:val="20"/>
                <w:color w:val="auto"/>
              </w:rPr>
            </w:pPr>
            <w:r>
              <w:rPr>
                <w:rFonts w:ascii="Courier New" w:cs="Courier New" w:eastAsia="Courier New" w:hAnsi="Courier New"/>
                <w:sz w:val="17"/>
                <w:szCs w:val="17"/>
                <w:color w:val="auto"/>
              </w:rPr>
              <w:t>Deferred profit</w:t>
            </w: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5"/>
              </w:rPr>
              <w:t>$  9,831</w:t>
            </w:r>
          </w:p>
        </w:tc>
        <w:tc>
          <w:tcPr>
            <w:tcW w:w="6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4,132</w:t>
            </w: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4920" w:type="dxa"/>
            <w:vAlign w:val="bottom"/>
          </w:tcPr>
          <w:p>
            <w:pPr>
              <w:ind w:left="100"/>
              <w:spacing w:after="0"/>
              <w:rPr>
                <w:sz w:val="20"/>
                <w:szCs w:val="20"/>
                <w:color w:val="auto"/>
              </w:rPr>
            </w:pPr>
            <w:r>
              <w:rPr>
                <w:rFonts w:ascii="Courier New" w:cs="Courier New" w:eastAsia="Courier New" w:hAnsi="Courier New"/>
                <w:sz w:val="17"/>
                <w:szCs w:val="17"/>
                <w:color w:val="auto"/>
              </w:rPr>
              <w:t>Other current liabilities</w:t>
            </w: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27,533</w:t>
            </w:r>
          </w:p>
        </w:tc>
        <w:tc>
          <w:tcPr>
            <w:tcW w:w="6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22,685</w:t>
            </w: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5"/>
              </w:rPr>
              <w:t>--------</w:t>
            </w:r>
          </w:p>
        </w:tc>
        <w:tc>
          <w:tcPr>
            <w:tcW w:w="6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37,364</w:t>
            </w:r>
          </w:p>
        </w:tc>
        <w:tc>
          <w:tcPr>
            <w:tcW w:w="6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26,817</w:t>
            </w: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4920" w:type="dxa"/>
            <w:vAlign w:val="bottom"/>
          </w:tcPr>
          <w:p>
            <w:pPr>
              <w:spacing w:after="0"/>
              <w:rPr>
                <w:sz w:val="20"/>
                <w:szCs w:val="20"/>
                <w:color w:val="auto"/>
              </w:rPr>
            </w:pPr>
            <w:r>
              <w:rPr>
                <w:rFonts w:ascii="Courier New" w:cs="Courier New" w:eastAsia="Courier New" w:hAnsi="Courier New"/>
                <w:sz w:val="17"/>
                <w:szCs w:val="17"/>
                <w:color w:val="auto"/>
              </w:rPr>
              <w:t>Deferred taxes and other noncurrent liabilities</w:t>
            </w: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1,701</w:t>
            </w:r>
          </w:p>
        </w:tc>
        <w:tc>
          <w:tcPr>
            <w:tcW w:w="6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1,683</w:t>
            </w: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492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200,708</w:t>
            </w:r>
          </w:p>
        </w:tc>
        <w:tc>
          <w:tcPr>
            <w:tcW w:w="6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192,230</w:t>
            </w: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5"/>
              </w:rPr>
              <w:t>--------</w:t>
            </w:r>
          </w:p>
        </w:tc>
        <w:tc>
          <w:tcPr>
            <w:tcW w:w="6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4920" w:type="dxa"/>
            <w:vAlign w:val="bottom"/>
          </w:tcPr>
          <w:p>
            <w:pPr>
              <w:ind w:left="400"/>
              <w:spacing w:after="0"/>
              <w:rPr>
                <w:sz w:val="20"/>
                <w:szCs w:val="20"/>
                <w:color w:val="auto"/>
              </w:rPr>
            </w:pPr>
            <w:r>
              <w:rPr>
                <w:rFonts w:ascii="Courier New" w:cs="Courier New" w:eastAsia="Courier New" w:hAnsi="Courier New"/>
                <w:sz w:val="17"/>
                <w:szCs w:val="17"/>
                <w:color w:val="auto"/>
              </w:rPr>
              <w:t>Total liabilities &amp; equity</w:t>
            </w: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5"/>
              </w:rPr>
              <w:t>$239,773</w:t>
            </w:r>
          </w:p>
        </w:tc>
        <w:tc>
          <w:tcPr>
            <w:tcW w:w="6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$220,730</w:t>
            </w: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3"/>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5"/>
              </w:rPr>
              <w:t>========</w:t>
            </w:r>
          </w:p>
        </w:tc>
        <w:tc>
          <w:tcPr>
            <w:tcW w:w="6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r>
    </w:tbl>
    <w:p>
      <w:pPr>
        <w:spacing w:after="0" w:line="200" w:lineRule="exact"/>
        <w:rPr>
          <w:sz w:val="20"/>
          <w:szCs w:val="20"/>
          <w:color w:val="auto"/>
        </w:rPr>
      </w:pPr>
    </w:p>
    <w:p>
      <w:pPr>
        <w:spacing w:after="0" w:line="384" w:lineRule="exact"/>
        <w:rPr>
          <w:sz w:val="20"/>
          <w:szCs w:val="20"/>
          <w:color w:val="auto"/>
        </w:rPr>
      </w:pPr>
    </w:p>
    <w:p>
      <w:pPr>
        <w:ind w:right="3600"/>
        <w:spacing w:after="0" w:line="236" w:lineRule="auto"/>
        <w:rPr>
          <w:sz w:val="20"/>
          <w:szCs w:val="20"/>
          <w:color w:val="auto"/>
        </w:rPr>
      </w:pPr>
      <w:r>
        <w:rPr>
          <w:rFonts w:ascii="Courier New" w:cs="Courier New" w:eastAsia="Courier New" w:hAnsi="Courier New"/>
          <w:sz w:val="17"/>
          <w:szCs w:val="17"/>
          <w:color w:val="auto"/>
        </w:rPr>
        <w:t>For press releases and other information of interest to investors, please visit Cohu's website at www.cohu.com</w:t>
      </w:r>
    </w:p>
    <w:p>
      <w:pPr>
        <w:sectPr>
          <w:pgSz w:w="11900" w:h="16884" w:orient="portrait"/>
          <w:cols w:equalWidth="0" w:num="1">
            <w:col w:w="11520"/>
          </w:cols>
          <w:pgMar w:left="240" w:top="496" w:right="139" w:bottom="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Contact: John Allen - Investor Relations (858) 848-8106</w:t>
      </w:r>
    </w:p>
    <w:sectPr>
      <w:pgSz w:w="11900" w:h="16838" w:orient="portrait"/>
      <w:cols w:equalWidth="0" w:num="1">
        <w:col w:w="10219"/>
      </w:cols>
      <w:pgMar w:left="240" w:top="3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2019-12-12T22:53:29Z</dcterms:created>
  <dcterms:modified xsi:type="dcterms:W3CDTF">2019-12-12T22:53:29Z</dcterms:modified>
</cp:coreProperties>
</file>