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color w:val="auto"/>
        </w:rPr>
        <w:t>UNITED STATES</w:t>
      </w:r>
    </w:p>
    <w:p>
      <w:pPr>
        <w:jc w:val="center"/>
        <w:ind w:right="-179"/>
        <w:spacing w:after="0" w:line="238" w:lineRule="auto"/>
        <w:rPr>
          <w:sz w:val="20"/>
          <w:szCs w:val="20"/>
          <w:color w:val="auto"/>
        </w:rPr>
      </w:pPr>
      <w:r>
        <w:rPr>
          <w:rFonts w:ascii="Arial" w:cs="Arial" w:eastAsia="Arial" w:hAnsi="Arial"/>
          <w:sz w:val="22"/>
          <w:szCs w:val="22"/>
          <w:color w:val="auto"/>
        </w:rPr>
        <w:t>SECURITIES AND EXCHANGE COMMISSION</w:t>
      </w:r>
    </w:p>
    <w:p>
      <w:pPr>
        <w:jc w:val="center"/>
        <w:ind w:right="-179"/>
        <w:spacing w:after="0"/>
        <w:rPr>
          <w:sz w:val="20"/>
          <w:szCs w:val="20"/>
          <w:color w:val="auto"/>
        </w:rPr>
      </w:pPr>
      <w:r>
        <w:rPr>
          <w:rFonts w:ascii="Arial" w:cs="Arial" w:eastAsia="Arial" w:hAnsi="Arial"/>
          <w:sz w:val="22"/>
          <w:szCs w:val="22"/>
          <w:color w:val="auto"/>
        </w:rPr>
        <w:t>Washington, D.C. 20549</w:t>
      </w:r>
    </w:p>
    <w:p>
      <w:pPr>
        <w:spacing w:after="0" w:line="176" w:lineRule="exact"/>
        <w:rPr>
          <w:sz w:val="24"/>
          <w:szCs w:val="24"/>
          <w:color w:val="auto"/>
        </w:rPr>
      </w:pPr>
    </w:p>
    <w:p>
      <w:pPr>
        <w:jc w:val="center"/>
        <w:ind w:right="-179"/>
        <w:spacing w:after="0"/>
        <w:rPr>
          <w:sz w:val="20"/>
          <w:szCs w:val="20"/>
          <w:color w:val="auto"/>
        </w:rPr>
      </w:pPr>
      <w:r>
        <w:rPr>
          <w:rFonts w:ascii="Arial" w:cs="Arial" w:eastAsia="Arial" w:hAnsi="Arial"/>
          <w:sz w:val="32"/>
          <w:szCs w:val="32"/>
          <w:color w:val="auto"/>
        </w:rPr>
        <w:t>FORM 8-K</w:t>
      </w:r>
    </w:p>
    <w:p>
      <w:pPr>
        <w:spacing w:after="0" w:line="23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5" w:lineRule="exact"/>
        <w:rPr>
          <w:sz w:val="24"/>
          <w:szCs w:val="24"/>
          <w:color w:val="auto"/>
        </w:rPr>
      </w:pPr>
    </w:p>
    <w:p>
      <w:pPr>
        <w:spacing w:after="0"/>
        <w:tabs>
          <w:tab w:leader="none" w:pos="808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February 10, 2022</w:t>
      </w:r>
    </w:p>
    <w:p>
      <w:pPr>
        <w:spacing w:after="0" w:line="208" w:lineRule="exact"/>
        <w:rPr>
          <w:sz w:val="24"/>
          <w:szCs w:val="24"/>
          <w:color w:val="auto"/>
        </w:rPr>
      </w:pPr>
    </w:p>
    <w:p>
      <w:pPr>
        <w:jc w:val="center"/>
        <w:ind w:right="-1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220" w:type="dxa"/>
        <w:tblCellMar>
          <w:top w:w="0" w:type="dxa"/>
          <w:left w:w="0" w:type="dxa"/>
          <w:bottom w:w="0" w:type="dxa"/>
          <w:right w:w="0" w:type="dxa"/>
        </w:tblCellMar>
      </w:tblPr>
      <w:tr>
        <w:trPr>
          <w:trHeight w:val="216"/>
        </w:trPr>
        <w:tc>
          <w:tcPr>
            <w:tcW w:w="4060" w:type="dxa"/>
            <w:vAlign w:val="bottom"/>
          </w:tcPr>
          <w:p>
            <w:pPr>
              <w:jc w:val="center"/>
              <w:ind w:right="650"/>
              <w:spacing w:after="0"/>
              <w:rPr>
                <w:sz w:val="20"/>
                <w:szCs w:val="20"/>
                <w:color w:val="auto"/>
              </w:rPr>
            </w:pPr>
            <w:r>
              <w:rPr>
                <w:rFonts w:ascii="Arial" w:cs="Arial" w:eastAsia="Arial" w:hAnsi="Arial"/>
                <w:sz w:val="18"/>
                <w:szCs w:val="18"/>
                <w:color w:val="auto"/>
                <w:w w:val="89"/>
              </w:rPr>
              <w:t>Delaware</w:t>
            </w:r>
          </w:p>
        </w:tc>
        <w:tc>
          <w:tcPr>
            <w:tcW w:w="3160" w:type="dxa"/>
            <w:vAlign w:val="bottom"/>
          </w:tcPr>
          <w:p>
            <w:pPr>
              <w:jc w:val="right"/>
              <w:ind w:right="1350"/>
              <w:spacing w:after="0"/>
              <w:rPr>
                <w:sz w:val="20"/>
                <w:szCs w:val="20"/>
                <w:color w:val="auto"/>
              </w:rPr>
            </w:pPr>
            <w:r>
              <w:rPr>
                <w:rFonts w:ascii="Arial" w:cs="Arial" w:eastAsia="Arial" w:hAnsi="Arial"/>
                <w:sz w:val="18"/>
                <w:szCs w:val="18"/>
                <w:color w:val="auto"/>
              </w:rPr>
              <w:t>001-04298</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89"/>
              </w:rPr>
              <w:t>95-1934119</w:t>
            </w:r>
          </w:p>
        </w:tc>
      </w:tr>
      <w:tr>
        <w:trPr>
          <w:trHeight w:val="216"/>
        </w:trPr>
        <w:tc>
          <w:tcPr>
            <w:tcW w:w="4060" w:type="dxa"/>
            <w:vAlign w:val="bottom"/>
          </w:tcPr>
          <w:p>
            <w:pPr>
              <w:jc w:val="right"/>
              <w:ind w:right="1370"/>
              <w:spacing w:after="0"/>
              <w:rPr>
                <w:sz w:val="20"/>
                <w:szCs w:val="20"/>
                <w:color w:val="auto"/>
              </w:rPr>
            </w:pPr>
            <w:r>
              <w:rPr>
                <w:rFonts w:ascii="Arial" w:cs="Arial" w:eastAsia="Arial" w:hAnsi="Arial"/>
                <w:sz w:val="18"/>
                <w:szCs w:val="18"/>
                <w:color w:val="auto"/>
              </w:rPr>
              <w:t>_____________________</w:t>
            </w:r>
          </w:p>
        </w:tc>
        <w:tc>
          <w:tcPr>
            <w:tcW w:w="3160" w:type="dxa"/>
            <w:vAlign w:val="bottom"/>
          </w:tcPr>
          <w:p>
            <w:pPr>
              <w:jc w:val="right"/>
              <w:ind w:right="1150"/>
              <w:spacing w:after="0"/>
              <w:rPr>
                <w:sz w:val="20"/>
                <w:szCs w:val="20"/>
                <w:color w:val="auto"/>
              </w:rPr>
            </w:pPr>
            <w:r>
              <w:rPr>
                <w:rFonts w:ascii="Arial" w:cs="Arial" w:eastAsia="Arial" w:hAnsi="Arial"/>
                <w:sz w:val="18"/>
                <w:szCs w:val="18"/>
                <w:color w:val="auto"/>
              </w:rPr>
              <w:t>_____________</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89"/>
              </w:rPr>
              <w:t>______________</w:t>
            </w:r>
          </w:p>
        </w:tc>
      </w:tr>
      <w:tr>
        <w:trPr>
          <w:trHeight w:val="216"/>
        </w:trPr>
        <w:tc>
          <w:tcPr>
            <w:tcW w:w="4060" w:type="dxa"/>
            <w:vAlign w:val="bottom"/>
          </w:tcPr>
          <w:p>
            <w:pPr>
              <w:jc w:val="center"/>
              <w:ind w:right="650"/>
              <w:spacing w:after="0"/>
              <w:rPr>
                <w:sz w:val="20"/>
                <w:szCs w:val="20"/>
                <w:color w:val="auto"/>
              </w:rPr>
            </w:pPr>
            <w:r>
              <w:rPr>
                <w:rFonts w:ascii="Arial" w:cs="Arial" w:eastAsia="Arial" w:hAnsi="Arial"/>
                <w:sz w:val="18"/>
                <w:szCs w:val="18"/>
                <w:color w:val="auto"/>
                <w:w w:val="91"/>
              </w:rPr>
              <w:t>(State or other jurisdiction</w:t>
            </w:r>
          </w:p>
        </w:tc>
        <w:tc>
          <w:tcPr>
            <w:tcW w:w="3160" w:type="dxa"/>
            <w:vAlign w:val="bottom"/>
          </w:tcPr>
          <w:p>
            <w:pPr>
              <w:ind w:left="860"/>
              <w:spacing w:after="0"/>
              <w:rPr>
                <w:sz w:val="20"/>
                <w:szCs w:val="20"/>
                <w:color w:val="auto"/>
              </w:rPr>
            </w:pPr>
            <w:r>
              <w:rPr>
                <w:rFonts w:ascii="Arial" w:cs="Arial" w:eastAsia="Arial" w:hAnsi="Arial"/>
                <w:sz w:val="18"/>
                <w:szCs w:val="18"/>
                <w:color w:val="auto"/>
              </w:rPr>
              <w:t>(Commission</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4060" w:type="dxa"/>
            <w:vAlign w:val="bottom"/>
          </w:tcPr>
          <w:p>
            <w:pPr>
              <w:jc w:val="center"/>
              <w:ind w:right="670"/>
              <w:spacing w:after="0"/>
              <w:rPr>
                <w:sz w:val="20"/>
                <w:szCs w:val="20"/>
                <w:color w:val="auto"/>
              </w:rPr>
            </w:pPr>
            <w:r>
              <w:rPr>
                <w:rFonts w:ascii="Arial" w:cs="Arial" w:eastAsia="Arial" w:hAnsi="Arial"/>
                <w:sz w:val="18"/>
                <w:szCs w:val="18"/>
                <w:color w:val="auto"/>
                <w:w w:val="93"/>
              </w:rPr>
              <w:t>of incorporation)</w:t>
            </w:r>
          </w:p>
        </w:tc>
        <w:tc>
          <w:tcPr>
            <w:tcW w:w="3160" w:type="dxa"/>
            <w:vAlign w:val="bottom"/>
          </w:tcPr>
          <w:p>
            <w:pPr>
              <w:ind w:left="860"/>
              <w:spacing w:after="0"/>
              <w:rPr>
                <w:sz w:val="20"/>
                <w:szCs w:val="20"/>
                <w:color w:val="auto"/>
              </w:rPr>
            </w:pPr>
            <w:r>
              <w:rPr>
                <w:rFonts w:ascii="Arial" w:cs="Arial" w:eastAsia="Arial" w:hAnsi="Arial"/>
                <w:sz w:val="18"/>
                <w:szCs w:val="18"/>
                <w:color w:val="auto"/>
              </w:rPr>
              <w:t>File Number)</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060" w:type="dxa"/>
            <w:vAlign w:val="bottom"/>
          </w:tcPr>
          <w:p>
            <w:pPr>
              <w:jc w:val="center"/>
              <w:ind w:right="650"/>
              <w:spacing w:after="0"/>
              <w:rPr>
                <w:sz w:val="20"/>
                <w:szCs w:val="20"/>
                <w:color w:val="auto"/>
              </w:rPr>
            </w:pPr>
            <w:r>
              <w:rPr>
                <w:rFonts w:ascii="Arial" w:cs="Arial" w:eastAsia="Arial" w:hAnsi="Arial"/>
                <w:sz w:val="18"/>
                <w:szCs w:val="18"/>
                <w:color w:val="auto"/>
                <w:w w:val="92"/>
              </w:rPr>
              <w:t>12367 Crosthwaite Circle, Poway, California</w:t>
            </w:r>
          </w:p>
        </w:tc>
        <w:tc>
          <w:tcPr>
            <w:tcW w:w="3160" w:type="dxa"/>
            <w:vAlign w:val="bottom"/>
          </w:tcPr>
          <w:p>
            <w:pPr>
              <w:spacing w:after="0"/>
              <w:rPr>
                <w:sz w:val="24"/>
                <w:szCs w:val="24"/>
                <w:color w:val="auto"/>
              </w:rPr>
            </w:pP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87"/>
              </w:rPr>
              <w:t>92064</w:t>
            </w:r>
          </w:p>
        </w:tc>
      </w:tr>
      <w:tr>
        <w:trPr>
          <w:trHeight w:val="216"/>
        </w:trPr>
        <w:tc>
          <w:tcPr>
            <w:tcW w:w="4060" w:type="dxa"/>
            <w:vAlign w:val="bottom"/>
          </w:tcPr>
          <w:p>
            <w:pPr>
              <w:jc w:val="right"/>
              <w:ind w:right="830"/>
              <w:spacing w:after="0"/>
              <w:rPr>
                <w:sz w:val="20"/>
                <w:szCs w:val="20"/>
                <w:color w:val="auto"/>
              </w:rPr>
            </w:pPr>
            <w:r>
              <w:rPr>
                <w:rFonts w:ascii="Arial" w:cs="Arial" w:eastAsia="Arial" w:hAnsi="Arial"/>
                <w:sz w:val="18"/>
                <w:szCs w:val="18"/>
                <w:color w:val="auto"/>
                <w:w w:val="94"/>
              </w:rPr>
              <w:t>_________________________________</w:t>
            </w:r>
          </w:p>
        </w:tc>
        <w:tc>
          <w:tcPr>
            <w:tcW w:w="3160" w:type="dxa"/>
            <w:vAlign w:val="bottom"/>
          </w:tcPr>
          <w:p>
            <w:pPr>
              <w:spacing w:after="0"/>
              <w:rPr>
                <w:sz w:val="18"/>
                <w:szCs w:val="18"/>
                <w:color w:val="auto"/>
              </w:rPr>
            </w:pP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0"/>
              </w:rPr>
              <w:t>___________</w:t>
            </w:r>
          </w:p>
        </w:tc>
      </w:tr>
      <w:tr>
        <w:trPr>
          <w:trHeight w:val="230"/>
        </w:trPr>
        <w:tc>
          <w:tcPr>
            <w:tcW w:w="4060" w:type="dxa"/>
            <w:vAlign w:val="bottom"/>
          </w:tcPr>
          <w:p>
            <w:pPr>
              <w:jc w:val="center"/>
              <w:ind w:right="65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spacing w:after="0"/>
              <w:rPr>
                <w:sz w:val="20"/>
                <w:szCs w:val="20"/>
                <w:color w:val="auto"/>
              </w:rPr>
            </w:pP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4"/>
              </w:rPr>
              <w:t>(Zip Code)</w:t>
            </w:r>
          </w:p>
        </w:tc>
      </w:tr>
      <w:tr>
        <w:trPr>
          <w:trHeight w:val="418"/>
        </w:trPr>
        <w:tc>
          <w:tcPr>
            <w:tcW w:w="4060" w:type="dxa"/>
            <w:vAlign w:val="bottom"/>
          </w:tcPr>
          <w:p>
            <w:pPr>
              <w:jc w:val="center"/>
              <w:ind w:right="650"/>
              <w:spacing w:after="0"/>
              <w:rPr>
                <w:sz w:val="20"/>
                <w:szCs w:val="20"/>
                <w:color w:val="auto"/>
              </w:rPr>
            </w:pPr>
            <w:r>
              <w:rPr>
                <w:rFonts w:ascii="Arial" w:cs="Arial" w:eastAsia="Arial" w:hAnsi="Arial"/>
                <w:sz w:val="18"/>
                <w:szCs w:val="18"/>
                <w:color w:val="auto"/>
                <w:w w:val="90"/>
              </w:rPr>
              <w:t>Registrant’s telephone number, including area</w:t>
            </w:r>
          </w:p>
        </w:tc>
        <w:tc>
          <w:tcPr>
            <w:tcW w:w="3160" w:type="dxa"/>
            <w:vAlign w:val="bottom"/>
          </w:tcPr>
          <w:p>
            <w:pPr>
              <w:spacing w:after="0"/>
              <w:rPr>
                <w:sz w:val="24"/>
                <w:szCs w:val="24"/>
                <w:color w:val="auto"/>
              </w:rPr>
            </w:pP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0"/>
              </w:rPr>
              <w:t>858-848-8100</w:t>
            </w:r>
          </w:p>
        </w:tc>
      </w:tr>
      <w:tr>
        <w:trPr>
          <w:trHeight w:val="230"/>
        </w:trPr>
        <w:tc>
          <w:tcPr>
            <w:tcW w:w="4060" w:type="dxa"/>
            <w:vAlign w:val="bottom"/>
          </w:tcPr>
          <w:p>
            <w:pPr>
              <w:jc w:val="center"/>
              <w:ind w:right="650"/>
              <w:spacing w:after="0"/>
              <w:rPr>
                <w:sz w:val="20"/>
                <w:szCs w:val="20"/>
                <w:color w:val="auto"/>
              </w:rPr>
            </w:pPr>
            <w:r>
              <w:rPr>
                <w:rFonts w:ascii="Arial" w:cs="Arial" w:eastAsia="Arial" w:hAnsi="Arial"/>
                <w:sz w:val="18"/>
                <w:szCs w:val="18"/>
                <w:color w:val="auto"/>
                <w:w w:val="90"/>
              </w:rPr>
              <w:t>code:</w:t>
            </w:r>
          </w:p>
        </w:tc>
        <w:tc>
          <w:tcPr>
            <w:tcW w:w="3160" w:type="dxa"/>
            <w:vAlign w:val="bottom"/>
          </w:tcPr>
          <w:p>
            <w:pPr>
              <w:spacing w:after="0"/>
              <w:rPr>
                <w:sz w:val="20"/>
                <w:szCs w:val="20"/>
                <w:color w:val="auto"/>
              </w:rPr>
            </w:pPr>
          </w:p>
        </w:tc>
        <w:tc>
          <w:tcPr>
            <w:tcW w:w="2600" w:type="dxa"/>
            <w:vAlign w:val="bottom"/>
          </w:tcPr>
          <w:p>
            <w:pPr>
              <w:spacing w:after="0"/>
              <w:rPr>
                <w:sz w:val="20"/>
                <w:szCs w:val="20"/>
                <w:color w:val="auto"/>
              </w:rPr>
            </w:pPr>
          </w:p>
        </w:tc>
      </w:tr>
    </w:tbl>
    <w:p>
      <w:pPr>
        <w:spacing w:after="0" w:line="202"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Not Applicable</w:t>
      </w:r>
    </w:p>
    <w:p>
      <w:pPr>
        <w:spacing w:after="0" w:line="23" w:lineRule="exact"/>
        <w:rPr>
          <w:sz w:val="24"/>
          <w:szCs w:val="24"/>
          <w:color w:val="auto"/>
        </w:rPr>
      </w:pPr>
    </w:p>
    <w:p>
      <w:pPr>
        <w:ind w:left="3560"/>
        <w:spacing w:after="0"/>
        <w:rPr>
          <w:sz w:val="20"/>
          <w:szCs w:val="20"/>
          <w:color w:val="auto"/>
        </w:rPr>
      </w:pPr>
      <w:r>
        <w:rPr>
          <w:rFonts w:ascii="Arial" w:cs="Arial" w:eastAsia="Arial" w:hAnsi="Arial"/>
          <w:sz w:val="18"/>
          <w:szCs w:val="18"/>
          <w:color w:val="auto"/>
        </w:rPr>
        <w:t>______________________________________________</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200" w:type="dxa"/>
            <w:vAlign w:val="bottom"/>
          </w:tcPr>
          <w:p>
            <w:pPr>
              <w:spacing w:after="0"/>
              <w:rPr>
                <w:sz w:val="24"/>
                <w:szCs w:val="24"/>
                <w:color w:val="auto"/>
              </w:rPr>
            </w:pPr>
          </w:p>
        </w:tc>
        <w:tc>
          <w:tcPr>
            <w:tcW w:w="3340" w:type="dxa"/>
            <w:vAlign w:val="bottom"/>
            <w:gridSpan w:val="2"/>
          </w:tcPr>
          <w:p>
            <w:pPr>
              <w:jc w:val="center"/>
              <w:ind w:right="1980"/>
              <w:spacing w:after="0"/>
              <w:rPr>
                <w:sz w:val="20"/>
                <w:szCs w:val="20"/>
                <w:color w:val="auto"/>
              </w:rPr>
            </w:pPr>
            <w:r>
              <w:rPr>
                <w:rFonts w:ascii="Arial" w:cs="Arial" w:eastAsia="Arial" w:hAnsi="Arial"/>
                <w:sz w:val="18"/>
                <w:szCs w:val="18"/>
                <w:color w:val="auto"/>
                <w:w w:val="90"/>
              </w:rPr>
              <w:t>Title of Each Class</w:t>
            </w:r>
          </w:p>
        </w:tc>
        <w:tc>
          <w:tcPr>
            <w:tcW w:w="3420" w:type="dxa"/>
            <w:vAlign w:val="bottom"/>
            <w:gridSpan w:val="3"/>
          </w:tcPr>
          <w:p>
            <w:pPr>
              <w:jc w:val="center"/>
              <w:ind w:right="1260"/>
              <w:spacing w:after="0"/>
              <w:rPr>
                <w:sz w:val="20"/>
                <w:szCs w:val="20"/>
                <w:color w:val="auto"/>
              </w:rPr>
            </w:pPr>
            <w:r>
              <w:rPr>
                <w:rFonts w:ascii="Arial" w:cs="Arial" w:eastAsia="Arial" w:hAnsi="Arial"/>
                <w:sz w:val="18"/>
                <w:szCs w:val="18"/>
                <w:color w:val="auto"/>
                <w:w w:val="92"/>
              </w:rPr>
              <w:t>Trading Symbol(s)</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Name of exchange on which registered</w:t>
            </w:r>
          </w:p>
        </w:tc>
      </w:tr>
      <w:tr>
        <w:trPr>
          <w:trHeight w:val="20"/>
        </w:trPr>
        <w:tc>
          <w:tcPr>
            <w:tcW w:w="1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4540" w:type="dxa"/>
            <w:vAlign w:val="bottom"/>
            <w:gridSpan w:val="3"/>
          </w:tcPr>
          <w:p>
            <w:pPr>
              <w:jc w:val="center"/>
              <w:ind w:right="780"/>
              <w:spacing w:after="0"/>
              <w:rPr>
                <w:sz w:val="20"/>
                <w:szCs w:val="20"/>
                <w:color w:val="auto"/>
              </w:rPr>
            </w:pPr>
            <w:r>
              <w:rPr>
                <w:rFonts w:ascii="Arial" w:cs="Arial" w:eastAsia="Arial" w:hAnsi="Arial"/>
                <w:sz w:val="18"/>
                <w:szCs w:val="18"/>
                <w:color w:val="auto"/>
                <w:w w:val="90"/>
              </w:rPr>
              <w:t>Common Stock, $1.00 par value</w:t>
            </w:r>
          </w:p>
        </w:tc>
        <w:tc>
          <w:tcPr>
            <w:tcW w:w="400" w:type="dxa"/>
            <w:vAlign w:val="bottom"/>
          </w:tcPr>
          <w:p>
            <w:pPr>
              <w:spacing w:after="0"/>
              <w:rPr>
                <w:sz w:val="20"/>
                <w:szCs w:val="20"/>
                <w:color w:val="auto"/>
              </w:rPr>
            </w:pPr>
          </w:p>
        </w:tc>
        <w:tc>
          <w:tcPr>
            <w:tcW w:w="3020" w:type="dxa"/>
            <w:vAlign w:val="bottom"/>
            <w:gridSpan w:val="2"/>
          </w:tcPr>
          <w:p>
            <w:pPr>
              <w:jc w:val="center"/>
              <w:ind w:right="1660"/>
              <w:spacing w:after="0"/>
              <w:rPr>
                <w:sz w:val="20"/>
                <w:szCs w:val="20"/>
                <w:color w:val="auto"/>
              </w:rPr>
            </w:pPr>
            <w:r>
              <w:rPr>
                <w:rFonts w:ascii="Arial" w:cs="Arial" w:eastAsia="Arial" w:hAnsi="Arial"/>
                <w:sz w:val="18"/>
                <w:szCs w:val="18"/>
                <w:color w:val="auto"/>
                <w:w w:val="98"/>
              </w:rPr>
              <w:t>COHU</w:t>
            </w:r>
          </w:p>
        </w:tc>
        <w:tc>
          <w:tcPr>
            <w:tcW w:w="28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The NASDAQ Stock Market LLC</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42"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On February 10, 2022, Cohu, Inc. (the “Company”) issued a press release regarding its financial results for the fourth quarter and full year ended December 25, 2021. The Company’s press release is attached as Exhibit 99.1 to this Current Report on Form 8-K and incorporated by reference herein.</w:t>
      </w:r>
    </w:p>
    <w:p>
      <w:pPr>
        <w:spacing w:after="0" w:line="124"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information in this Item 2.02 of this Current Report on Form 8-K and the Exhibit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Included within this current report and accompanying materials are non-GAAP financial measures, including non-GAAP Gross Margin/Profit, Income and Income (adjusted earnings) per share, Operating Income, Operating Expense, effective tax rate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gain on sale of business, gain on sale of facility, employer payroll taxes related to accelerated vesting share-based awards, depreciation of purchase accounting adjustments to property, plant and equipment, reduction of indemnification receivable, amortization of cloud-based software implementation costs (Adjusted EBITDA only) and gain (loss) on extinguishment of debt (Adjusted EBITDA only). Reconciliations of GAAP to non-GAAP amounts for the periods presented herein are provided in schedules accompanying this current report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Certain statements contained in this current report and accompanying materials may be considered forward-looking statements within the meaning of the U.S. Private Securities Litigation Reform Act of 1995, including statements regarding design wins in automotive, display driver and RF-FEM segments, estimated test cell utilization, increasing demand for our products, opportunities for our Diamondx tester and Neon inspection &amp; metrology technology, expansion in test interface products, ongoing qualifications for DI-Core, Cohu’s mid-term financial targets (mid-term means a 3-5 year time horizon), Cohu’s first half 2022 or FY2022 outlook, % of incremental revenue expected to fall to operating income, estimated systems versus recurring sales, Cohu’s first quarter 2022 sales forecast, guidance, sales mix, non-GAAP operating expenses, gross margin, operating income, adjusted EBITDA, effective tax rate, free cash flow, cap ex, cash and shares outstanding, estimated minimum cash needed, estimated EBITDA breakeven point,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 w:name="page3"/>
    <w:bookmarkEnd w:id="2"/>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financial condition and results of operations; the COVID-19 pandemic has impacted, and is expected to continue to negatively impact, the operations of our key suppliers, customers and other business partners; we are making investments in new products and product enhancements, which may adversely affect our operating results and these investments may not be commercially successful; we have manufacturing operations in Asia and any failure to effectively manage multiple manufacturing sites and to secure raw materials meeting our quality, cost and other requirements, or failures by our suppliers to perform, could harm our sales, service levels and reputation; a failure to perform or unexpected downtime experienced by our sole contract manufacturer for certain semiconductor automated test equipment could adversely impact our operations; failure of critical suppliers to deliver sufficient quantities of parts in a timely and cost-effective manner could adversely impact our operations; we may not be able to increase prices to fully offset inflationary pressures on costs, such as raw and packaging materials, components and subassemblies, labor and distribution costs, which may impact our financial condition or results of operations; the semiconductor industry we serve is seasonal, volatile and unpredictable and increased cyclicality could have an adverse impact on our sales and gross margin;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majority of our revenues are generated from exports to foreign countries, primarily in Asia, that are subject to economic and political instability and we compete against a number of Asia-based test contactor, test handler and automated test equipment suppliers; we are exposed to the risks of operating in certain foreign locations from where Cohu manufactures certain products, and supports our sales and services to the global semiconductor industry; increasingly restrictive trade and export regulations may materially harm or limit Cohu’s business and ability to sell its products; the remaining indebtedness in connection with our financing of the Xcerra acquisition may have an adverse impact on Cohu’s liquidity, limit Cohu’s flexibility in responding to other business opportunities and increase Cohu’s vulnerability to adverse economic and industry conditions and the Tax Cuts and Jobs Act severely limits the deductibility of interest expense; we are exposed to other risks associated with additional potential acquisitions, investments and divestitures such as integration difficulties, disruption to our core business, dilution of stockholder value, and diversion of management attention; our financial and operating results may vary and fall below analysts’ estimates, or credit rating agencies may change their ratings on Cohu, any of which may cause the price of our common stock to decline or make it difficult to obtain other financing; we have experienced significant volatility in our stock price; there may be changes in, and uncertainty with respect to, legislation, regulation and governmental policy in the United States; and our business and operations could suffer in the event of cybersecurity breaches within our operational systems or products.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p>
      <w:pPr>
        <w:ind w:right="9900" w:firstLine="8"/>
        <w:spacing w:after="0" w:line="53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Exhibits Exhibit No. - 99.1</w:t>
      </w:r>
    </w:p>
    <w:p>
      <w:pPr>
        <w:ind w:right="4540"/>
        <w:spacing w:after="0" w:line="500" w:lineRule="auto"/>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Fourth Quarter and Full Year 2021 Earnings Release, dated February 10, 2022, of Cohu, Inc.</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Exhibit No. - 104</w:t>
      </w:r>
    </w:p>
    <w:p>
      <w:pPr>
        <w:spacing w:after="0" w:line="1"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6780" w:val="left"/>
          <w:tab w:leader="none" w:pos="7480" w:val="left"/>
        </w:tabs>
        <w:rPr>
          <w:sz w:val="20"/>
          <w:szCs w:val="20"/>
          <w:color w:val="auto"/>
        </w:rPr>
      </w:pPr>
      <w:r>
        <w:rPr>
          <w:rFonts w:ascii="Arial" w:cs="Arial" w:eastAsia="Arial" w:hAnsi="Arial"/>
          <w:sz w:val="18"/>
          <w:szCs w:val="18"/>
          <w:color w:val="auto"/>
        </w:rPr>
        <w:t>February 10, 2022</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39" w:lineRule="exact"/>
        <w:rPr>
          <w:sz w:val="20"/>
          <w:szCs w:val="20"/>
          <w:color w:val="auto"/>
        </w:rPr>
      </w:pPr>
    </w:p>
    <w:p>
      <w:pPr>
        <w:ind w:left="736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-130175</wp:posOffset>
            </wp:positionV>
            <wp:extent cx="2494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60"/>
        <w:spacing w:after="0"/>
        <w:rPr>
          <w:sz w:val="20"/>
          <w:szCs w:val="20"/>
          <w:color w:val="auto"/>
        </w:rPr>
      </w:pPr>
      <w:r>
        <w:rPr>
          <w:rFonts w:ascii="Arial" w:cs="Arial" w:eastAsia="Arial" w:hAnsi="Arial"/>
          <w:sz w:val="18"/>
          <w:szCs w:val="18"/>
          <w:i w:val="1"/>
          <w:iCs w:val="1"/>
          <w:color w:val="auto"/>
        </w:rPr>
        <w:t>Title: VP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160" w:type="dxa"/>
            <w:vAlign w:val="bottom"/>
          </w:tcPr>
          <w:p>
            <w:pPr>
              <w:ind w:left="2060"/>
              <w:spacing w:after="0"/>
              <w:rPr>
                <w:sz w:val="20"/>
                <w:szCs w:val="20"/>
                <w:color w:val="auto"/>
              </w:rPr>
            </w:pPr>
            <w:r>
              <w:rPr>
                <w:rFonts w:ascii="Arial" w:cs="Arial" w:eastAsia="Arial" w:hAnsi="Arial"/>
                <w:sz w:val="18"/>
                <w:szCs w:val="18"/>
                <w:color w:val="auto"/>
              </w:rPr>
              <w:t>Exhibit Index</w:t>
            </w:r>
          </w:p>
        </w:tc>
        <w:tc>
          <w:tcPr>
            <w:tcW w:w="0" w:type="dxa"/>
            <w:vAlign w:val="bottom"/>
          </w:tcPr>
          <w:p>
            <w:pPr>
              <w:spacing w:after="0"/>
              <w:rPr>
                <w:sz w:val="1"/>
                <w:szCs w:val="1"/>
                <w:color w:val="auto"/>
              </w:rPr>
            </w:pPr>
          </w:p>
        </w:tc>
      </w:tr>
      <w:tr>
        <w:trPr>
          <w:trHeight w:val="648"/>
        </w:trPr>
        <w:tc>
          <w:tcPr>
            <w:tcW w:w="27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0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780" w:type="dxa"/>
            <w:vAlign w:val="bottom"/>
            <w:tcBorders>
              <w:bottom w:val="single" w:sz="8" w:color="auto"/>
            </w:tcBorders>
          </w:tcPr>
          <w:p>
            <w:pPr>
              <w:spacing w:after="0"/>
              <w:rPr>
                <w:sz w:val="18"/>
                <w:szCs w:val="18"/>
                <w:color w:val="auto"/>
              </w:rPr>
            </w:pPr>
          </w:p>
        </w:tc>
        <w:tc>
          <w:tcPr>
            <w:tcW w:w="300" w:type="dxa"/>
            <w:vAlign w:val="bottom"/>
            <w:vMerge w:val="restart"/>
          </w:tcPr>
          <w:p>
            <w:pPr>
              <w:spacing w:after="0"/>
              <w:rPr>
                <w:sz w:val="18"/>
                <w:szCs w:val="18"/>
                <w:color w:val="auto"/>
              </w:rPr>
            </w:pPr>
          </w:p>
        </w:tc>
        <w:tc>
          <w:tcPr>
            <w:tcW w:w="8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78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vMerge w:val="continue"/>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Fourth Quarter and Full Year 2021 Earnings Release, dated February 10, 2022, of Cohu, Inc.</w:t>
            </w:r>
          </w:p>
        </w:tc>
        <w:tc>
          <w:tcPr>
            <w:tcW w:w="0" w:type="dxa"/>
            <w:vAlign w:val="bottom"/>
          </w:tcPr>
          <w:p>
            <w:pPr>
              <w:spacing w:after="0"/>
              <w:rPr>
                <w:sz w:val="1"/>
                <w:szCs w:val="1"/>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154305</wp:posOffset>
            </wp:positionV>
            <wp:extent cx="2571750" cy="642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-121920</wp:posOffset>
            </wp:positionV>
            <wp:extent cx="25400" cy="8229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400" cy="822960"/>
                    </a:xfrm>
                    <a:prstGeom prst="rect">
                      <a:avLst/>
                    </a:prstGeom>
                    <a:noFill/>
                  </pic:spPr>
                </pic:pic>
              </a:graphicData>
            </a:graphic>
          </wp:anchor>
        </w:drawing>
      </w:r>
    </w:p>
    <w:p>
      <w:pPr>
        <w:spacing w:after="0" w:line="3"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12367 CROSTHWAITE CIRCLE</w:t>
      </w:r>
    </w:p>
    <w:p>
      <w:pPr>
        <w:spacing w:after="0" w:line="9"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POWAY, CA 92064</w:t>
      </w:r>
    </w:p>
    <w:p>
      <w:pPr>
        <w:spacing w:after="0" w:line="9"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FAX (858) 848-8185</w:t>
      </w:r>
    </w:p>
    <w:p>
      <w:pPr>
        <w:spacing w:after="0" w:line="9"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PHONE (858) 858-8100</w:t>
      </w:r>
    </w:p>
    <w:p>
      <w:pPr>
        <w:spacing w:after="0" w:line="9"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www.cohu.com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Reports Fourth Quarter and Full Year 2021 Operating Results</w:t>
      </w:r>
    </w:p>
    <w:p>
      <w:pPr>
        <w:spacing w:after="0" w:line="229"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Full year 2021 revenue of $887 million grew 39% year-over-year; 5-year CAGR 26%</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Full year 2021 inspection &amp; metrology revenue grew 130% year-over-year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Full year 2021 interface products revenue grew 25% year-over-year</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Q4 Gross margin of 44.0%; non-GAAP gross margin of 44.1%</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Q4 design-wins expanding Semitest sales in automotive, display driver and RF-FEM segments</w:t>
      </w:r>
    </w:p>
    <w:p>
      <w:pPr>
        <w:spacing w:after="0" w:line="225"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Repurchased 206,572 shares of Common Stock in Q4</w:t>
      </w:r>
    </w:p>
    <w:p>
      <w:pPr>
        <w:spacing w:after="0" w:line="225" w:lineRule="exact"/>
        <w:rPr>
          <w:sz w:val="20"/>
          <w:szCs w:val="20"/>
          <w:color w:val="auto"/>
        </w:rPr>
      </w:pPr>
    </w:p>
    <w:p>
      <w:pPr>
        <w:ind w:right="220"/>
        <w:spacing w:after="0" w:line="274" w:lineRule="auto"/>
        <w:rPr>
          <w:sz w:val="20"/>
          <w:szCs w:val="20"/>
          <w:color w:val="auto"/>
        </w:rPr>
      </w:pPr>
      <w:r>
        <w:rPr>
          <w:rFonts w:ascii="Arial" w:cs="Arial" w:eastAsia="Arial" w:hAnsi="Arial"/>
          <w:sz w:val="18"/>
          <w:szCs w:val="18"/>
          <w:color w:val="auto"/>
        </w:rPr>
        <w:t>POWAY, Calif., February 10, 2022 -- Cohu, Inc. (NASDAQ: COHU), a global leader in back-end semiconductor equipment and services, today reported fiscal 2021 fourth quarter net sales of $191.9 million and GAAP income of $20.9 million or $0.42 per share. Net sales for full year 2021 were $887.2 million with GAAP income of $167.3 million or $3.45 per share.</w:t>
      </w:r>
      <w:r>
        <w:rPr>
          <w:rFonts w:ascii="Arial" w:cs="Arial" w:eastAsia="Arial" w:hAnsi="Arial"/>
          <w:sz w:val="29"/>
          <w:szCs w:val="29"/>
          <w:color w:val="auto"/>
          <w:vertAlign w:val="superscript"/>
        </w:rPr>
        <w:t>(1)</w:t>
      </w:r>
    </w:p>
    <w:p>
      <w:pPr>
        <w:spacing w:after="0" w:line="11" w:lineRule="exact"/>
        <w:rPr>
          <w:sz w:val="20"/>
          <w:szCs w:val="20"/>
          <w:color w:val="auto"/>
        </w:rPr>
      </w:pPr>
    </w:p>
    <w:p>
      <w:pPr>
        <w:ind w:right="500"/>
        <w:spacing w:after="0" w:line="289" w:lineRule="auto"/>
        <w:rPr>
          <w:sz w:val="20"/>
          <w:szCs w:val="20"/>
          <w:color w:val="auto"/>
        </w:rPr>
      </w:pPr>
      <w:r>
        <w:rPr>
          <w:rFonts w:ascii="Arial" w:cs="Arial" w:eastAsia="Arial" w:hAnsi="Arial"/>
          <w:sz w:val="18"/>
          <w:szCs w:val="18"/>
          <w:color w:val="auto"/>
        </w:rPr>
        <w:t>The Company also reported non-GAAP results, with fourth quarter 2021 income of $35.6 million or $0.72 per share and income of $155.1 million or $3.20 per share for full year 2021.</w:t>
      </w:r>
      <w:r>
        <w:rPr>
          <w:rFonts w:ascii="Arial" w:cs="Arial" w:eastAsia="Arial" w:hAnsi="Arial"/>
          <w:sz w:val="29"/>
          <w:szCs w:val="29"/>
          <w:color w:val="auto"/>
          <w:vertAlign w:val="superscript"/>
        </w:rPr>
        <w:t>(1)</w:t>
      </w:r>
    </w:p>
    <w:tbl>
      <w:tblPr>
        <w:tblLayout w:type="fixed"/>
        <w:tblInd w:w="10" w:type="dxa"/>
        <w:tblCellMar>
          <w:top w:w="0" w:type="dxa"/>
          <w:left w:w="0" w:type="dxa"/>
          <w:bottom w:w="0" w:type="dxa"/>
          <w:right w:w="0" w:type="dxa"/>
        </w:tblCellMar>
      </w:tblPr>
      <w:tr>
        <w:trPr>
          <w:trHeight w:val="207"/>
        </w:trPr>
        <w:tc>
          <w:tcPr>
            <w:tcW w:w="3000" w:type="dxa"/>
            <w:vAlign w:val="bottom"/>
            <w:tcBorders>
              <w:top w:val="single" w:sz="8" w:color="auto"/>
              <w:left w:val="single" w:sz="8" w:color="auto"/>
            </w:tcBorders>
          </w:tcPr>
          <w:p>
            <w:pPr>
              <w:ind w:left="180"/>
              <w:spacing w:after="0" w:line="207" w:lineRule="exact"/>
              <w:rPr>
                <w:sz w:val="20"/>
                <w:szCs w:val="20"/>
                <w:color w:val="auto"/>
              </w:rPr>
            </w:pPr>
            <w:r>
              <w:rPr>
                <w:rFonts w:ascii="Arial" w:cs="Arial" w:eastAsia="Arial" w:hAnsi="Arial"/>
                <w:sz w:val="15"/>
                <w:szCs w:val="15"/>
                <w:b w:val="1"/>
                <w:bCs w:val="1"/>
                <w:color w:val="auto"/>
              </w:rPr>
              <w:t xml:space="preserve">GAAP Results </w:t>
            </w:r>
            <w:r>
              <w:rPr>
                <w:rFonts w:ascii="Arial" w:cs="Arial" w:eastAsia="Arial" w:hAnsi="Arial"/>
                <w:sz w:val="23"/>
                <w:szCs w:val="23"/>
                <w:b w:val="1"/>
                <w:bCs w:val="1"/>
                <w:color w:val="auto"/>
                <w:vertAlign w:val="superscript"/>
              </w:rPr>
              <w:t>(1)</w:t>
            </w: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12</w:t>
            </w: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12</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(in millions, except per share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rPr>
              <w:t>amounts)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9"/>
              </w:rPr>
              <w:t>Q4 FY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6"/>
              </w:rPr>
              <w:t>Q3 FY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60"/>
              <w:spacing w:after="0"/>
              <w:rPr>
                <w:sz w:val="20"/>
                <w:szCs w:val="20"/>
                <w:color w:val="auto"/>
              </w:rPr>
            </w:pPr>
            <w:r>
              <w:rPr>
                <w:rFonts w:ascii="Arial" w:cs="Arial" w:eastAsia="Arial" w:hAnsi="Arial"/>
                <w:sz w:val="18"/>
                <w:szCs w:val="18"/>
                <w:b w:val="1"/>
                <w:bCs w:val="1"/>
                <w:color w:val="auto"/>
              </w:rPr>
              <w:t>Q4 FY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96"/>
              </w:rPr>
              <w:t>Months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right w:val="single" w:sz="8" w:color="auto"/>
            </w:tcBorders>
            <w:gridSpan w:val="3"/>
          </w:tcPr>
          <w:p>
            <w:pPr>
              <w:jc w:val="right"/>
              <w:ind w:right="460"/>
              <w:spacing w:after="0"/>
              <w:rPr>
                <w:sz w:val="20"/>
                <w:szCs w:val="20"/>
                <w:color w:val="auto"/>
              </w:rPr>
            </w:pPr>
            <w:r>
              <w:rPr>
                <w:rFonts w:ascii="Arial" w:cs="Arial" w:eastAsia="Arial" w:hAnsi="Arial"/>
                <w:sz w:val="18"/>
                <w:szCs w:val="18"/>
                <w:b w:val="1"/>
                <w:bCs w:val="1"/>
                <w:color w:val="auto"/>
                <w:w w:val="99"/>
              </w:rPr>
              <w:t>Months</w:t>
            </w:r>
          </w:p>
        </w:tc>
        <w:tc>
          <w:tcPr>
            <w:tcW w:w="0" w:type="dxa"/>
            <w:vAlign w:val="bottom"/>
          </w:tcPr>
          <w:p>
            <w:pPr>
              <w:spacing w:after="0"/>
              <w:rPr>
                <w:sz w:val="1"/>
                <w:szCs w:val="1"/>
                <w:color w:val="auto"/>
              </w:rPr>
            </w:pPr>
          </w:p>
        </w:tc>
      </w:tr>
      <w:tr>
        <w:trPr>
          <w:trHeight w:val="234"/>
        </w:trPr>
        <w:tc>
          <w:tcPr>
            <w:tcW w:w="300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191.9</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225.1</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887.2</w:t>
            </w:r>
          </w:p>
        </w:tc>
        <w:tc>
          <w:tcPr>
            <w:tcW w:w="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636.0</w:t>
            </w:r>
          </w:p>
        </w:tc>
        <w:tc>
          <w:tcPr>
            <w:tcW w:w="10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Income (loss)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23.7</w:t>
            </w:r>
          </w:p>
        </w:tc>
        <w:tc>
          <w:tcPr>
            <w:tcW w:w="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4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167.3</w:t>
            </w:r>
          </w:p>
        </w:tc>
        <w:tc>
          <w:tcPr>
            <w:tcW w:w="60" w:type="dxa"/>
            <w:vAlign w:val="bottom"/>
          </w:tcPr>
          <w:p>
            <w:pPr>
              <w:spacing w:after="0"/>
              <w:rPr>
                <w:sz w:val="18"/>
                <w:szCs w:val="18"/>
                <w:color w:val="auto"/>
              </w:rPr>
            </w:pPr>
          </w:p>
        </w:tc>
        <w:tc>
          <w:tcPr>
            <w:tcW w:w="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4"/>
        </w:trPr>
        <w:tc>
          <w:tcPr>
            <w:tcW w:w="3000" w:type="dxa"/>
            <w:vAlign w:val="bottom"/>
            <w:tcBorders>
              <w:left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 (loss) per share</w:t>
            </w:r>
          </w:p>
        </w:tc>
        <w:tc>
          <w:tcPr>
            <w:tcW w:w="24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0.48</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35"/>
        </w:trPr>
        <w:tc>
          <w:tcPr>
            <w:tcW w:w="3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tcBorders>
              <w:left w:val="single" w:sz="8" w:color="auto"/>
            </w:tcBorders>
          </w:tcPr>
          <w:p>
            <w:pPr>
              <w:ind w:left="180"/>
              <w:spacing w:after="0" w:line="199" w:lineRule="exact"/>
              <w:rPr>
                <w:sz w:val="20"/>
                <w:szCs w:val="20"/>
                <w:color w:val="auto"/>
              </w:rPr>
            </w:pPr>
            <w:r>
              <w:rPr>
                <w:rFonts w:ascii="Arial" w:cs="Arial" w:eastAsia="Arial" w:hAnsi="Arial"/>
                <w:sz w:val="15"/>
                <w:szCs w:val="15"/>
                <w:b w:val="1"/>
                <w:bCs w:val="1"/>
                <w:color w:val="auto"/>
              </w:rPr>
              <w:t xml:space="preserve">Non-GAAP Results </w:t>
            </w:r>
            <w:r>
              <w:rPr>
                <w:rFonts w:ascii="Arial" w:cs="Arial" w:eastAsia="Arial" w:hAnsi="Arial"/>
                <w:sz w:val="23"/>
                <w:szCs w:val="23"/>
                <w:b w:val="1"/>
                <w:bCs w:val="1"/>
                <w:color w:val="auto"/>
                <w:vertAlign w:val="superscript"/>
              </w:rPr>
              <w:t>(1)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tcBorders>
              <w:left w:val="single" w:sz="8" w:color="auto"/>
            </w:tcBorders>
          </w:tcPr>
          <w:p>
            <w:pPr>
              <w:ind w:left="180"/>
              <w:spacing w:after="0"/>
              <w:rPr>
                <w:sz w:val="20"/>
                <w:szCs w:val="20"/>
                <w:color w:val="auto"/>
              </w:rPr>
            </w:pPr>
            <w:r>
              <w:rPr>
                <w:rFonts w:ascii="Arial" w:cs="Arial" w:eastAsia="Arial" w:hAnsi="Arial"/>
                <w:sz w:val="18"/>
                <w:szCs w:val="18"/>
                <w:i w:val="1"/>
                <w:iCs w:val="1"/>
                <w:color w:val="auto"/>
                <w:w w:val="90"/>
              </w:rPr>
              <w:t>(in millions, except per share amounts)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Q4 FY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Q3 FY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b w:val="1"/>
                <w:bCs w:val="1"/>
                <w:color w:val="auto"/>
              </w:rPr>
              <w:t>Q4 FY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Months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right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Months</w:t>
            </w:r>
          </w:p>
        </w:tc>
        <w:tc>
          <w:tcPr>
            <w:tcW w:w="0" w:type="dxa"/>
            <w:vAlign w:val="bottom"/>
          </w:tcPr>
          <w:p>
            <w:pPr>
              <w:spacing w:after="0"/>
              <w:rPr>
                <w:sz w:val="1"/>
                <w:szCs w:val="1"/>
                <w:color w:val="auto"/>
              </w:rPr>
            </w:pPr>
          </w:p>
        </w:tc>
      </w:tr>
      <w:tr>
        <w:trPr>
          <w:trHeight w:val="234"/>
        </w:trPr>
        <w:tc>
          <w:tcPr>
            <w:tcW w:w="300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0" w:type="dxa"/>
            <w:vAlign w:val="bottom"/>
            <w:tcBorders>
              <w:bottom w:val="single" w:sz="8" w:color="auto"/>
            </w:tcBorders>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00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Income</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155.1</w:t>
            </w:r>
          </w:p>
        </w:tc>
        <w:tc>
          <w:tcPr>
            <w:tcW w:w="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3"/>
        </w:trPr>
        <w:tc>
          <w:tcPr>
            <w:tcW w:w="3000" w:type="dxa"/>
            <w:vAlign w:val="bottom"/>
            <w:tcBorders>
              <w:left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Income per share</w:t>
            </w:r>
          </w:p>
        </w:tc>
        <w:tc>
          <w:tcPr>
            <w:tcW w:w="3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0.72</w:t>
            </w:r>
          </w:p>
        </w:tc>
        <w:tc>
          <w:tcPr>
            <w:tcW w:w="3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0.70</w:t>
            </w:r>
          </w:p>
        </w:tc>
        <w:tc>
          <w:tcPr>
            <w:tcW w:w="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0.73</w:t>
            </w:r>
          </w:p>
        </w:tc>
        <w:tc>
          <w:tcPr>
            <w:tcW w:w="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3.20</w:t>
            </w:r>
          </w:p>
        </w:tc>
        <w:tc>
          <w:tcPr>
            <w:tcW w:w="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-1424305</wp:posOffset>
            </wp:positionV>
            <wp:extent cx="63950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95085" cy="13716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-147320</wp:posOffset>
            </wp:positionV>
            <wp:extent cx="63950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95085" cy="137160"/>
                    </a:xfrm>
                    <a:prstGeom prst="rect">
                      <a:avLst/>
                    </a:prstGeom>
                    <a:noFill/>
                  </pic:spPr>
                </pic:pic>
              </a:graphicData>
            </a:graphic>
          </wp:anchor>
        </w:drawing>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  All amounts presented are from continuing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cash and investments at year-end 2021 were $379.9 million and our Term Loan B principal amount was $103.1 million.</w:t>
      </w:r>
    </w:p>
    <w:p>
      <w:pPr>
        <w:spacing w:after="0" w:line="225" w:lineRule="exact"/>
        <w:rPr>
          <w:sz w:val="20"/>
          <w:szCs w:val="20"/>
          <w:color w:val="auto"/>
        </w:rPr>
      </w:pPr>
    </w:p>
    <w:p>
      <w:pPr>
        <w:ind w:right="160"/>
        <w:spacing w:after="0" w:line="248" w:lineRule="auto"/>
        <w:rPr>
          <w:sz w:val="20"/>
          <w:szCs w:val="20"/>
          <w:color w:val="auto"/>
        </w:rPr>
      </w:pPr>
      <w:r>
        <w:rPr>
          <w:rFonts w:ascii="Arial" w:cs="Arial" w:eastAsia="Arial" w:hAnsi="Arial"/>
          <w:sz w:val="17"/>
          <w:szCs w:val="17"/>
          <w:color w:val="auto"/>
        </w:rPr>
        <w:t>“Cohu delivered record revenue and profitability in 2021 with non-GAAP EPS of $3.20, up 169% year-over-year, demonstrating the scalability of our business model. We also had several design-wins that expanded our products into new customers, achieved year-over-year revenue growth of 130% in inspection &amp; metrology and 25% in interface products, and supported a significant ramp in automotive and industrial segments,” said Cohu President and CEO Luis Müller. “We enter 2022 with strong 87% estimated test cell utilization and increasing demand for our products. We are excited by the customer traction and opportunity to broaden our Semitest applications with our Diamond</w:t>
      </w:r>
      <w:r>
        <w:rPr>
          <w:rFonts w:ascii="Arial" w:cs="Arial" w:eastAsia="Arial" w:hAnsi="Arial"/>
          <w:sz w:val="28"/>
          <w:szCs w:val="28"/>
          <w:color w:val="auto"/>
          <w:vertAlign w:val="subscript"/>
        </w:rPr>
        <w:t>x</w:t>
      </w:r>
      <w:r>
        <w:rPr>
          <w:rFonts w:ascii="Arial" w:cs="Arial" w:eastAsia="Arial" w:hAnsi="Arial"/>
          <w:sz w:val="17"/>
          <w:szCs w:val="17"/>
          <w:color w:val="auto"/>
        </w:rPr>
        <w:t xml:space="preserve"> tester, growing interest in our Neon inspection &amp; metrology technology, expansion in test interface products and many ongoing qualifications for our DI-Core data analytics software solution. As a result, we recently increased Cohu’s mid-term financial targets to revenue of $1 billion and non-GAAP EPS of $4.00 per share.”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Cohu expects first quarter 2022 sales to be between $188 million and $202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Company will host a live conference call and webcast with slides to discuss fourth quarter 2021 results at 1:30 p.m. Pacific Time/4:30 p.m. Eastern Time on February 10, 2022. Interested investors and analysts are invited to dial into the conference call by using 1-866-434-5330 (domestic) or +1-213-660-0873 (international) and entering the pass code 7648568. Webcast access will be available on the Investor Information section of the Company’s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Cohu (NASDAQ: COHU) is a global leader in back-end semiconductor equipment and services, delivering leading-edge solutions for the manufacturing of semiconductors. Additional information can be found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Included within this press release and accompanying materials are non-GAAP financial measures, including non-GAAP Gross Margin/Profit, Income and Income (adjusted earnings) per share, Operating Income, Operating Expense, effective tax rate and Adjusted EBITDA that supplement the Company’s Condensed Consolidated Statements of Operations prepared under generally accepted accounting principles (GAAP). These non-GAAP financial measures adjust the Company’s actual results prepared under GAAP to exclude charges and the related income tax effect for: share-based compensation, the amortization of purchased intangible assets, restructuring costs, manufacturing transition and severance costs, asset impairment charges, gain on sale of business, gain on sale of facility, employer payroll taxes related to accelerated vesting share-based awards, depreciation of purchase accounting adjustments to property, plant and equipment, reduction of indemnification receivable, amortization of cloud-based software implementation costs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xml:space="preserve">) and gain (loss) on extinguishment of debt (Adjusted EBITDA </w:t>
      </w:r>
      <w:r>
        <w:rPr>
          <w:rFonts w:ascii="Arial" w:cs="Arial" w:eastAsia="Arial" w:hAnsi="Arial"/>
          <w:sz w:val="17"/>
          <w:szCs w:val="17"/>
          <w:u w:val="single" w:color="auto"/>
          <w:color w:val="auto"/>
        </w:rPr>
        <w:t>only</w:t>
      </w:r>
      <w:r>
        <w:rPr>
          <w:rFonts w:ascii="Arial" w:cs="Arial" w:eastAsia="Arial" w:hAnsi="Arial"/>
          <w:sz w:val="17"/>
          <w:szCs w:val="17"/>
          <w:color w:val="auto"/>
        </w:rPr>
        <w:t>). Reconciliations of GAAP to non-GAAP amounts for the periods presented herein are provided in schedules accompanying this release and should be considered together with the Condensed Consolidated Statements of Operations. With respect to any forward looking non-GAAP figures, we are unable to provide without unreasonable efforts, at this time, a GAAP to non-GAAP reconciliation of any forward-looking figures due to their inherent uncertainty.</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These non-GAAP measures are not meant as a substitute for GAAP, but are included solely for informational and comparative purposes. The Company’s management believes that this information can assist investors in evaluating the Company’s operational trends, financial performance, and cash generating capacity. Management uses non-GAAP measures for a variety of reasons, including to make operational decisions, to determine executive compensation in part, to forecast future operational results, and for comparison to our annual operating plan. However, the non-GAAP financial measures should not be regarded as a replacement for (or superior to) corresponding, similarly captioned, GAAP measures.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Certain statements contained in this release and accompanying materials may be considered forward-looking statements within the meaning of the U.S. Private Securities Litigation Reform Act of 1995, including statements regarding design wins in automotive, display driver and RF-FEM segments, estimated test cell utilization, increasing demand for our products, opportunities for our Diamondx tester and Neon inspection &amp; metrology technology, expansion in test interface products, ongoing qualifications for DI-Core, Cohu’s mid-term financial targets (mid-term means a 3-5 year time horizon), Cohu’s first half 2022 or FY2022 outlook, % of incremental revenue expected to fall to operating income, estimated systems versus recurring sales, Cohu’s first quarter 2022 sales forecast, guidance, sales mix, non-GAAP operating expenses, gross margin, operating income, adjusted EBITDA, effective tax rate, free cash flow, cap ex, cash and shares outstanding, estimated minimum cash needed, estimated EBITDA breakeven point, any future Term Loan B principal reduction, the amount, timing or manner of any share repurchases and any other statements that are predictive in nature and depend upon or refer to future events or conditions, and/or include words such as “may,” “will,” “should,” “would,” “expect,” “anticipate,” “plan,” “likely,” “believe,” “estimate,” “project,” “intend,” and/or other similar expressions among others. Statements that are not historical facts are forward-looking statements. Forward-looking statements are based on current beliefs and assumptions that are subject to risks and uncertainties and are not guarantees of future performance. Any third party industry analyst forecasts quoted are for reference only and Cohu does not adopt or affirm any such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7" w:name="page8"/>
    <w:bookmarkEnd w:id="7"/>
    <w:p>
      <w:pPr>
        <w:spacing w:after="0" w:line="284" w:lineRule="auto"/>
        <w:rPr>
          <w:sz w:val="20"/>
          <w:szCs w:val="20"/>
          <w:color w:val="auto"/>
        </w:rPr>
      </w:pPr>
      <w:r>
        <w:rPr>
          <w:rFonts w:ascii="Arial" w:cs="Arial" w:eastAsia="Arial" w:hAnsi="Arial"/>
          <w:sz w:val="16"/>
          <w:szCs w:val="16"/>
          <w:color w:val="auto"/>
        </w:rPr>
        <w:t>Actual results could differ materially from those contained in any forward-looking statement as a result of various factors, including, without limitation: the ongoing global COVID-19 pandemic has adversely affected, and is continuing to adversely affect, our business, financial condition and results of operations; the COVID-19 pandemic has impacted, and is expected to continue to negatively impact, the operations of our key suppliers, customers and other business partners; we are making investments in new products and product enhancements, which may adversely affect our operating results and these investments may not be commercially successful; we have manufacturing operations in Asia and any failure to effectively manage multiple manufacturing sites and to secure raw materials meeting our quality, cost and other requirements, or failures by our suppliers to perform, could harm our sales, service levels and reputation; a failure to perform or unexpected downtime experienced by our sole contract manufacturer for certain semiconductor automated test equipment could adversely impact our operations; failure of critical suppliers to deliver sufficient quantities of parts in a timely and cost-effective manner could adversely impact our operations; we may not be able to increase prices to fully offset inflationary pressures on costs, such as raw and packaging materials, components and subassemblies, labor and distribution costs, which may impact our financial condition or results of operations; the semiconductor industry we serve is seasonal, volatile and unpredictable and increased cyclicality could have an adverse impact on our sales and gross margin; the semiconductor equipment industry is intensely competitive; semiconductor equipment is subject to rapid technological change, product introductions and transitions which may result in inventory write-offs, and our new product development involves numerous risks and uncertainties; the seasonal nature of the semiconductor equipment industry places enormous demands on our employees, operations and infrastructure; a limited number of customers account for a substantial percentage of our net sales; majority of our revenues are generated from exports to foreign countries, primarily in Asia, that are subject to economic and political instability and we compete against a number of Asia-based test contactor, test handler and automated test equipment suppliers; we are exposed to the risks of operating in certain foreign locations from where Cohu manufactures certain products, and supports our sales and services to the global semiconductor industry; increasingly restrictive trade and export regulations may materially harm or limit Cohu’s business and ability to sell its products; the remaining indebtedness in connection with our financing of the Xcerra acquisition may have an adverse impact on Cohu’s liquidity, limit Cohu’s flexibility in responding to other business opportunities and increase Cohu’s vulnerability to adverse economic and industry conditions and the Tax Cuts and Jobs Act severely limits the deductibility of interest expense; we are exposed to other risks associated with additional potential acquisitions, investments and divestitures such as integration difficulties, disruption to our core business, dilution of stockholder value, and diversion of management attention; our financial and operating results may vary and fall below analysts’ estimates, or credit rating agencies may change their ratings on Cohu, any of which may cause the price of our common stock to decline or make it difficult to obtain other financing; we have experienced significant volatility in our stock price; there may be changes in, and uncertainty with respect to, legislation, regulation and governmental policy in the United States; and our business and operations could suffer in the event of cybersecurity breaches within our operational systems or products.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and other risks and uncertainties are discussed more fully in Cohu’s filings with the SEC, including the most recently filed Form 10-K and Form 10-Q, and the other filings made by Cohu with the SEC from time to time, which are available via the SEC’s website at www.sec.gov. Except as required by applicable law, Cohu does not undertake any obligation to revise or update any forward-looking statement, or to make any other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press releases and other information of interest to investors, please visit Cohu’s website at </w:t>
      </w:r>
      <w:r>
        <w:rPr>
          <w:rFonts w:ascii="Arial" w:cs="Arial" w:eastAsia="Arial" w:hAnsi="Arial"/>
          <w:sz w:val="18"/>
          <w:szCs w:val="18"/>
          <w:u w:val="single" w:color="auto"/>
          <w:color w:val="auto"/>
        </w:rPr>
        <w:t>www.cohu.com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Cohu,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Jeffrey D. Jones -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858-848-8106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COHU, INC.</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b w:val="1"/>
                <w:bCs w:val="1"/>
                <w:color w:val="auto"/>
              </w:rPr>
              <w:t>CONSOLIDATED STATEMENTS OF OPERATIONS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i w:val="1"/>
                <w:iCs w:val="1"/>
                <w:color w:val="auto"/>
              </w:rPr>
              <w:t>(in thousands, except per share amounts)</w:t>
            </w:r>
          </w:p>
        </w:tc>
        <w:tc>
          <w:tcPr>
            <w:tcW w:w="220" w:type="dxa"/>
            <w:vAlign w:val="bottom"/>
          </w:tcPr>
          <w:p>
            <w:pPr>
              <w:spacing w:after="0"/>
              <w:rPr>
                <w:sz w:val="20"/>
                <w:szCs w:val="20"/>
                <w:color w:val="auto"/>
              </w:rPr>
            </w:pPr>
          </w:p>
        </w:tc>
        <w:tc>
          <w:tcPr>
            <w:tcW w:w="2420" w:type="dxa"/>
            <w:vAlign w:val="bottom"/>
            <w:gridSpan w:val="5"/>
            <w:vMerge w:val="restart"/>
          </w:tcPr>
          <w:p>
            <w:pPr>
              <w:jc w:val="right"/>
              <w:ind w:right="560"/>
              <w:spacing w:after="0"/>
              <w:rPr>
                <w:sz w:val="20"/>
                <w:szCs w:val="20"/>
                <w:color w:val="auto"/>
              </w:rPr>
            </w:pPr>
            <w:r>
              <w:rPr>
                <w:rFonts w:ascii="Arial" w:cs="Arial" w:eastAsia="Arial" w:hAnsi="Arial"/>
                <w:sz w:val="18"/>
                <w:szCs w:val="18"/>
                <w:color w:val="auto"/>
                <w:w w:val="93"/>
              </w:rPr>
              <w:t xml:space="preserve">Three Months Ended </w:t>
            </w:r>
            <w:r>
              <w:rPr>
                <w:rFonts w:ascii="Arial" w:cs="Arial" w:eastAsia="Arial" w:hAnsi="Arial"/>
                <w:sz w:val="29"/>
                <w:szCs w:val="29"/>
                <w:color w:val="auto"/>
                <w:w w:val="93"/>
                <w:vertAlign w:val="superscript"/>
              </w:rPr>
              <w:t>(1)</w:t>
            </w:r>
          </w:p>
        </w:tc>
        <w:tc>
          <w:tcPr>
            <w:tcW w:w="200" w:type="dxa"/>
            <w:vAlign w:val="bottom"/>
          </w:tcPr>
          <w:p>
            <w:pPr>
              <w:spacing w:after="0"/>
              <w:rPr>
                <w:sz w:val="20"/>
                <w:szCs w:val="20"/>
                <w:color w:val="auto"/>
              </w:rPr>
            </w:pPr>
          </w:p>
        </w:tc>
        <w:tc>
          <w:tcPr>
            <w:tcW w:w="2340" w:type="dxa"/>
            <w:vAlign w:val="bottom"/>
            <w:gridSpan w:val="5"/>
            <w:vMerge w:val="restart"/>
          </w:tcPr>
          <w:p>
            <w:pPr>
              <w:jc w:val="right"/>
              <w:ind w:right="400"/>
              <w:spacing w:after="0"/>
              <w:rPr>
                <w:sz w:val="20"/>
                <w:szCs w:val="20"/>
                <w:color w:val="auto"/>
              </w:rPr>
            </w:pPr>
            <w:r>
              <w:rPr>
                <w:rFonts w:ascii="Arial" w:cs="Arial" w:eastAsia="Arial" w:hAnsi="Arial"/>
                <w:sz w:val="18"/>
                <w:szCs w:val="18"/>
                <w:color w:val="auto"/>
                <w:w w:val="92"/>
              </w:rPr>
              <w:t xml:space="preserve">Twelve Months Ended </w:t>
            </w:r>
            <w:r>
              <w:rPr>
                <w:rFonts w:ascii="Arial" w:cs="Arial" w:eastAsia="Arial" w:hAnsi="Arial"/>
                <w:sz w:val="29"/>
                <w:szCs w:val="29"/>
                <w:color w:val="auto"/>
                <w:w w:val="92"/>
                <w:vertAlign w:val="superscript"/>
              </w:rPr>
              <w:t>(1)</w:t>
            </w:r>
          </w:p>
        </w:tc>
        <w:tc>
          <w:tcPr>
            <w:tcW w:w="0" w:type="dxa"/>
            <w:vAlign w:val="bottom"/>
          </w:tcPr>
          <w:p>
            <w:pPr>
              <w:spacing w:after="0"/>
              <w:rPr>
                <w:sz w:val="1"/>
                <w:szCs w:val="1"/>
                <w:color w:val="auto"/>
              </w:rPr>
            </w:pPr>
          </w:p>
        </w:tc>
      </w:tr>
      <w:tr>
        <w:trPr>
          <w:trHeight w:val="198"/>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gridSpan w:val="5"/>
            <w:vMerge w:val="continue"/>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25,</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December 26,</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25,</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December 26,</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191,860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202,355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887,214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636,007</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Cost and expenses: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 (excluding amortization)</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107,466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111,114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500,253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364,225</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22,596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22,762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91,963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86,151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31,123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33,584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126,958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129,248</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Amortization of purchased intangible assets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8,246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9,898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35,414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38,746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(Gain) loss on sale of PCB Test business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4,939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(70,815)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6,223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1,823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7,623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Impairment charges </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Gain on sale of facilities </w:t>
            </w:r>
            <w:r>
              <w:rPr>
                <w:rFonts w:ascii="Arial" w:cs="Arial" w:eastAsia="Arial" w:hAnsi="Arial"/>
                <w:sz w:val="25"/>
                <w:szCs w:val="25"/>
                <w:color w:val="auto"/>
                <w:vertAlign w:val="superscript"/>
              </w:rPr>
              <w:t>(4)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(4,495)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174,305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183,581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685,696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632,747</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17,555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18,774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201,518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(1,041)</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(2,855)</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Foreign transaction gain (loss)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411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Gain (loss) on extinguishment of debt </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Income (loss) from continuing operations before taxes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17,282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15,266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192,344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(3,607)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25,019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20,889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14,861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167,325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line="216" w:lineRule="exact"/>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5"/>
                <w:szCs w:val="25"/>
                <w:color w:val="auto"/>
                <w:vertAlign w:val="superscript"/>
              </w:rPr>
              <w:t>(6)</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 before taxes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20,889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14,861</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167,325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Income (loss) per share: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6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0.43</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0.35</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0.42</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Income from discontinued operations</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0.42</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Weighted average shares used in computing income (loss) per share: </w:t>
            </w:r>
            <w:r>
              <w:rPr>
                <w:rFonts w:ascii="Arial" w:cs="Arial" w:eastAsia="Arial" w:hAnsi="Arial"/>
                <w:sz w:val="25"/>
                <w:szCs w:val="25"/>
                <w:color w:val="auto"/>
                <w:vertAlign w:val="superscript"/>
              </w:rPr>
              <w:t>(7)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48,657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42,125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47,409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41,854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49,427</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43,486</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b w:val="1"/>
                <w:bCs w:val="1"/>
                <w:color w:val="auto"/>
              </w:rPr>
              <w:t>48,460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41,854</w:t>
            </w:r>
          </w:p>
        </w:tc>
        <w:tc>
          <w:tcPr>
            <w:tcW w:w="0" w:type="dxa"/>
            <w:vAlign w:val="bottom"/>
          </w:tcPr>
          <w:p>
            <w:pPr>
              <w:spacing w:after="0"/>
              <w:rPr>
                <w:sz w:val="1"/>
                <w:szCs w:val="1"/>
                <w:color w:val="auto"/>
              </w:rPr>
            </w:pPr>
          </w:p>
        </w:tc>
      </w:tr>
      <w:tr>
        <w:trPr>
          <w:trHeight w:val="34"/>
        </w:trPr>
        <w:tc>
          <w:tcPr>
            <w:tcW w:w="6060" w:type="dxa"/>
            <w:vAlign w:val="bottom"/>
            <w:tcBorders>
              <w:top w:val="single" w:sz="8" w:color="CCEEFF"/>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86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CCEEFF"/>
              <w:bottom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100" w:type="dxa"/>
            <w:vAlign w:val="bottom"/>
            <w:tcBorders>
              <w:top w:val="single" w:sz="8" w:color="CCEEFF"/>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840" w:hanging="330"/>
        <w:spacing w:after="0" w:line="258"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three- and twelve-month periods ended December 25, 2021 and December 26, 2020 were both comprised of 13 weeks and 52 weeks, respectively.</w:t>
      </w:r>
    </w:p>
    <w:p>
      <w:pPr>
        <w:spacing w:after="0" w:line="1" w:lineRule="exact"/>
        <w:rPr>
          <w:rFonts w:ascii="Arial" w:cs="Arial" w:eastAsia="Arial" w:hAnsi="Arial"/>
          <w:sz w:val="18"/>
          <w:szCs w:val="18"/>
          <w:color w:val="auto"/>
        </w:rPr>
      </w:pPr>
    </w:p>
    <w:p>
      <w:pPr>
        <w:ind w:left="500" w:right="140" w:hanging="330"/>
        <w:spacing w:after="0" w:line="281" w:lineRule="auto"/>
        <w:tabs>
          <w:tab w:leader="none" w:pos="5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June 24, 2021 the Company completed the divestment of its PCB Test business. The divestment of this business did not qualify for presentation as discontinued operations and the results of the PCB Test business are included in continuing operations for all periods presented.</w:t>
      </w:r>
    </w:p>
    <w:p>
      <w:pPr>
        <w:spacing w:after="0" w:line="1" w:lineRule="exact"/>
        <w:rPr>
          <w:rFonts w:ascii="Arial" w:cs="Arial" w:eastAsia="Arial" w:hAnsi="Arial"/>
          <w:sz w:val="16"/>
          <w:szCs w:val="16"/>
          <w:color w:val="auto"/>
        </w:rPr>
      </w:pPr>
    </w:p>
    <w:p>
      <w:pPr>
        <w:ind w:left="500" w:right="240" w:hanging="330"/>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in our results for the three- and twelve-month periods ended December 25, 2021 and twelve-month period ended December 26, 2020 are impairment charges recorded to write certain of our in-process research and development assets (“IPR&amp;D”) obtained as part of our acquisition of Xcerra down to current estimated fair values.</w:t>
      </w:r>
    </w:p>
    <w:p>
      <w:pPr>
        <w:spacing w:after="0" w:line="1" w:lineRule="exact"/>
        <w:rPr>
          <w:rFonts w:ascii="Arial" w:cs="Arial" w:eastAsia="Arial" w:hAnsi="Arial"/>
          <w:sz w:val="18"/>
          <w:szCs w:val="18"/>
          <w:color w:val="auto"/>
        </w:rPr>
      </w:pPr>
    </w:p>
    <w:p>
      <w:pPr>
        <w:ind w:left="500" w:right="160" w:hanging="330"/>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2020 we completed the sale of our facilities in Rosenheim, Germany and in Penang, Malaysia which generated a gain of $4.5 million. Both facilities were sold as part of the previously announced Xcerra integration program.</w:t>
      </w:r>
    </w:p>
    <w:p>
      <w:pPr>
        <w:ind w:left="500" w:right="80" w:hanging="330"/>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Early prepayments of outstanding Term Loan B made during 2021 resulted in a loss from the extinguishment of debt. In the fourth quarter of 2020 we repurchased and retired $20.0 million of our outstanding Term Loan B which resulted in a loss from the extinguishment of debt. For the full year ended December 26, 2020, total repurchases and retirements of Term Loan B were $36.4 million and resulted in a gain from the extinguishment of debt. Gain (loss) on extinguishment of debt is the net result after any cash gain is offset by the required reduction in our capitalized debt issuance costs and original issuance discounts.</w:t>
      </w:r>
    </w:p>
    <w:p>
      <w:pPr>
        <w:spacing w:after="0" w:line="1" w:lineRule="exact"/>
        <w:rPr>
          <w:rFonts w:ascii="Arial" w:cs="Arial" w:eastAsia="Arial" w:hAnsi="Arial"/>
          <w:sz w:val="18"/>
          <w:szCs w:val="18"/>
          <w:color w:val="auto"/>
        </w:rPr>
      </w:pPr>
    </w:p>
    <w:p>
      <w:pPr>
        <w:ind w:left="500" w:right="120" w:hanging="330"/>
        <w:spacing w:after="0" w:line="265"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 October 1, 2018, the Company made the decision to sell the fixtures business acquired from Xcerra, and, as a result, the operating results of this business have been presented as discontinued operations. In February 2020, we completed the sale of this business.</w:t>
      </w:r>
    </w:p>
    <w:p>
      <w:pPr>
        <w:ind w:left="500" w:right="60" w:hanging="330"/>
        <w:spacing w:after="0" w:line="271"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For the twelve-month period ended December 26, 2020, potentially dilutive securities were excluded from the per share computations due to their antidilutive effect. The Company has utilized the “control number” concept in the computation of diluted earnings per share to determine whether a potential common stock instrument is dilutive. The control number used is income from continuing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288"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COHU, INC.</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860" w:type="dxa"/>
            <w:vAlign w:val="bottom"/>
          </w:tcPr>
          <w:p>
            <w:pPr>
              <w:spacing w:after="0"/>
              <w:rPr>
                <w:sz w:val="20"/>
                <w:szCs w:val="20"/>
                <w:color w:val="auto"/>
              </w:rPr>
            </w:pPr>
            <w:r>
              <w:rPr>
                <w:rFonts w:ascii="Arial" w:cs="Arial" w:eastAsia="Arial" w:hAnsi="Arial"/>
                <w:sz w:val="18"/>
                <w:szCs w:val="18"/>
                <w:b w:val="1"/>
                <w:bCs w:val="1"/>
                <w:color w:val="auto"/>
              </w:rPr>
              <w:t>CONDENSED CONSOLIDATED BALANCE SHEETS</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(Unaudited)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December 25,</w:t>
            </w:r>
          </w:p>
        </w:tc>
        <w:tc>
          <w:tcPr>
            <w:tcW w:w="160" w:type="dxa"/>
            <w:vAlign w:val="bottom"/>
          </w:tcPr>
          <w:p>
            <w:pPr>
              <w:spacing w:after="0"/>
              <w:rPr>
                <w:sz w:val="20"/>
                <w:szCs w:val="20"/>
                <w:color w:val="auto"/>
              </w:rPr>
            </w:pPr>
          </w:p>
        </w:tc>
        <w:tc>
          <w:tcPr>
            <w:tcW w:w="1480" w:type="dxa"/>
            <w:vAlign w:val="bottom"/>
            <w:gridSpan w:val="2"/>
            <w:vMerge w:val="restart"/>
          </w:tcPr>
          <w:p>
            <w:pPr>
              <w:ind w:left="100"/>
              <w:spacing w:after="0"/>
              <w:rPr>
                <w:sz w:val="20"/>
                <w:szCs w:val="20"/>
                <w:color w:val="auto"/>
              </w:rPr>
            </w:pPr>
            <w:r>
              <w:rPr>
                <w:rFonts w:ascii="Arial" w:cs="Arial" w:eastAsia="Arial" w:hAnsi="Arial"/>
                <w:sz w:val="18"/>
                <w:szCs w:val="18"/>
                <w:color w:val="auto"/>
              </w:rPr>
              <w:t>December 26,</w:t>
            </w:r>
          </w:p>
        </w:tc>
        <w:tc>
          <w:tcPr>
            <w:tcW w:w="0" w:type="dxa"/>
            <w:vAlign w:val="bottom"/>
          </w:tcPr>
          <w:p>
            <w:pPr>
              <w:spacing w:after="0"/>
              <w:rPr>
                <w:sz w:val="1"/>
                <w:szCs w:val="1"/>
                <w:color w:val="auto"/>
              </w:rPr>
            </w:pPr>
          </w:p>
        </w:tc>
      </w:tr>
      <w:tr>
        <w:trPr>
          <w:trHeight w:val="198"/>
        </w:trPr>
        <w:tc>
          <w:tcPr>
            <w:tcW w:w="7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investments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379,905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170,027</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192,873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151,919</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161,053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142,500</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16,962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750,793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485,046</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Property, plant &amp; equipment, net</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63,957</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66,916</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219,791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252,304</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177,320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233,685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 of use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25,060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29,203</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22,123</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1,259,044</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1,090,346</w:t>
            </w:r>
          </w:p>
        </w:tc>
        <w:tc>
          <w:tcPr>
            <w:tcW w:w="0" w:type="dxa"/>
            <w:vAlign w:val="bottom"/>
          </w:tcPr>
          <w:p>
            <w:pPr>
              <w:spacing w:after="0"/>
              <w:rPr>
                <w:sz w:val="1"/>
                <w:szCs w:val="1"/>
                <w:color w:val="auto"/>
              </w:rPr>
            </w:pPr>
          </w:p>
        </w:tc>
      </w:tr>
      <w:tr>
        <w:trPr>
          <w:trHeight w:val="197"/>
        </w:trPr>
        <w:tc>
          <w:tcPr>
            <w:tcW w:w="78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&amp;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5,314</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Current installments of long-term debt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11,338</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profit</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13,208</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8,671</w:t>
            </w:r>
          </w:p>
        </w:tc>
        <w:tc>
          <w:tcPr>
            <w:tcW w:w="0" w:type="dxa"/>
            <w:vAlign w:val="bottom"/>
          </w:tcPr>
          <w:p>
            <w:pPr>
              <w:spacing w:after="0"/>
              <w:rPr>
                <w:sz w:val="1"/>
                <w:szCs w:val="1"/>
                <w:color w:val="auto"/>
              </w:rPr>
            </w:pPr>
          </w:p>
        </w:tc>
      </w:tr>
      <w:tr>
        <w:trPr>
          <w:trHeight w:val="216"/>
        </w:trPr>
        <w:tc>
          <w:tcPr>
            <w:tcW w:w="786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164,854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192,459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174,453</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103,393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311,551</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22,040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25,787</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58,650</w:t>
            </w:r>
          </w:p>
        </w:tc>
        <w:tc>
          <w:tcPr>
            <w:tcW w:w="16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66,267</w:t>
            </w:r>
          </w:p>
        </w:tc>
        <w:tc>
          <w:tcPr>
            <w:tcW w:w="0" w:type="dxa"/>
            <w:vAlign w:val="bottom"/>
          </w:tcPr>
          <w:p>
            <w:pPr>
              <w:spacing w:after="0"/>
              <w:rPr>
                <w:sz w:val="1"/>
                <w:szCs w:val="1"/>
                <w:color w:val="auto"/>
              </w:rPr>
            </w:pPr>
          </w:p>
        </w:tc>
      </w:tr>
      <w:tr>
        <w:trPr>
          <w:trHeight w:val="216"/>
        </w:trPr>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Cohu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882,502</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512,288</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Pr>
          <w:p>
            <w:pPr>
              <w:ind w:left="340"/>
              <w:spacing w:after="0"/>
              <w:rPr>
                <w:sz w:val="20"/>
                <w:szCs w:val="20"/>
                <w:color w:val="auto"/>
              </w:rPr>
            </w:pPr>
            <w:r>
              <w:rPr>
                <w:rFonts w:ascii="Arial" w:cs="Arial" w:eastAsia="Arial" w:hAnsi="Arial"/>
                <w:sz w:val="18"/>
                <w:szCs w:val="18"/>
                <w:color w:val="auto"/>
              </w:rPr>
              <w:t>Total liabilities &amp; stockholders’ equity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1,259,044</w:t>
            </w:r>
          </w:p>
        </w:tc>
        <w:tc>
          <w:tcPr>
            <w:tcW w:w="22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1,090,346</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7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right="60" w:hanging="317"/>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January 28, 2022, the Company prepaid $7 million of its term loan B debt facility. As a result of this prepayment occurring during the first fiscal quarter of 2022, $7 million has been classified as current installments of long-term debt as of December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3"/>
          </w:tcPr>
          <w:p>
            <w:pPr>
              <w:jc w:val="center"/>
              <w:ind w:right="180"/>
              <w:spacing w:after="0"/>
              <w:rPr>
                <w:sz w:val="20"/>
                <w:szCs w:val="20"/>
                <w:color w:val="auto"/>
              </w:rPr>
            </w:pPr>
            <w:r>
              <w:rPr>
                <w:rFonts w:ascii="Arial" w:cs="Arial" w:eastAsia="Arial" w:hAnsi="Arial"/>
                <w:sz w:val="16"/>
                <w:szCs w:val="16"/>
                <w:color w:val="auto"/>
                <w:w w:val="90"/>
              </w:rPr>
              <w:t>Three Months Ended</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91"/>
              </w:rPr>
              <w:t>December 25,</w:t>
            </w:r>
          </w:p>
        </w:tc>
        <w:tc>
          <w:tcPr>
            <w:tcW w:w="18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Arial" w:cs="Arial" w:eastAsia="Arial" w:hAnsi="Arial"/>
                <w:sz w:val="16"/>
                <w:szCs w:val="16"/>
                <w:color w:val="auto"/>
                <w:w w:val="87"/>
              </w:rPr>
              <w:t>September 25,</w:t>
            </w:r>
          </w:p>
        </w:tc>
        <w:tc>
          <w:tcPr>
            <w:tcW w:w="200" w:type="dxa"/>
            <w:vAlign w:val="bottom"/>
          </w:tcPr>
          <w:p>
            <w:pPr>
              <w:spacing w:after="0"/>
              <w:rPr>
                <w:sz w:val="17"/>
                <w:szCs w:val="17"/>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6"/>
                <w:szCs w:val="16"/>
                <w:color w:val="auto"/>
                <w:w w:val="99"/>
              </w:rPr>
              <w:t>December 26,</w:t>
            </w:r>
          </w:p>
        </w:tc>
      </w:tr>
      <w:tr>
        <w:trPr>
          <w:trHeight w:val="209"/>
        </w:trPr>
        <w:tc>
          <w:tcPr>
            <w:tcW w:w="6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18"/>
                <w:szCs w:val="18"/>
                <w:color w:val="auto"/>
              </w:rPr>
            </w:pPr>
          </w:p>
        </w:tc>
      </w:tr>
      <w:tr>
        <w:trPr>
          <w:trHeight w:val="199"/>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 - GAAP basis (a)</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17,555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33,716</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18,774</w:t>
            </w: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Non-GAAP adjustments: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Share-based compensation included in (b):</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20" w:type="dxa"/>
            <w:vAlign w:val="bottom"/>
          </w:tcPr>
          <w:p>
            <w:pPr>
              <w:ind w:left="340"/>
              <w:spacing w:after="0"/>
              <w:rPr>
                <w:sz w:val="20"/>
                <w:szCs w:val="20"/>
                <w:color w:val="auto"/>
              </w:rPr>
            </w:pPr>
            <w:r>
              <w:rPr>
                <w:rFonts w:ascii="Arial" w:cs="Arial" w:eastAsia="Arial" w:hAnsi="Arial"/>
                <w:sz w:val="16"/>
                <w:szCs w:val="16"/>
                <w:color w:val="auto"/>
              </w:rPr>
              <w:t>Cost of sales (COS)</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136</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239</w:t>
            </w:r>
          </w:p>
        </w:tc>
        <w:tc>
          <w:tcPr>
            <w:tcW w:w="2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252</w:t>
            </w:r>
          </w:p>
        </w:tc>
      </w:tr>
      <w:tr>
        <w:trPr>
          <w:trHeight w:val="203"/>
        </w:trPr>
        <w:tc>
          <w:tcPr>
            <w:tcW w:w="6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 (R&amp;D)</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584</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889</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802</w:t>
            </w:r>
          </w:p>
        </w:tc>
      </w:tr>
      <w:tr>
        <w:trPr>
          <w:trHeight w:val="203"/>
        </w:trPr>
        <w:tc>
          <w:tcPr>
            <w:tcW w:w="6220" w:type="dxa"/>
            <w:vAlign w:val="bottom"/>
          </w:tcPr>
          <w:p>
            <w:pPr>
              <w:ind w:left="340"/>
              <w:spacing w:after="0"/>
              <w:rPr>
                <w:sz w:val="20"/>
                <w:szCs w:val="20"/>
                <w:color w:val="auto"/>
              </w:rPr>
            </w:pPr>
            <w:r>
              <w:rPr>
                <w:rFonts w:ascii="Arial" w:cs="Arial" w:eastAsia="Arial" w:hAnsi="Arial"/>
                <w:sz w:val="16"/>
                <w:szCs w:val="16"/>
                <w:color w:val="auto"/>
              </w:rPr>
              <w:t>Selling, general and administrative (SG&amp;A)</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2,329</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2,586</w:t>
            </w:r>
          </w:p>
        </w:tc>
        <w:tc>
          <w:tcPr>
            <w:tcW w:w="2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2,867</w:t>
            </w:r>
          </w:p>
        </w:tc>
      </w:tr>
      <w:tr>
        <w:trPr>
          <w:trHeight w:val="20"/>
        </w:trPr>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3,049</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3,714</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3,921</w:t>
            </w: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Amortization of purchased intangible assets (c)</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8,246</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8,879</w:t>
            </w:r>
          </w:p>
        </w:tc>
        <w:tc>
          <w:tcPr>
            <w:tcW w:w="2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9,898</w:t>
            </w: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Restructuring charges related to inventory adjustments in COS (d)</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141</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(836)</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(550)</w:t>
            </w: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Restructuring charges included in operating expenses (d):</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Restructuring charges (d)</w:t>
            </w:r>
          </w:p>
        </w:tc>
        <w:tc>
          <w:tcPr>
            <w:tcW w:w="1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(165)</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6,223</w:t>
            </w: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Manufacturing and sales transition costs included in (e):</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220" w:type="dxa"/>
            <w:vAlign w:val="bottom"/>
          </w:tcPr>
          <w:p>
            <w:pPr>
              <w:ind w:left="340"/>
              <w:spacing w:after="0"/>
              <w:rPr>
                <w:sz w:val="20"/>
                <w:szCs w:val="20"/>
                <w:color w:val="auto"/>
              </w:rPr>
            </w:pPr>
            <w:r>
              <w:rPr>
                <w:rFonts w:ascii="Arial" w:cs="Arial" w:eastAsia="Arial" w:hAnsi="Arial"/>
                <w:sz w:val="16"/>
                <w:szCs w:val="16"/>
                <w:color w:val="auto"/>
              </w:rPr>
              <w:t>COS</w:t>
            </w:r>
          </w:p>
        </w:tc>
        <w:tc>
          <w:tcPr>
            <w:tcW w:w="1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26</w:t>
            </w:r>
          </w:p>
        </w:tc>
      </w:tr>
      <w:tr>
        <w:trPr>
          <w:trHeight w:val="203"/>
        </w:trPr>
        <w:tc>
          <w:tcPr>
            <w:tcW w:w="6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R&amp;D</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w:t>
            </w:r>
          </w:p>
        </w:tc>
      </w:tr>
      <w:tr>
        <w:trPr>
          <w:trHeight w:val="203"/>
        </w:trPr>
        <w:tc>
          <w:tcPr>
            <w:tcW w:w="6220" w:type="dxa"/>
            <w:vAlign w:val="bottom"/>
          </w:tcPr>
          <w:p>
            <w:pPr>
              <w:ind w:left="340"/>
              <w:spacing w:after="0"/>
              <w:rPr>
                <w:sz w:val="20"/>
                <w:szCs w:val="20"/>
                <w:color w:val="auto"/>
              </w:rPr>
            </w:pPr>
            <w:r>
              <w:rPr>
                <w:rFonts w:ascii="Arial" w:cs="Arial" w:eastAsia="Arial" w:hAnsi="Arial"/>
                <w:sz w:val="16"/>
                <w:szCs w:val="16"/>
                <w:color w:val="auto"/>
              </w:rPr>
              <w:t>SG&amp;A</w:t>
            </w:r>
          </w:p>
        </w:tc>
        <w:tc>
          <w:tcPr>
            <w:tcW w:w="1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(2)</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458</w:t>
            </w:r>
          </w:p>
        </w:tc>
      </w:tr>
      <w:tr>
        <w:trPr>
          <w:trHeight w:val="20"/>
        </w:trPr>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490</w:t>
            </w: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Impairment charges (f)</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(gain) on sale of PCB Test business (g)</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4,939</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PP&amp;E step-up included in SG&amp;A (h)</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145</w:t>
            </w: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Reduction of indemnification receivable included in SG&amp;A (i)</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111</w:t>
            </w: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w w:val="96"/>
              </w:rPr>
              <w:t>Payroll taxes related to accelerated vesting of share-based awards included in SG&amp;A (j)</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263</w:t>
            </w:r>
          </w:p>
        </w:tc>
      </w:tr>
      <w:tr>
        <w:trPr>
          <w:trHeight w:val="20"/>
        </w:trPr>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from operations - non-GAAP basis (k)</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33,941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45,559</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39,275</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6220" w:type="dxa"/>
            <w:vAlign w:val="bottom"/>
          </w:tcPr>
          <w:p>
            <w:pPr>
              <w:spacing w:after="0"/>
              <w:rPr>
                <w:sz w:val="20"/>
                <w:szCs w:val="20"/>
                <w:color w:val="auto"/>
              </w:rPr>
            </w:pPr>
            <w:r>
              <w:rPr>
                <w:rFonts w:ascii="Arial" w:cs="Arial" w:eastAsia="Arial" w:hAnsi="Arial"/>
                <w:sz w:val="16"/>
                <w:szCs w:val="16"/>
                <w:color w:val="auto"/>
              </w:rPr>
              <w:t>Income from continuing operations - GAAP basis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20,889</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23,733</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14,861</w:t>
            </w:r>
          </w:p>
        </w:tc>
      </w:tr>
      <w:tr>
        <w:trPr>
          <w:trHeight w:val="203"/>
        </w:trPr>
        <w:tc>
          <w:tcPr>
            <w:tcW w:w="62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Non-GAAP adjustments (as scheduled above)</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16,386</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11,843</w:t>
            </w: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20,501</w:t>
            </w:r>
          </w:p>
        </w:tc>
      </w:tr>
      <w:tr>
        <w:trPr>
          <w:trHeight w:val="203"/>
        </w:trPr>
        <w:tc>
          <w:tcPr>
            <w:tcW w:w="6220" w:type="dxa"/>
            <w:vAlign w:val="bottom"/>
          </w:tcPr>
          <w:p>
            <w:pPr>
              <w:ind w:left="180"/>
              <w:spacing w:after="0"/>
              <w:rPr>
                <w:sz w:val="20"/>
                <w:szCs w:val="20"/>
                <w:color w:val="auto"/>
              </w:rPr>
            </w:pPr>
            <w:r>
              <w:rPr>
                <w:rFonts w:ascii="Arial" w:cs="Arial" w:eastAsia="Arial" w:hAnsi="Arial"/>
                <w:sz w:val="16"/>
                <w:szCs w:val="16"/>
                <w:color w:val="auto"/>
              </w:rPr>
              <w:t>Tax effect of non-GAAP adjustments (l)</w:t>
            </w:r>
          </w:p>
        </w:tc>
        <w:tc>
          <w:tcPr>
            <w:tcW w:w="1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(1,650)</w:t>
            </w:r>
          </w:p>
        </w:tc>
        <w:tc>
          <w:tcPr>
            <w:tcW w:w="18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(964)</w:t>
            </w:r>
          </w:p>
        </w:tc>
        <w:tc>
          <w:tcPr>
            <w:tcW w:w="2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(3,556)</w:t>
            </w:r>
          </w:p>
        </w:tc>
      </w:tr>
      <w:tr>
        <w:trPr>
          <w:trHeight w:val="20"/>
        </w:trPr>
        <w:tc>
          <w:tcPr>
            <w:tcW w:w="6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 - non-GAAP basis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35,625</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34,612</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31,806</w:t>
            </w:r>
          </w:p>
        </w:tc>
      </w:tr>
      <w:tr>
        <w:trPr>
          <w:trHeight w:val="20"/>
        </w:trPr>
        <w:tc>
          <w:tcPr>
            <w:tcW w:w="6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83"/>
        </w:trPr>
        <w:tc>
          <w:tcPr>
            <w:tcW w:w="6220" w:type="dxa"/>
            <w:vAlign w:val="bottom"/>
          </w:tcPr>
          <w:p>
            <w:pPr>
              <w:spacing w:after="0"/>
              <w:rPr>
                <w:sz w:val="20"/>
                <w:szCs w:val="20"/>
                <w:color w:val="auto"/>
              </w:rPr>
            </w:pPr>
            <w:r>
              <w:rPr>
                <w:rFonts w:ascii="Arial" w:cs="Arial" w:eastAsia="Arial" w:hAnsi="Arial"/>
                <w:sz w:val="16"/>
                <w:szCs w:val="16"/>
                <w:color w:val="auto"/>
              </w:rPr>
              <w:t>GAAP income from continuing operations per share - diluted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0.42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6"/>
                <w:szCs w:val="16"/>
                <w:color w:val="auto"/>
              </w:rPr>
              <w:t>0.48</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0.34</w:t>
            </w:r>
          </w:p>
        </w:tc>
      </w:tr>
      <w:tr>
        <w:trPr>
          <w:trHeight w:val="202"/>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Non-GAAP income from continuing operations per share - diluted (m)</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0.73</w:t>
            </w:r>
          </w:p>
        </w:tc>
      </w:tr>
      <w:tr>
        <w:trPr>
          <w:trHeight w:val="54"/>
        </w:trPr>
        <w:tc>
          <w:tcPr>
            <w:tcW w:w="6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pacing w:after="0" w:line="35" w:lineRule="exact"/>
        <w:rPr>
          <w:sz w:val="20"/>
          <w:szCs w:val="20"/>
          <w:color w:val="auto"/>
        </w:rPr>
      </w:pPr>
    </w:p>
    <w:p>
      <w:pPr>
        <w:ind w:right="60"/>
        <w:spacing w:after="0" w:line="241"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the gains from the sale of the PCB Test business have been excluded as these amounts are infrequent and are unrelated to the operational performance of Cohu.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PP&amp;E step-up costs have been excluded by management as they are unrelated to the core operating activities of the Company.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21" w:lineRule="exact"/>
        <w:rPr>
          <w:sz w:val="20"/>
          <w:szCs w:val="20"/>
          <w:color w:val="auto"/>
        </w:rPr>
      </w:pPr>
    </w:p>
    <w:p>
      <w:pPr>
        <w:ind w:left="420" w:hanging="331"/>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9.1%, 15.0% and 9.3% of net sales, respectively.</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restructuring costs incurred related to the integration of Xcerra and the Company’s German operations.</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manufacturing and sales transition and severance costs.</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impairment charges recorded to adjust IPR&amp;D assets obtained in the acquisition of Xcerra to current fair value.</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gains generated from the sale of the PCB Test business.</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accelerated depreciation from the property, plant &amp; equipment step-up related to the acquisition of Xcerra.</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impact of the reduction of an uncertain tax position liability and related indemnification receivable.</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eliminate the impact of employer payroll taxes associated with the acceleration of Pascal Rondé share-based awards under the terms of his separation agreement.</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17.7%, 20.2% and 19.4% of net sales, respectively.</w:t>
      </w:r>
    </w:p>
    <w:p>
      <w:pPr>
        <w:ind w:left="420" w:hanging="331"/>
        <w:spacing w:after="0" w:line="221" w:lineRule="auto"/>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420" w:hanging="331"/>
        <w:spacing w:after="0"/>
        <w:tabs>
          <w:tab w:leader="none" w:pos="4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All periods presented were computed using the number of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0" w:type="dxa"/>
            <w:vAlign w:val="bottom"/>
            <w:gridSpan w:val="6"/>
          </w:tcPr>
          <w:p>
            <w:pPr>
              <w:jc w:val="right"/>
              <w:ind w:right="1020"/>
              <w:spacing w:after="0"/>
              <w:rPr>
                <w:sz w:val="20"/>
                <w:szCs w:val="20"/>
                <w:color w:val="auto"/>
              </w:rPr>
            </w:pPr>
            <w:r>
              <w:rPr>
                <w:rFonts w:ascii="Arial" w:cs="Arial" w:eastAsia="Arial" w:hAnsi="Arial"/>
                <w:sz w:val="16"/>
                <w:szCs w:val="16"/>
                <w:color w:val="auto"/>
              </w:rPr>
              <w:t>Twelve Months Ended</w:t>
            </w:r>
          </w:p>
        </w:tc>
      </w:tr>
      <w:tr>
        <w:trPr>
          <w:trHeight w:val="203"/>
        </w:trPr>
        <w:tc>
          <w:tcPr>
            <w:tcW w:w="7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6"/>
                <w:szCs w:val="16"/>
                <w:color w:val="auto"/>
                <w:w w:val="99"/>
              </w:rPr>
              <w:t>December 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6"/>
                <w:szCs w:val="16"/>
                <w:color w:val="auto"/>
                <w:w w:val="99"/>
              </w:rPr>
              <w:t>December 26,</w:t>
            </w:r>
          </w:p>
        </w:tc>
      </w:tr>
      <w:tr>
        <w:trPr>
          <w:trHeight w:val="209"/>
        </w:trPr>
        <w:tc>
          <w:tcPr>
            <w:tcW w:w="7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r>
      <w:tr>
        <w:trPr>
          <w:trHeight w:val="199"/>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 - GAAP basis (a)</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201,518</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Non-GAAP adjustments:</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Share-based compensation included in (b):</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500"/>
              <w:spacing w:after="0"/>
              <w:rPr>
                <w:sz w:val="20"/>
                <w:szCs w:val="20"/>
                <w:color w:val="auto"/>
              </w:rPr>
            </w:pPr>
            <w:r>
              <w:rPr>
                <w:rFonts w:ascii="Arial" w:cs="Arial" w:eastAsia="Arial" w:hAnsi="Arial"/>
                <w:sz w:val="16"/>
                <w:szCs w:val="16"/>
                <w:color w:val="auto"/>
              </w:rPr>
              <w:t>Cost of sales (COS)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Research and development (R&amp;D)</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500"/>
              <w:spacing w:after="0"/>
              <w:rPr>
                <w:sz w:val="20"/>
                <w:szCs w:val="20"/>
                <w:color w:val="auto"/>
              </w:rPr>
            </w:pPr>
            <w:r>
              <w:rPr>
                <w:rFonts w:ascii="Arial" w:cs="Arial" w:eastAsia="Arial" w:hAnsi="Arial"/>
                <w:sz w:val="16"/>
                <w:szCs w:val="16"/>
                <w:color w:val="auto"/>
              </w:rPr>
              <w:t>Selling, general and administrative (SG&amp;A)</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10,096</w:t>
            </w:r>
          </w:p>
        </w:tc>
        <w:tc>
          <w:tcPr>
            <w:tcW w:w="120" w:type="dxa"/>
            <w:vAlign w:val="bottom"/>
          </w:tcPr>
          <w:p>
            <w:pPr>
              <w:spacing w:after="0"/>
              <w:rPr>
                <w:sz w:val="17"/>
                <w:szCs w:val="17"/>
                <w:color w:val="auto"/>
              </w:rPr>
            </w:pPr>
          </w:p>
        </w:tc>
      </w:tr>
      <w:tr>
        <w:trPr>
          <w:trHeight w:val="196"/>
        </w:trPr>
        <w:tc>
          <w:tcPr>
            <w:tcW w:w="7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14,234</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Amortization of purchased intangible assets (c)</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35,414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38,746</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Restructuring charges related to inventory adjustments in COS (d)</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3,731</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Restructuring charges included in operating expenses (d):</w:t>
            </w: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Restructuring charges (d)</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7,623</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Manufacturing and sales transition costs included in (e):</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500"/>
              <w:spacing w:after="0"/>
              <w:rPr>
                <w:sz w:val="20"/>
                <w:szCs w:val="20"/>
                <w:color w:val="auto"/>
              </w:rPr>
            </w:pPr>
            <w:r>
              <w:rPr>
                <w:rFonts w:ascii="Arial" w:cs="Arial" w:eastAsia="Arial" w:hAnsi="Arial"/>
                <w:sz w:val="16"/>
                <w:szCs w:val="16"/>
                <w:color w:val="auto"/>
              </w:rPr>
              <w:t>COS</w:t>
            </w:r>
          </w:p>
        </w:tc>
        <w:tc>
          <w:tcPr>
            <w:tcW w:w="20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R&amp;D</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500"/>
              <w:spacing w:after="0"/>
              <w:rPr>
                <w:sz w:val="20"/>
                <w:szCs w:val="20"/>
                <w:color w:val="auto"/>
              </w:rPr>
            </w:pPr>
            <w:r>
              <w:rPr>
                <w:rFonts w:ascii="Arial" w:cs="Arial" w:eastAsia="Arial" w:hAnsi="Arial"/>
                <w:sz w:val="16"/>
                <w:szCs w:val="16"/>
                <w:color w:val="auto"/>
              </w:rPr>
              <w:t>SG&amp;A</w:t>
            </w:r>
          </w:p>
        </w:tc>
        <w:tc>
          <w:tcPr>
            <w:tcW w:w="20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Impairment charges (f)</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11,249</w:t>
            </w: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sale of PCB Test business (g)</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(70,815)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Gain on sale of facility (g)</w:t>
            </w:r>
          </w:p>
        </w:tc>
        <w:tc>
          <w:tcPr>
            <w:tcW w:w="200" w:type="dxa"/>
            <w:vAlign w:val="bottom"/>
          </w:tcPr>
          <w:p>
            <w:pPr>
              <w:spacing w:after="0"/>
              <w:rPr>
                <w:sz w:val="17"/>
                <w:szCs w:val="17"/>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(4,495)</w:t>
            </w: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PP&amp;E step-up included in SG&amp;A (h)</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Reduction of indemnification receivable included in SG&amp;A (i)</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Payroll taxes related to accelerated vesting of share-based awards included in SG&amp;A (j)</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7"/>
                <w:szCs w:val="17"/>
                <w:color w:val="auto"/>
              </w:rPr>
            </w:pPr>
          </w:p>
        </w:tc>
      </w:tr>
      <w:tr>
        <w:trPr>
          <w:trHeight w:val="203"/>
        </w:trPr>
        <w:tc>
          <w:tcPr>
            <w:tcW w:w="78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Income from operations - non-GAAP basis (k)</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182,085</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76,404</w:t>
            </w:r>
          </w:p>
        </w:tc>
        <w:tc>
          <w:tcPr>
            <w:tcW w:w="120" w:type="dxa"/>
            <w:vAlign w:val="bottom"/>
            <w:shd w:val="clear" w:color="auto" w:fill="CCEEFF"/>
          </w:tcPr>
          <w:p>
            <w:pPr>
              <w:spacing w:after="0"/>
              <w:rPr>
                <w:sz w:val="20"/>
                <w:szCs w:val="20"/>
                <w:color w:val="auto"/>
              </w:rPr>
            </w:pPr>
          </w:p>
        </w:tc>
      </w:tr>
      <w:tr>
        <w:trPr>
          <w:trHeight w:val="183"/>
        </w:trPr>
        <w:tc>
          <w:tcPr>
            <w:tcW w:w="78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203"/>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continuing operations - GAAP basis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167,325</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(13,843)</w:t>
            </w:r>
          </w:p>
        </w:tc>
      </w:tr>
      <w:tr>
        <w:trPr>
          <w:trHeight w:val="203"/>
        </w:trPr>
        <w:tc>
          <w:tcPr>
            <w:tcW w:w="7840" w:type="dxa"/>
            <w:vAlign w:val="bottom"/>
          </w:tcPr>
          <w:p>
            <w:pPr>
              <w:ind w:left="340"/>
              <w:spacing w:after="0"/>
              <w:rPr>
                <w:sz w:val="20"/>
                <w:szCs w:val="20"/>
                <w:color w:val="auto"/>
              </w:rPr>
            </w:pPr>
            <w:r>
              <w:rPr>
                <w:rFonts w:ascii="Arial" w:cs="Arial" w:eastAsia="Arial" w:hAnsi="Arial"/>
                <w:sz w:val="16"/>
                <w:szCs w:val="16"/>
                <w:color w:val="auto"/>
              </w:rPr>
              <w:t>Non-GAAP adjustments (as scheduled above)</w:t>
            </w:r>
          </w:p>
        </w:tc>
        <w:tc>
          <w:tcPr>
            <w:tcW w:w="20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6"/>
                <w:szCs w:val="16"/>
                <w:color w:val="auto"/>
              </w:rPr>
              <w:t>(19,433)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73,144</w:t>
            </w:r>
          </w:p>
        </w:tc>
        <w:tc>
          <w:tcPr>
            <w:tcW w:w="120" w:type="dxa"/>
            <w:vAlign w:val="bottom"/>
          </w:tcPr>
          <w:p>
            <w:pPr>
              <w:spacing w:after="0"/>
              <w:rPr>
                <w:sz w:val="17"/>
                <w:szCs w:val="17"/>
                <w:color w:val="auto"/>
              </w:rPr>
            </w:pPr>
          </w:p>
        </w:tc>
      </w:tr>
      <w:tr>
        <w:trPr>
          <w:trHeight w:val="203"/>
        </w:trPr>
        <w:tc>
          <w:tcPr>
            <w:tcW w:w="78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 effect of non-GAAP adjustments (l)</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(8,607)</w:t>
            </w:r>
          </w:p>
        </w:tc>
      </w:tr>
      <w:tr>
        <w:trPr>
          <w:trHeight w:val="20"/>
        </w:trPr>
        <w:tc>
          <w:tcPr>
            <w:tcW w:w="78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7840" w:type="dxa"/>
            <w:vAlign w:val="bottom"/>
          </w:tcPr>
          <w:p>
            <w:pPr>
              <w:spacing w:after="0"/>
              <w:rPr>
                <w:sz w:val="20"/>
                <w:szCs w:val="20"/>
                <w:color w:val="auto"/>
              </w:rPr>
            </w:pPr>
            <w:r>
              <w:rPr>
                <w:rFonts w:ascii="Arial" w:cs="Arial" w:eastAsia="Arial" w:hAnsi="Arial"/>
                <w:sz w:val="16"/>
                <w:szCs w:val="16"/>
                <w:color w:val="auto"/>
              </w:rPr>
              <w:t>Income from continuing operations - non-GAAP basis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155,086</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50,694</w:t>
            </w:r>
          </w:p>
        </w:tc>
        <w:tc>
          <w:tcPr>
            <w:tcW w:w="120" w:type="dxa"/>
            <w:vAlign w:val="bottom"/>
          </w:tcPr>
          <w:p>
            <w:pPr>
              <w:spacing w:after="0"/>
              <w:rPr>
                <w:sz w:val="17"/>
                <w:szCs w:val="17"/>
                <w:color w:val="auto"/>
              </w:rPr>
            </w:pPr>
          </w:p>
        </w:tc>
      </w:tr>
      <w:tr>
        <w:trPr>
          <w:trHeight w:val="20"/>
        </w:trPr>
        <w:tc>
          <w:tcPr>
            <w:tcW w:w="7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7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GAAP income (loss) per share from continuing operations - diluted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(0.33)</w:t>
            </w:r>
          </w:p>
        </w:tc>
      </w:tr>
      <w:tr>
        <w:trPr>
          <w:trHeight w:val="203"/>
        </w:trPr>
        <w:tc>
          <w:tcPr>
            <w:tcW w:w="7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7840" w:type="dxa"/>
            <w:vAlign w:val="bottom"/>
          </w:tcPr>
          <w:p>
            <w:pPr>
              <w:spacing w:after="0"/>
              <w:rPr>
                <w:sz w:val="20"/>
                <w:szCs w:val="20"/>
                <w:color w:val="auto"/>
              </w:rPr>
            </w:pPr>
            <w:r>
              <w:rPr>
                <w:rFonts w:ascii="Arial" w:cs="Arial" w:eastAsia="Arial" w:hAnsi="Arial"/>
                <w:sz w:val="16"/>
                <w:szCs w:val="16"/>
                <w:color w:val="auto"/>
              </w:rPr>
              <w:t>Non-GAAP income per share - diluted (m)</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3.20</w:t>
            </w:r>
          </w:p>
        </w:tc>
        <w:tc>
          <w:tcPr>
            <w:tcW w:w="140" w:type="dxa"/>
            <w:vAlign w:val="bottom"/>
          </w:tcPr>
          <w:p>
            <w:pPr>
              <w:spacing w:after="0"/>
              <w:rPr>
                <w:sz w:val="17"/>
                <w:szCs w:val="17"/>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9" w:lineRule="exact"/>
        <w:rPr>
          <w:sz w:val="20"/>
          <w:szCs w:val="20"/>
          <w:color w:val="auto"/>
        </w:rPr>
      </w:pPr>
    </w:p>
    <w:p>
      <w:pPr>
        <w:ind w:right="40"/>
        <w:spacing w:after="0" w:line="241" w:lineRule="auto"/>
        <w:rPr>
          <w:sz w:val="20"/>
          <w:szCs w:val="20"/>
          <w:color w:val="auto"/>
        </w:rPr>
      </w:pPr>
      <w:r>
        <w:rPr>
          <w:rFonts w:ascii="Arial" w:cs="Arial" w:eastAsia="Arial" w:hAnsi="Arial"/>
          <w:sz w:val="13"/>
          <w:szCs w:val="13"/>
          <w:color w:val="auto"/>
        </w:rPr>
        <w:t>Management believes the presentation of these non-GAAP financial measures, when taken together with the corresponding GAAP financial measures, provides meaningful supplemental information regarding the Company's operating performance. Our management uses these non-GAAP financial measures in assessing the Company's operating results, as well as when planning, forecasting and analyzing future periods and these non-GAAP measures allow investors to evaluate the Company’s financial performance using some of the same measures as management. Management views share-based compensation as an expense that is unrelated to the Company’s operational performance as it does not require cash payments and can vary in amount from period to period and the elimination of amortization charges provides better comparability of pre and post-acquisition operating results and to results of businesses utilizing internally developed intangible assets. Management initiated certain restructuring activities including employee headcount reductions and other organizational changes to align our business strategies in light of the merger with Xcerra. Restructuring costs have been excluded because such expense is not used by Management to assess the core profitability of Cohu’s business operations. Manufacturing and sales transition costs relate principally to expenses incurred as a result of moving certain manufacturing activities to Asia and incremental costs incurred related to the buildup of a direct sales force for certain equipment sales in Asia. Employee severance are costs incurred in conjunction with the termination of certain employees to streamline our operations and reduce costs. Management has excluded these costs primarily because they are not reflective of the ongoing operating results and they are not used to assess ongoing operational performance. Impairment charges and gains from the sale of the PCB Test business and the facilities in Rosenheim, Germany and in Penang, Malaysia have been excluded as these amounts are infrequent and are unrelated to the operational performance of Cohu. Employer payroll taxes related to accelerated severance stock-based compensation are dependent on the Company's stock price and the timing and size of the vesting of their restricted stock, over which management has limited to no control, and as such management does not believe it correlates to the company's operation of the business. PP&amp;E step-up costs have been excluded by management as they are unrelated to the core operating activities of the Company. Excluding this data provides investors with a basis to compare Cohu’s performance against the performance of other companies without this variability. However, the non-GAAP financial measures should not be regarded as a replacement for (or superior to) corresponding, similarly captioned, GAAP measures. The presentation of non-GAAP financial measures above may not be comparable to similarly titled measures reported by other companies and investors should be careful when comparing our non-GAAP financial measures to those of other companies.</w:t>
      </w:r>
    </w:p>
    <w:p>
      <w:pPr>
        <w:spacing w:after="0" w:line="121" w:lineRule="exact"/>
        <w:rPr>
          <w:sz w:val="20"/>
          <w:szCs w:val="20"/>
          <w:color w:val="auto"/>
        </w:rPr>
      </w:pPr>
    </w:p>
    <w:p>
      <w:pPr>
        <w:ind w:left="500" w:hanging="330"/>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22.7% and 0.5% of net sales, respectively.</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compensation expense for employee stock options, stock units and our employee stock purchase plan.</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the amortization of acquired intangible assets.</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restructuring costs incurred related to the integration of Xcerra and the Company’s German operations.</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manufacturing and sales transition and severance costs.</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impairment charges recorded to adjust IPR&amp;D assets obtained in the acquisition of Xcerra to current fair value.</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the gains generated from the sale of the PCB Test business and the facilities in Rosenheim, Germany and Penang Malaysia.</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the property, plant &amp; equipment step-up depreciation accelerated related to the acquisition of Xcerra.</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the impact of the reduction of an uncertain tax position liability and related indemnification receivable.</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eliminate the impact of employer payroll taxes associated with the acceleration of Pascal Rondé share-based awards under the terms of his separation agreement.</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20.5% and 12.0% of net sales, respectively.</w:t>
      </w:r>
    </w:p>
    <w:p>
      <w:pPr>
        <w:ind w:left="500" w:hanging="330"/>
        <w:spacing w:after="0" w:line="221"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To adjust the provision for income taxes related to the adjustments described above based on applicable tax rates.</w:t>
      </w:r>
    </w:p>
    <w:p>
      <w:pPr>
        <w:ind w:left="500" w:right="20" w:hanging="330"/>
        <w:spacing w:after="0" w:line="232" w:lineRule="auto"/>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twelve months ended December 26, 2020 was computed using 42,714 shares outstanding, as the effect of dilutive securities was excluded from GAAP diluted common shares due to the reported net loss under GAAP, but are included for non-GAAP diluted common shares since the Company has non-GAAP net income. All other periods were calculated utilizing the GAAP diluted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COHU,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Reconciliation of GAAP Results to Non-GAAP Financial Measures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6"/>
                <w:szCs w:val="16"/>
                <w:color w:val="auto"/>
                <w:w w:val="90"/>
              </w:rPr>
              <w:t>Three Months Ended</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3"/>
        </w:trPr>
        <w:tc>
          <w:tcPr>
            <w:tcW w:w="5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color w:val="auto"/>
                <w:w w:val="89"/>
              </w:rPr>
              <w:t>December 25,</w:t>
            </w:r>
          </w:p>
        </w:tc>
        <w:tc>
          <w:tcPr>
            <w:tcW w:w="16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color w:val="auto"/>
                <w:w w:val="89"/>
              </w:rPr>
              <w:t>September 25,</w:t>
            </w: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6"/>
                <w:szCs w:val="16"/>
                <w:color w:val="auto"/>
                <w:w w:val="91"/>
              </w:rPr>
              <w:t>December 26,</w:t>
            </w:r>
          </w:p>
        </w:tc>
      </w:tr>
      <w:tr>
        <w:trPr>
          <w:trHeight w:val="209"/>
        </w:trPr>
        <w:tc>
          <w:tcPr>
            <w:tcW w:w="5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w w:val="89"/>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18"/>
                <w:szCs w:val="18"/>
                <w:color w:val="auto"/>
              </w:rPr>
            </w:pPr>
          </w:p>
        </w:tc>
      </w:tr>
      <w:tr>
        <w:trPr>
          <w:trHeight w:val="199"/>
        </w:trPr>
        <w:tc>
          <w:tcPr>
            <w:tcW w:w="5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 Reconciliation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480" w:type="dxa"/>
            <w:vAlign w:val="bottom"/>
          </w:tcPr>
          <w:p>
            <w:pPr>
              <w:ind w:left="180"/>
              <w:spacing w:after="0" w:line="202" w:lineRule="exact"/>
              <w:rPr>
                <w:sz w:val="20"/>
                <w:szCs w:val="20"/>
                <w:color w:val="auto"/>
              </w:rPr>
            </w:pPr>
            <w:r>
              <w:rPr>
                <w:rFonts w:ascii="Arial" w:cs="Arial" w:eastAsia="Arial" w:hAnsi="Arial"/>
                <w:sz w:val="15"/>
                <w:szCs w:val="15"/>
                <w:color w:val="auto"/>
              </w:rPr>
              <w:t xml:space="preserve">Gross profit - GAAP basis (excluding amortization) </w:t>
            </w:r>
            <w:r>
              <w:rPr>
                <w:rFonts w:ascii="Arial" w:cs="Arial" w:eastAsia="Arial" w:hAnsi="Arial"/>
                <w:sz w:val="23"/>
                <w:szCs w:val="23"/>
                <w:color w:val="auto"/>
                <w:vertAlign w:val="superscript"/>
              </w:rPr>
              <w:t>(1)</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84,394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95,705</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91,241</w:t>
            </w:r>
          </w:p>
        </w:tc>
      </w:tr>
      <w:tr>
        <w:trPr>
          <w:trHeight w:val="203"/>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Non-GAAP adjustments to cost of sales (as scheduled above)</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270</w:t>
            </w:r>
          </w:p>
        </w:tc>
        <w:tc>
          <w:tcPr>
            <w:tcW w:w="16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(597)</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(272)</w:t>
            </w:r>
          </w:p>
        </w:tc>
      </w:tr>
      <w:tr>
        <w:trPr>
          <w:trHeight w:val="20"/>
        </w:trPr>
        <w:tc>
          <w:tcPr>
            <w:tcW w:w="54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5480" w:type="dxa"/>
            <w:vAlign w:val="bottom"/>
          </w:tcPr>
          <w:p>
            <w:pPr>
              <w:ind w:left="180"/>
              <w:spacing w:after="0"/>
              <w:rPr>
                <w:sz w:val="20"/>
                <w:szCs w:val="20"/>
                <w:color w:val="auto"/>
              </w:rPr>
            </w:pPr>
            <w:r>
              <w:rPr>
                <w:rFonts w:ascii="Arial" w:cs="Arial" w:eastAsia="Arial" w:hAnsi="Arial"/>
                <w:sz w:val="16"/>
                <w:szCs w:val="16"/>
                <w:color w:val="auto"/>
              </w:rPr>
              <w:t>Gross profit - Non-GAAP basis</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84,664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95,108</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90,969</w:t>
            </w:r>
          </w:p>
        </w:tc>
      </w:tr>
      <w:tr>
        <w:trPr>
          <w:trHeight w:val="20"/>
        </w:trPr>
        <w:tc>
          <w:tcPr>
            <w:tcW w:w="5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5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right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r>
      <w:tr>
        <w:trPr>
          <w:trHeight w:val="196"/>
        </w:trPr>
        <w:tc>
          <w:tcPr>
            <w:tcW w:w="5480" w:type="dxa"/>
            <w:vAlign w:val="bottom"/>
          </w:tcPr>
          <w:p>
            <w:pPr>
              <w:ind w:left="180"/>
              <w:spacing w:after="0"/>
              <w:rPr>
                <w:sz w:val="20"/>
                <w:szCs w:val="20"/>
                <w:color w:val="auto"/>
              </w:rPr>
            </w:pPr>
            <w:r>
              <w:rPr>
                <w:rFonts w:ascii="Arial" w:cs="Arial" w:eastAsia="Arial" w:hAnsi="Arial"/>
                <w:sz w:val="16"/>
                <w:szCs w:val="16"/>
                <w:color w:val="auto"/>
              </w:rPr>
              <w:t>As a percentage of net sales: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GAAP gross profit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44.0%</w:t>
            </w:r>
          </w:p>
        </w:tc>
        <w:tc>
          <w:tcPr>
            <w:tcW w:w="16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42.5%</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45.1%</w:t>
            </w:r>
          </w:p>
        </w:tc>
      </w:tr>
      <w:tr>
        <w:trPr>
          <w:trHeight w:val="203"/>
        </w:trPr>
        <w:tc>
          <w:tcPr>
            <w:tcW w:w="5480" w:type="dxa"/>
            <w:vAlign w:val="bottom"/>
          </w:tcPr>
          <w:p>
            <w:pPr>
              <w:ind w:left="340"/>
              <w:spacing w:after="0"/>
              <w:rPr>
                <w:sz w:val="20"/>
                <w:szCs w:val="20"/>
                <w:color w:val="auto"/>
              </w:rPr>
            </w:pPr>
            <w:r>
              <w:rPr>
                <w:rFonts w:ascii="Arial" w:cs="Arial" w:eastAsia="Arial" w:hAnsi="Arial"/>
                <w:sz w:val="16"/>
                <w:szCs w:val="16"/>
                <w:color w:val="auto"/>
              </w:rPr>
              <w:t>Non-GAAP gross profit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44.1%</w:t>
            </w:r>
          </w:p>
        </w:tc>
        <w:tc>
          <w:tcPr>
            <w:tcW w:w="16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42.3%</w:t>
            </w:r>
          </w:p>
        </w:tc>
        <w:tc>
          <w:tcPr>
            <w:tcW w:w="2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45.0%</w:t>
            </w:r>
          </w:p>
        </w:tc>
      </w:tr>
      <w:tr>
        <w:trPr>
          <w:trHeight w:val="203"/>
        </w:trPr>
        <w:tc>
          <w:tcPr>
            <w:tcW w:w="5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Adjusted EBITDA Reconciliation</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 GAAP Basis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20,889</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23,733</w:t>
            </w: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14,861</w:t>
            </w:r>
          </w:p>
        </w:tc>
      </w:tr>
      <w:tr>
        <w:trPr>
          <w:trHeight w:val="203"/>
        </w:trPr>
        <w:tc>
          <w:tcPr>
            <w:tcW w:w="5480" w:type="dxa"/>
            <w:vAlign w:val="bottom"/>
          </w:tcPr>
          <w:p>
            <w:pPr>
              <w:ind w:left="340"/>
              <w:spacing w:after="0"/>
              <w:rPr>
                <w:sz w:val="20"/>
                <w:szCs w:val="20"/>
                <w:color w:val="auto"/>
              </w:rPr>
            </w:pPr>
            <w:r>
              <w:rPr>
                <w:rFonts w:ascii="Arial" w:cs="Arial" w:eastAsia="Arial" w:hAnsi="Arial"/>
                <w:sz w:val="16"/>
                <w:szCs w:val="16"/>
                <w:color w:val="auto"/>
              </w:rPr>
              <w:t>Income tax provision (benefit)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(3,607)</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7,392</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405</w:t>
            </w:r>
          </w:p>
        </w:tc>
      </w:tr>
      <w:tr>
        <w:trPr>
          <w:trHeight w:val="203"/>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1,041</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2,855</w:t>
            </w:r>
          </w:p>
        </w:tc>
      </w:tr>
      <w:tr>
        <w:trPr>
          <w:trHeight w:val="203"/>
        </w:trPr>
        <w:tc>
          <w:tcPr>
            <w:tcW w:w="548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(14)</w:t>
            </w:r>
          </w:p>
        </w:tc>
      </w:tr>
      <w:tr>
        <w:trPr>
          <w:trHeight w:val="203"/>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purchased intangible assets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8,246</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8,879</w:t>
            </w: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9,898</w:t>
            </w:r>
          </w:p>
        </w:tc>
      </w:tr>
      <w:tr>
        <w:trPr>
          <w:trHeight w:val="203"/>
        </w:trPr>
        <w:tc>
          <w:tcPr>
            <w:tcW w:w="5480" w:type="dxa"/>
            <w:vAlign w:val="bottom"/>
          </w:tcPr>
          <w:p>
            <w:pPr>
              <w:ind w:left="340"/>
              <w:spacing w:after="0"/>
              <w:rPr>
                <w:sz w:val="20"/>
                <w:szCs w:val="20"/>
                <w:color w:val="auto"/>
              </w:rPr>
            </w:pPr>
            <w:r>
              <w:rPr>
                <w:rFonts w:ascii="Arial" w:cs="Arial" w:eastAsia="Arial" w:hAnsi="Arial"/>
                <w:sz w:val="16"/>
                <w:szCs w:val="16"/>
                <w:color w:val="auto"/>
              </w:rPr>
              <w:t>Depreciation</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3,219</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3,226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3,565</w:t>
            </w:r>
          </w:p>
        </w:tc>
      </w:tr>
      <w:tr>
        <w:trPr>
          <w:trHeight w:val="203"/>
        </w:trPr>
        <w:tc>
          <w:tcPr>
            <w:tcW w:w="5480" w:type="dxa"/>
            <w:vAlign w:val="bottom"/>
            <w:shd w:val="clear" w:color="auto" w:fill="CCEEFF"/>
          </w:tcPr>
          <w:p>
            <w:pPr>
              <w:ind w:left="340"/>
              <w:spacing w:after="0" w:line="202" w:lineRule="exact"/>
              <w:rPr>
                <w:sz w:val="20"/>
                <w:szCs w:val="20"/>
                <w:color w:val="auto"/>
              </w:rPr>
            </w:pPr>
            <w:r>
              <w:rPr>
                <w:rFonts w:ascii="Arial" w:cs="Arial" w:eastAsia="Arial" w:hAnsi="Arial"/>
                <w:sz w:val="15"/>
                <w:szCs w:val="15"/>
                <w:color w:val="auto"/>
              </w:rPr>
              <w:t xml:space="preserve">Amortization of cloud-based software implementation costs </w:t>
            </w:r>
            <w:r>
              <w:rPr>
                <w:rFonts w:ascii="Arial" w:cs="Arial" w:eastAsia="Arial" w:hAnsi="Arial"/>
                <w:sz w:val="23"/>
                <w:szCs w:val="23"/>
                <w:color w:val="auto"/>
                <w:vertAlign w:val="superscript"/>
              </w:rPr>
              <w:t>(2)</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487</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360</w:t>
            </w:r>
          </w:p>
        </w:tc>
      </w:tr>
      <w:tr>
        <w:trPr>
          <w:trHeight w:val="203"/>
        </w:trPr>
        <w:tc>
          <w:tcPr>
            <w:tcW w:w="548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1,650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25</w:t>
            </w:r>
          </w:p>
        </w:tc>
      </w:tr>
      <w:tr>
        <w:trPr>
          <w:trHeight w:val="202"/>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non-GAAP adjustments (as scheduled above)</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8,140</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2,819</w:t>
            </w: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10,458</w:t>
            </w:r>
          </w:p>
        </w:tc>
      </w:tr>
      <w:tr>
        <w:trPr>
          <w:trHeight w:val="20"/>
        </w:trPr>
        <w:tc>
          <w:tcPr>
            <w:tcW w:w="54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196"/>
        </w:trPr>
        <w:tc>
          <w:tcPr>
            <w:tcW w:w="5480" w:type="dxa"/>
            <w:vAlign w:val="bottom"/>
          </w:tcPr>
          <w:p>
            <w:pPr>
              <w:ind w:left="180"/>
              <w:spacing w:after="0"/>
              <w:rPr>
                <w:sz w:val="20"/>
                <w:szCs w:val="20"/>
                <w:color w:val="auto"/>
              </w:rPr>
            </w:pPr>
            <w:r>
              <w:rPr>
                <w:rFonts w:ascii="Arial" w:cs="Arial" w:eastAsia="Arial" w:hAnsi="Arial"/>
                <w:sz w:val="16"/>
                <w:szCs w:val="16"/>
                <w:color w:val="auto"/>
              </w:rPr>
              <w:t>Adjusted EBITDA</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38,373</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49,021</w:t>
            </w:r>
          </w:p>
        </w:tc>
        <w:tc>
          <w:tcPr>
            <w:tcW w:w="24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42,413</w:t>
            </w:r>
          </w:p>
        </w:tc>
      </w:tr>
      <w:tr>
        <w:trPr>
          <w:trHeight w:val="20"/>
        </w:trPr>
        <w:tc>
          <w:tcPr>
            <w:tcW w:w="5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54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right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r>
      <w:tr>
        <w:trPr>
          <w:trHeight w:val="196"/>
        </w:trPr>
        <w:tc>
          <w:tcPr>
            <w:tcW w:w="5480" w:type="dxa"/>
            <w:vAlign w:val="bottom"/>
          </w:tcPr>
          <w:p>
            <w:pPr>
              <w:ind w:left="180"/>
              <w:spacing w:after="0"/>
              <w:rPr>
                <w:sz w:val="20"/>
                <w:szCs w:val="20"/>
                <w:color w:val="auto"/>
              </w:rPr>
            </w:pPr>
            <w:r>
              <w:rPr>
                <w:rFonts w:ascii="Arial" w:cs="Arial" w:eastAsia="Arial" w:hAnsi="Arial"/>
                <w:sz w:val="16"/>
                <w:szCs w:val="16"/>
                <w:color w:val="auto"/>
              </w:rPr>
              <w:t>As a percentage of net sales: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 - GAAP Basis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w:t>
            </w:r>
          </w:p>
        </w:tc>
        <w:tc>
          <w:tcPr>
            <w:tcW w:w="160" w:type="dxa"/>
            <w:vAlign w:val="bottom"/>
            <w:shd w:val="clear" w:color="auto" w:fill="CCEEFF"/>
          </w:tcPr>
          <w:p>
            <w:pPr>
              <w:spacing w:after="0"/>
              <w:rPr>
                <w:sz w:val="17"/>
                <w:szCs w:val="17"/>
                <w:color w:val="auto"/>
              </w:rPr>
            </w:pPr>
          </w:p>
        </w:tc>
        <w:tc>
          <w:tcPr>
            <w:tcW w:w="15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w:t>
            </w:r>
          </w:p>
        </w:tc>
        <w:tc>
          <w:tcPr>
            <w:tcW w:w="2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3"/>
        </w:trPr>
        <w:tc>
          <w:tcPr>
            <w:tcW w:w="548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6"/>
                <w:szCs w:val="16"/>
                <w:color w:val="auto"/>
              </w:rPr>
              <w:t>20.0%</w:t>
            </w:r>
          </w:p>
        </w:tc>
        <w:tc>
          <w:tcPr>
            <w:tcW w:w="160" w:type="dxa"/>
            <w:vAlign w:val="bottom"/>
          </w:tcPr>
          <w:p>
            <w:pPr>
              <w:spacing w:after="0"/>
              <w:rPr>
                <w:sz w:val="17"/>
                <w:szCs w:val="17"/>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6"/>
                <w:szCs w:val="16"/>
                <w:color w:val="auto"/>
              </w:rPr>
              <w:t>21.8%</w:t>
            </w:r>
          </w:p>
        </w:tc>
        <w:tc>
          <w:tcPr>
            <w:tcW w:w="2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21.0%</w:t>
            </w:r>
          </w:p>
        </w:tc>
      </w:tr>
      <w:tr>
        <w:trPr>
          <w:trHeight w:val="203"/>
        </w:trPr>
        <w:tc>
          <w:tcPr>
            <w:tcW w:w="54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5480" w:type="dxa"/>
            <w:vAlign w:val="bottom"/>
          </w:tcPr>
          <w:p>
            <w:pPr>
              <w:spacing w:after="0"/>
              <w:rPr>
                <w:sz w:val="20"/>
                <w:szCs w:val="20"/>
                <w:color w:val="auto"/>
              </w:rPr>
            </w:pPr>
            <w:r>
              <w:rPr>
                <w:rFonts w:ascii="Arial" w:cs="Arial" w:eastAsia="Arial" w:hAnsi="Arial"/>
                <w:sz w:val="16"/>
                <w:szCs w:val="16"/>
                <w:b w:val="1"/>
                <w:bCs w:val="1"/>
                <w:color w:val="auto"/>
              </w:rPr>
              <w:t>Operating Expense Reconciliation</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 - GAAP basis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61,900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62,079</w:t>
            </w:r>
          </w:p>
        </w:tc>
        <w:tc>
          <w:tcPr>
            <w:tcW w:w="2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72,467</w:t>
            </w:r>
          </w:p>
        </w:tc>
      </w:tr>
      <w:tr>
        <w:trPr>
          <w:trHeight w:val="203"/>
        </w:trPr>
        <w:tc>
          <w:tcPr>
            <w:tcW w:w="5480" w:type="dxa"/>
            <w:vAlign w:val="bottom"/>
          </w:tcPr>
          <w:p>
            <w:pPr>
              <w:ind w:left="340"/>
              <w:spacing w:after="0"/>
              <w:rPr>
                <w:sz w:val="20"/>
                <w:szCs w:val="20"/>
                <w:color w:val="auto"/>
              </w:rPr>
            </w:pPr>
            <w:r>
              <w:rPr>
                <w:rFonts w:ascii="Arial" w:cs="Arial" w:eastAsia="Arial" w:hAnsi="Arial"/>
                <w:sz w:val="16"/>
                <w:szCs w:val="16"/>
                <w:color w:val="auto"/>
              </w:rPr>
              <w:t>Non-GAAP adjustments to operating expenses (as scheduled above)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6"/>
                <w:szCs w:val="16"/>
                <w:color w:val="auto"/>
              </w:rPr>
              <w:t>(11,177)</w:t>
            </w:r>
          </w:p>
        </w:tc>
        <w:tc>
          <w:tcPr>
            <w:tcW w:w="160" w:type="dxa"/>
            <w:vAlign w:val="bottom"/>
          </w:tcPr>
          <w:p>
            <w:pPr>
              <w:spacing w:after="0"/>
              <w:rPr>
                <w:sz w:val="17"/>
                <w:szCs w:val="17"/>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(12,530)</w:t>
            </w:r>
          </w:p>
        </w:tc>
        <w:tc>
          <w:tcPr>
            <w:tcW w:w="20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(20,773)</w:t>
            </w:r>
          </w:p>
        </w:tc>
      </w:tr>
      <w:tr>
        <w:trPr>
          <w:trHeight w:val="20"/>
        </w:trPr>
        <w:tc>
          <w:tcPr>
            <w:tcW w:w="5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6"/>
        </w:trPr>
        <w:tc>
          <w:tcPr>
            <w:tcW w:w="54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Expenses - Non-GAAP basis</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50,723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49,549</w:t>
            </w:r>
          </w:p>
        </w:tc>
        <w:tc>
          <w:tcPr>
            <w:tcW w:w="24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51,694</w:t>
            </w:r>
          </w:p>
        </w:tc>
      </w:tr>
      <w:tr>
        <w:trPr>
          <w:trHeight w:val="35"/>
        </w:trPr>
        <w:tc>
          <w:tcPr>
            <w:tcW w:w="5480" w:type="dxa"/>
            <w:vAlign w:val="bottom"/>
            <w:tcBorders>
              <w:top w:val="single" w:sz="8" w:color="CCEEFF"/>
              <w:bottom w:val="single" w:sz="8" w:color="auto"/>
            </w:tcBorders>
          </w:tcPr>
          <w:p>
            <w:pPr>
              <w:spacing w:after="0"/>
              <w:rPr>
                <w:sz w:val="3"/>
                <w:szCs w:val="3"/>
                <w:color w:val="auto"/>
              </w:rPr>
            </w:pPr>
          </w:p>
        </w:tc>
        <w:tc>
          <w:tcPr>
            <w:tcW w:w="700" w:type="dxa"/>
            <w:vAlign w:val="bottom"/>
            <w:tcBorders>
              <w:top w:val="single" w:sz="8" w:color="CCEEFF"/>
              <w:bottom w:val="single" w:sz="8" w:color="auto"/>
            </w:tcBorders>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128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CCEEFF"/>
              <w:bottom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240" w:type="dxa"/>
            <w:vAlign w:val="bottom"/>
            <w:tcBorders>
              <w:top w:val="single" w:sz="8" w:color="CCEEFF"/>
              <w:bottom w:val="single" w:sz="8" w:color="auto"/>
            </w:tcBorders>
          </w:tcPr>
          <w:p>
            <w:pPr>
              <w:spacing w:after="0"/>
              <w:rPr>
                <w:sz w:val="3"/>
                <w:szCs w:val="3"/>
                <w:color w:val="auto"/>
              </w:rPr>
            </w:pPr>
          </w:p>
        </w:tc>
        <w:tc>
          <w:tcPr>
            <w:tcW w:w="200" w:type="dxa"/>
            <w:vAlign w:val="bottom"/>
            <w:tcBorders>
              <w:top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CCEEFF"/>
              <w:bottom w:val="single" w:sz="8" w:color="auto"/>
            </w:tcBorders>
          </w:tcPr>
          <w:p>
            <w:pPr>
              <w:spacing w:after="0"/>
              <w:rPr>
                <w:sz w:val="3"/>
                <w:szCs w:val="3"/>
                <w:color w:val="auto"/>
              </w:rPr>
            </w:pPr>
          </w:p>
        </w:tc>
      </w:tr>
    </w:tbl>
    <w:p>
      <w:pPr>
        <w:spacing w:after="0" w:line="44" w:lineRule="exact"/>
        <w:rPr>
          <w:sz w:val="20"/>
          <w:szCs w:val="20"/>
          <w:color w:val="auto"/>
        </w:rPr>
      </w:pPr>
    </w:p>
    <w:p>
      <w:pPr>
        <w:ind w:left="500" w:hanging="330"/>
        <w:spacing w:after="0"/>
        <w:tabs>
          <w:tab w:leader="none" w:pos="500" w:val="left"/>
        </w:tabs>
        <w:numPr>
          <w:ilvl w:val="0"/>
          <w:numId w:val="8"/>
        </w:numPr>
        <w:rPr>
          <w:rFonts w:ascii="Arial" w:cs="Arial" w:eastAsia="Arial" w:hAnsi="Arial"/>
          <w:sz w:val="15"/>
          <w:szCs w:val="15"/>
          <w:color w:val="auto"/>
        </w:rPr>
      </w:pPr>
      <w:r>
        <w:rPr>
          <w:rFonts w:ascii="Arial" w:cs="Arial" w:eastAsia="Arial" w:hAnsi="Arial"/>
          <w:sz w:val="15"/>
          <w:szCs w:val="15"/>
          <w:color w:val="auto"/>
        </w:rPr>
        <w:t>Excludes amortization of $6,376, $6,988 and $7,541 for the three months ending December 25, 2021, September 25, 2021 and December 26, 2020, respectively.</w:t>
      </w:r>
    </w:p>
    <w:p>
      <w:pPr>
        <w:spacing w:after="0" w:line="33" w:lineRule="exact"/>
        <w:rPr>
          <w:rFonts w:ascii="Arial" w:cs="Arial" w:eastAsia="Arial" w:hAnsi="Arial"/>
          <w:sz w:val="15"/>
          <w:szCs w:val="15"/>
          <w:color w:val="auto"/>
        </w:rPr>
      </w:pPr>
    </w:p>
    <w:p>
      <w:pPr>
        <w:ind w:left="500" w:hanging="330"/>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amortization of capitalized implementation costs related to cloud-based software arrangements that are included within SG&amp;A.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40" w:type="dxa"/>
            <w:vAlign w:val="bottom"/>
            <w:gridSpan w:val="5"/>
          </w:tcPr>
          <w:p>
            <w:pPr>
              <w:jc w:val="right"/>
              <w:ind w:right="1080"/>
              <w:spacing w:after="0"/>
              <w:rPr>
                <w:sz w:val="20"/>
                <w:szCs w:val="20"/>
                <w:color w:val="auto"/>
              </w:rPr>
            </w:pPr>
            <w:r>
              <w:rPr>
                <w:rFonts w:ascii="Arial" w:cs="Arial" w:eastAsia="Arial" w:hAnsi="Arial"/>
                <w:sz w:val="16"/>
                <w:szCs w:val="16"/>
                <w:color w:val="auto"/>
              </w:rPr>
              <w:t>Twelve Months Ended</w:t>
            </w:r>
          </w:p>
        </w:tc>
      </w:tr>
      <w:tr>
        <w:trPr>
          <w:trHeight w:val="203"/>
        </w:trPr>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6"/>
                <w:szCs w:val="16"/>
                <w:color w:val="auto"/>
                <w:w w:val="99"/>
              </w:rPr>
              <w:t>December 25,</w:t>
            </w:r>
          </w:p>
        </w:tc>
        <w:tc>
          <w:tcPr>
            <w:tcW w:w="180" w:type="dxa"/>
            <w:vAlign w:val="bottom"/>
          </w:tcPr>
          <w:p>
            <w:pPr>
              <w:spacing w:after="0"/>
              <w:rPr>
                <w:sz w:val="17"/>
                <w:szCs w:val="17"/>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6"/>
                <w:szCs w:val="16"/>
                <w:color w:val="auto"/>
                <w:w w:val="97"/>
              </w:rPr>
              <w:t>December 26,</w:t>
            </w:r>
          </w:p>
        </w:tc>
      </w:tr>
      <w:tr>
        <w:trPr>
          <w:trHeight w:val="209"/>
        </w:trPr>
        <w:tc>
          <w:tcPr>
            <w:tcW w:w="78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2021</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2020</w:t>
            </w:r>
          </w:p>
        </w:tc>
        <w:tc>
          <w:tcPr>
            <w:tcW w:w="200" w:type="dxa"/>
            <w:vAlign w:val="bottom"/>
          </w:tcPr>
          <w:p>
            <w:pPr>
              <w:spacing w:after="0"/>
              <w:rPr>
                <w:sz w:val="18"/>
                <w:szCs w:val="18"/>
                <w:color w:val="auto"/>
              </w:rPr>
            </w:pPr>
          </w:p>
        </w:tc>
      </w:tr>
      <w:tr>
        <w:trPr>
          <w:trHeight w:val="199"/>
        </w:trPr>
        <w:tc>
          <w:tcPr>
            <w:tcW w:w="7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Gross Profit Reconciliation</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7820" w:type="dxa"/>
            <w:vAlign w:val="bottom"/>
          </w:tcPr>
          <w:p>
            <w:pPr>
              <w:ind w:left="180"/>
              <w:spacing w:after="0" w:line="202" w:lineRule="exact"/>
              <w:rPr>
                <w:sz w:val="20"/>
                <w:szCs w:val="20"/>
                <w:color w:val="auto"/>
              </w:rPr>
            </w:pPr>
            <w:r>
              <w:rPr>
                <w:rFonts w:ascii="Arial" w:cs="Arial" w:eastAsia="Arial" w:hAnsi="Arial"/>
                <w:sz w:val="15"/>
                <w:szCs w:val="15"/>
                <w:color w:val="auto"/>
              </w:rPr>
              <w:t xml:space="preserve">Gross profit - GAAP basis (excluding amortization) </w:t>
            </w:r>
            <w:r>
              <w:rPr>
                <w:rFonts w:ascii="Arial" w:cs="Arial" w:eastAsia="Arial" w:hAnsi="Arial"/>
                <w:sz w:val="23"/>
                <w:szCs w:val="23"/>
                <w:color w:val="auto"/>
                <w:vertAlign w:val="superscript"/>
              </w:rPr>
              <w:t>(1)</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386,961</w:t>
            </w:r>
          </w:p>
        </w:tc>
        <w:tc>
          <w:tcPr>
            <w:tcW w:w="2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271,782</w:t>
            </w:r>
          </w:p>
        </w:tc>
        <w:tc>
          <w:tcPr>
            <w:tcW w:w="200" w:type="dxa"/>
            <w:vAlign w:val="bottom"/>
          </w:tcPr>
          <w:p>
            <w:pPr>
              <w:spacing w:after="0"/>
              <w:rPr>
                <w:sz w:val="17"/>
                <w:szCs w:val="17"/>
                <w:color w:val="auto"/>
              </w:rPr>
            </w:pPr>
          </w:p>
        </w:tc>
      </w:tr>
      <w:tr>
        <w:trPr>
          <w:trHeight w:val="203"/>
        </w:trPr>
        <w:tc>
          <w:tcPr>
            <w:tcW w:w="7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Non-GAAP adjustments to cost of sales (as scheduled above)</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260" w:type="dxa"/>
            <w:vAlign w:val="bottom"/>
            <w:tcBorders>
              <w:bottom w:val="single" w:sz="8" w:color="CCEEFF"/>
              <w:right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4,650</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196"/>
        </w:trPr>
        <w:tc>
          <w:tcPr>
            <w:tcW w:w="7820" w:type="dxa"/>
            <w:vAlign w:val="bottom"/>
          </w:tcPr>
          <w:p>
            <w:pPr>
              <w:ind w:left="180"/>
              <w:spacing w:after="0"/>
              <w:rPr>
                <w:sz w:val="20"/>
                <w:szCs w:val="20"/>
                <w:color w:val="auto"/>
              </w:rPr>
            </w:pPr>
            <w:r>
              <w:rPr>
                <w:rFonts w:ascii="Arial" w:cs="Arial" w:eastAsia="Arial" w:hAnsi="Arial"/>
                <w:sz w:val="16"/>
                <w:szCs w:val="16"/>
                <w:color w:val="auto"/>
              </w:rPr>
              <w:t>Gross profit - Non-GAAP basis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387,224</w:t>
            </w:r>
          </w:p>
        </w:tc>
        <w:tc>
          <w:tcPr>
            <w:tcW w:w="2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276,432</w:t>
            </w:r>
          </w:p>
        </w:tc>
        <w:tc>
          <w:tcPr>
            <w:tcW w:w="200" w:type="dxa"/>
            <w:vAlign w:val="bottom"/>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78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right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r>
      <w:tr>
        <w:trPr>
          <w:trHeight w:val="196"/>
        </w:trPr>
        <w:tc>
          <w:tcPr>
            <w:tcW w:w="7820" w:type="dxa"/>
            <w:vAlign w:val="bottom"/>
          </w:tcPr>
          <w:p>
            <w:pPr>
              <w:ind w:left="180"/>
              <w:spacing w:after="0"/>
              <w:rPr>
                <w:sz w:val="20"/>
                <w:szCs w:val="20"/>
                <w:color w:val="auto"/>
              </w:rPr>
            </w:pPr>
            <w:r>
              <w:rPr>
                <w:rFonts w:ascii="Arial" w:cs="Arial" w:eastAsia="Arial" w:hAnsi="Arial"/>
                <w:sz w:val="16"/>
                <w:szCs w:val="16"/>
                <w:color w:val="auto"/>
              </w:rPr>
              <w:t>As a percentage of net sales: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GAAP gross profit</w:t>
            </w:r>
          </w:p>
        </w:tc>
        <w:tc>
          <w:tcPr>
            <w:tcW w:w="18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43.6%</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42.7%</w:t>
            </w:r>
          </w:p>
        </w:tc>
      </w:tr>
      <w:tr>
        <w:trPr>
          <w:trHeight w:val="203"/>
        </w:trPr>
        <w:tc>
          <w:tcPr>
            <w:tcW w:w="7820" w:type="dxa"/>
            <w:vAlign w:val="bottom"/>
          </w:tcPr>
          <w:p>
            <w:pPr>
              <w:ind w:left="340"/>
              <w:spacing w:after="0"/>
              <w:rPr>
                <w:sz w:val="20"/>
                <w:szCs w:val="20"/>
                <w:color w:val="auto"/>
              </w:rPr>
            </w:pPr>
            <w:r>
              <w:rPr>
                <w:rFonts w:ascii="Arial" w:cs="Arial" w:eastAsia="Arial" w:hAnsi="Arial"/>
                <w:sz w:val="16"/>
                <w:szCs w:val="16"/>
                <w:color w:val="auto"/>
              </w:rPr>
              <w:t>Non-GAAP gross profit</w:t>
            </w:r>
          </w:p>
        </w:tc>
        <w:tc>
          <w:tcPr>
            <w:tcW w:w="18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43.6%</w:t>
            </w:r>
          </w:p>
        </w:tc>
        <w:tc>
          <w:tcPr>
            <w:tcW w:w="180" w:type="dxa"/>
            <w:vAlign w:val="bottom"/>
          </w:tcPr>
          <w:p>
            <w:pPr>
              <w:spacing w:after="0"/>
              <w:rPr>
                <w:sz w:val="17"/>
                <w:szCs w:val="17"/>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6"/>
                <w:szCs w:val="16"/>
                <w:color w:val="auto"/>
              </w:rPr>
              <w:t>43.5%</w:t>
            </w:r>
          </w:p>
        </w:tc>
      </w:tr>
      <w:tr>
        <w:trPr>
          <w:trHeight w:val="203"/>
        </w:trPr>
        <w:tc>
          <w:tcPr>
            <w:tcW w:w="7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7820" w:type="dxa"/>
            <w:vAlign w:val="bottom"/>
          </w:tcPr>
          <w:p>
            <w:pPr>
              <w:spacing w:after="0"/>
              <w:rPr>
                <w:sz w:val="20"/>
                <w:szCs w:val="20"/>
                <w:color w:val="auto"/>
              </w:rPr>
            </w:pPr>
            <w:r>
              <w:rPr>
                <w:rFonts w:ascii="Arial" w:cs="Arial" w:eastAsia="Arial" w:hAnsi="Arial"/>
                <w:sz w:val="16"/>
                <w:szCs w:val="16"/>
                <w:b w:val="1"/>
                <w:bCs w:val="1"/>
                <w:color w:val="auto"/>
              </w:rPr>
              <w:t>Adjusted EBITDA Reconciliation</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7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 - GAAP Basis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167,325</w:t>
            </w: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(13,801)</w:t>
            </w:r>
          </w:p>
        </w:tc>
      </w:tr>
      <w:tr>
        <w:trPr>
          <w:trHeight w:val="203"/>
        </w:trPr>
        <w:tc>
          <w:tcPr>
            <w:tcW w:w="7820" w:type="dxa"/>
            <w:vAlign w:val="bottom"/>
          </w:tcPr>
          <w:p>
            <w:pPr>
              <w:ind w:left="340"/>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tcPr>
          <w:p>
            <w:pPr>
              <w:spacing w:after="0"/>
              <w:rPr>
                <w:sz w:val="17"/>
                <w:szCs w:val="17"/>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6"/>
                <w:szCs w:val="16"/>
                <w:color w:val="auto"/>
              </w:rPr>
              <w:t>(42)</w:t>
            </w:r>
          </w:p>
        </w:tc>
      </w:tr>
      <w:tr>
        <w:trPr>
          <w:trHeight w:val="203"/>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tax provision</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25,019</w:t>
            </w: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200" w:type="dxa"/>
            <w:vAlign w:val="bottom"/>
            <w:shd w:val="clear" w:color="auto" w:fill="CCEEFF"/>
          </w:tcPr>
          <w:p>
            <w:pPr>
              <w:spacing w:after="0"/>
              <w:rPr>
                <w:sz w:val="17"/>
                <w:szCs w:val="17"/>
                <w:color w:val="auto"/>
              </w:rPr>
            </w:pPr>
          </w:p>
        </w:tc>
      </w:tr>
      <w:tr>
        <w:trPr>
          <w:trHeight w:val="203"/>
        </w:trPr>
        <w:tc>
          <w:tcPr>
            <w:tcW w:w="782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6,413</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13,759</w:t>
            </w:r>
          </w:p>
        </w:tc>
        <w:tc>
          <w:tcPr>
            <w:tcW w:w="200" w:type="dxa"/>
            <w:vAlign w:val="bottom"/>
          </w:tcPr>
          <w:p>
            <w:pPr>
              <w:spacing w:after="0"/>
              <w:rPr>
                <w:sz w:val="17"/>
                <w:szCs w:val="17"/>
                <w:color w:val="auto"/>
              </w:rPr>
            </w:pPr>
          </w:p>
        </w:tc>
      </w:tr>
      <w:tr>
        <w:trPr>
          <w:trHeight w:val="202"/>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(239)</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(224)</w:t>
            </w:r>
          </w:p>
        </w:tc>
      </w:tr>
      <w:tr>
        <w:trPr>
          <w:trHeight w:val="203"/>
        </w:trPr>
        <w:tc>
          <w:tcPr>
            <w:tcW w:w="7820" w:type="dxa"/>
            <w:vAlign w:val="bottom"/>
          </w:tcPr>
          <w:p>
            <w:pPr>
              <w:ind w:left="340"/>
              <w:spacing w:after="0"/>
              <w:rPr>
                <w:sz w:val="20"/>
                <w:szCs w:val="20"/>
                <w:color w:val="auto"/>
              </w:rPr>
            </w:pPr>
            <w:r>
              <w:rPr>
                <w:rFonts w:ascii="Arial" w:cs="Arial" w:eastAsia="Arial" w:hAnsi="Arial"/>
                <w:sz w:val="16"/>
                <w:szCs w:val="16"/>
                <w:color w:val="auto"/>
              </w:rPr>
              <w:t>Amortization of purchased intangible assets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35,414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38,746</w:t>
            </w:r>
          </w:p>
        </w:tc>
        <w:tc>
          <w:tcPr>
            <w:tcW w:w="200" w:type="dxa"/>
            <w:vAlign w:val="bottom"/>
          </w:tcPr>
          <w:p>
            <w:pPr>
              <w:spacing w:after="0"/>
              <w:rPr>
                <w:sz w:val="17"/>
                <w:szCs w:val="17"/>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13,153</w:t>
            </w: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w:t>
            </w:r>
          </w:p>
        </w:tc>
        <w:tc>
          <w:tcPr>
            <w:tcW w:w="200" w:type="dxa"/>
            <w:vAlign w:val="bottom"/>
            <w:shd w:val="clear" w:color="auto" w:fill="CCEEFF"/>
          </w:tcPr>
          <w:p>
            <w:pPr>
              <w:spacing w:after="0"/>
              <w:rPr>
                <w:sz w:val="17"/>
                <w:szCs w:val="17"/>
                <w:color w:val="auto"/>
              </w:rPr>
            </w:pPr>
          </w:p>
        </w:tc>
      </w:tr>
      <w:tr>
        <w:trPr>
          <w:trHeight w:val="203"/>
        </w:trPr>
        <w:tc>
          <w:tcPr>
            <w:tcW w:w="7820" w:type="dxa"/>
            <w:vAlign w:val="bottom"/>
          </w:tcPr>
          <w:p>
            <w:pPr>
              <w:ind w:left="340"/>
              <w:spacing w:after="0" w:line="202" w:lineRule="exact"/>
              <w:rPr>
                <w:sz w:val="20"/>
                <w:szCs w:val="20"/>
                <w:color w:val="auto"/>
              </w:rPr>
            </w:pPr>
            <w:r>
              <w:rPr>
                <w:rFonts w:ascii="Arial" w:cs="Arial" w:eastAsia="Arial" w:hAnsi="Arial"/>
                <w:sz w:val="15"/>
                <w:szCs w:val="15"/>
                <w:color w:val="auto"/>
              </w:rPr>
              <w:t xml:space="preserve">Amortization of cloud-based software implementation costs </w:t>
            </w:r>
            <w:r>
              <w:rPr>
                <w:rFonts w:ascii="Arial" w:cs="Arial" w:eastAsia="Arial" w:hAnsi="Arial"/>
                <w:sz w:val="23"/>
                <w:szCs w:val="23"/>
                <w:color w:val="auto"/>
                <w:vertAlign w:val="superscript"/>
              </w:rPr>
              <w:t>(2)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1,644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1,191</w:t>
            </w:r>
          </w:p>
        </w:tc>
        <w:tc>
          <w:tcPr>
            <w:tcW w:w="200" w:type="dxa"/>
            <w:vAlign w:val="bottom"/>
          </w:tcPr>
          <w:p>
            <w:pPr>
              <w:spacing w:after="0"/>
              <w:rPr>
                <w:sz w:val="17"/>
                <w:szCs w:val="17"/>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loss on extinguishment of debt</w:t>
            </w:r>
          </w:p>
        </w:tc>
        <w:tc>
          <w:tcPr>
            <w:tcW w:w="18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3,411</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(268)</w:t>
            </w:r>
          </w:p>
        </w:tc>
      </w:tr>
      <w:tr>
        <w:trPr>
          <w:trHeight w:val="203"/>
        </w:trPr>
        <w:tc>
          <w:tcPr>
            <w:tcW w:w="7820" w:type="dxa"/>
            <w:vAlign w:val="bottom"/>
          </w:tcPr>
          <w:p>
            <w:pPr>
              <w:ind w:left="340"/>
              <w:spacing w:after="0"/>
              <w:rPr>
                <w:sz w:val="20"/>
                <w:szCs w:val="20"/>
                <w:color w:val="auto"/>
              </w:rPr>
            </w:pPr>
            <w:r>
              <w:rPr>
                <w:rFonts w:ascii="Arial" w:cs="Arial" w:eastAsia="Arial" w:hAnsi="Arial"/>
                <w:sz w:val="16"/>
                <w:szCs w:val="16"/>
                <w:color w:val="auto"/>
              </w:rPr>
              <w:t>Other non-GAAP adjustments (as scheduled above)</w:t>
            </w:r>
          </w:p>
        </w:tc>
        <w:tc>
          <w:tcPr>
            <w:tcW w:w="180" w:type="dxa"/>
            <w:vAlign w:val="bottom"/>
          </w:tcPr>
          <w:p>
            <w:pPr>
              <w:spacing w:after="0"/>
              <w:rPr>
                <w:sz w:val="17"/>
                <w:szCs w:val="17"/>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6"/>
                <w:szCs w:val="16"/>
                <w:color w:val="auto"/>
              </w:rPr>
              <w:t>(55,282)</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33,524</w:t>
            </w:r>
          </w:p>
        </w:tc>
        <w:tc>
          <w:tcPr>
            <w:tcW w:w="200" w:type="dxa"/>
            <w:vAlign w:val="bottom"/>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6"/>
        </w:trPr>
        <w:tc>
          <w:tcPr>
            <w:tcW w:w="7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196,858</w:t>
            </w:r>
          </w:p>
        </w:tc>
        <w:tc>
          <w:tcPr>
            <w:tcW w:w="2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87,551</w:t>
            </w:r>
          </w:p>
        </w:tc>
        <w:tc>
          <w:tcPr>
            <w:tcW w:w="200" w:type="dxa"/>
            <w:vAlign w:val="bottom"/>
            <w:shd w:val="clear" w:color="auto" w:fill="CCEEFF"/>
          </w:tcPr>
          <w:p>
            <w:pPr>
              <w:spacing w:after="0"/>
              <w:rPr>
                <w:sz w:val="20"/>
                <w:szCs w:val="20"/>
                <w:color w:val="auto"/>
              </w:rPr>
            </w:pPr>
          </w:p>
        </w:tc>
      </w:tr>
      <w:tr>
        <w:trPr>
          <w:trHeight w:val="183"/>
        </w:trPr>
        <w:tc>
          <w:tcPr>
            <w:tcW w:w="7820" w:type="dxa"/>
            <w:vAlign w:val="bottom"/>
            <w:tcBorders>
              <w:top w:val="single" w:sz="8" w:color="CCEEFF"/>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CCEEFF"/>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r>
      <w:tr>
        <w:trPr>
          <w:trHeight w:val="196"/>
        </w:trPr>
        <w:tc>
          <w:tcPr>
            <w:tcW w:w="78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 a percentage of net sales: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7820" w:type="dxa"/>
            <w:vAlign w:val="bottom"/>
          </w:tcPr>
          <w:p>
            <w:pPr>
              <w:ind w:left="340"/>
              <w:spacing w:after="0"/>
              <w:rPr>
                <w:sz w:val="20"/>
                <w:szCs w:val="20"/>
                <w:color w:val="auto"/>
              </w:rPr>
            </w:pPr>
            <w:r>
              <w:rPr>
                <w:rFonts w:ascii="Arial" w:cs="Arial" w:eastAsia="Arial" w:hAnsi="Arial"/>
                <w:sz w:val="16"/>
                <w:szCs w:val="16"/>
                <w:color w:val="auto"/>
              </w:rPr>
              <w:t>Net income (loss) - GAAP Basis</w:t>
            </w:r>
          </w:p>
        </w:tc>
        <w:tc>
          <w:tcPr>
            <w:tcW w:w="180" w:type="dxa"/>
            <w:vAlign w:val="bottom"/>
          </w:tcPr>
          <w:p>
            <w:pPr>
              <w:spacing w:after="0"/>
              <w:rPr>
                <w:sz w:val="17"/>
                <w:szCs w:val="17"/>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6"/>
                <w:szCs w:val="16"/>
                <w:color w:val="auto"/>
              </w:rPr>
              <w:t>18.9%</w:t>
            </w:r>
          </w:p>
        </w:tc>
        <w:tc>
          <w:tcPr>
            <w:tcW w:w="180" w:type="dxa"/>
            <w:vAlign w:val="bottom"/>
          </w:tcPr>
          <w:p>
            <w:pPr>
              <w:spacing w:after="0"/>
              <w:rPr>
                <w:sz w:val="17"/>
                <w:szCs w:val="17"/>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r>
      <w:tr>
        <w:trPr>
          <w:trHeight w:val="202"/>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Adjusted EBITDA</w:t>
            </w:r>
          </w:p>
        </w:tc>
        <w:tc>
          <w:tcPr>
            <w:tcW w:w="18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13.8%</w:t>
            </w:r>
          </w:p>
        </w:tc>
      </w:tr>
      <w:tr>
        <w:trPr>
          <w:trHeight w:val="203"/>
        </w:trPr>
        <w:tc>
          <w:tcPr>
            <w:tcW w:w="7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3"/>
        </w:trPr>
        <w:tc>
          <w:tcPr>
            <w:tcW w:w="7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Operating Expense Reconciliation</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3"/>
        </w:trPr>
        <w:tc>
          <w:tcPr>
            <w:tcW w:w="7820" w:type="dxa"/>
            <w:vAlign w:val="bottom"/>
          </w:tcPr>
          <w:p>
            <w:pPr>
              <w:ind w:left="180"/>
              <w:spacing w:after="0"/>
              <w:rPr>
                <w:sz w:val="20"/>
                <w:szCs w:val="20"/>
                <w:color w:val="auto"/>
              </w:rPr>
            </w:pPr>
            <w:r>
              <w:rPr>
                <w:rFonts w:ascii="Arial" w:cs="Arial" w:eastAsia="Arial" w:hAnsi="Arial"/>
                <w:sz w:val="16"/>
                <w:szCs w:val="16"/>
                <w:color w:val="auto"/>
              </w:rPr>
              <w:t>Operating Expense - GAAP basis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256,258</w:t>
            </w:r>
          </w:p>
        </w:tc>
        <w:tc>
          <w:tcPr>
            <w:tcW w:w="2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268,522</w:t>
            </w:r>
          </w:p>
        </w:tc>
        <w:tc>
          <w:tcPr>
            <w:tcW w:w="200" w:type="dxa"/>
            <w:vAlign w:val="bottom"/>
          </w:tcPr>
          <w:p>
            <w:pPr>
              <w:spacing w:after="0"/>
              <w:rPr>
                <w:sz w:val="17"/>
                <w:szCs w:val="17"/>
                <w:color w:val="auto"/>
              </w:rPr>
            </w:pPr>
          </w:p>
        </w:tc>
      </w:tr>
      <w:tr>
        <w:trPr>
          <w:trHeight w:val="203"/>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Non-GAAP adjustments to operating expenses (as scheduled above)</w:t>
            </w:r>
          </w:p>
        </w:tc>
        <w:tc>
          <w:tcPr>
            <w:tcW w:w="180" w:type="dxa"/>
            <w:vAlign w:val="bottom"/>
            <w:shd w:val="clear" w:color="auto" w:fill="CCEEFF"/>
          </w:tcPr>
          <w:p>
            <w:pPr>
              <w:spacing w:after="0"/>
              <w:rPr>
                <w:sz w:val="17"/>
                <w:szCs w:val="17"/>
                <w:color w:val="auto"/>
              </w:rPr>
            </w:pPr>
          </w:p>
        </w:tc>
        <w:tc>
          <w:tcPr>
            <w:tcW w:w="1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(51,119)</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(68,494)</w:t>
            </w:r>
          </w:p>
        </w:tc>
      </w:tr>
      <w:tr>
        <w:trPr>
          <w:trHeight w:val="20"/>
        </w:trPr>
        <w:tc>
          <w:tcPr>
            <w:tcW w:w="78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r>
      <w:tr>
        <w:trPr>
          <w:trHeight w:val="196"/>
        </w:trPr>
        <w:tc>
          <w:tcPr>
            <w:tcW w:w="7820" w:type="dxa"/>
            <w:vAlign w:val="bottom"/>
          </w:tcPr>
          <w:p>
            <w:pPr>
              <w:ind w:left="180"/>
              <w:spacing w:after="0"/>
              <w:rPr>
                <w:sz w:val="20"/>
                <w:szCs w:val="20"/>
                <w:color w:val="auto"/>
              </w:rPr>
            </w:pPr>
            <w:r>
              <w:rPr>
                <w:rFonts w:ascii="Arial" w:cs="Arial" w:eastAsia="Arial" w:hAnsi="Arial"/>
                <w:sz w:val="16"/>
                <w:szCs w:val="16"/>
                <w:color w:val="auto"/>
              </w:rPr>
              <w:t>Operating Expenses - Non-GAAP basis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205,139</w:t>
            </w:r>
          </w:p>
        </w:tc>
        <w:tc>
          <w:tcPr>
            <w:tcW w:w="26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200,028</w:t>
            </w:r>
          </w:p>
        </w:tc>
        <w:tc>
          <w:tcPr>
            <w:tcW w:w="200" w:type="dxa"/>
            <w:vAlign w:val="bottom"/>
          </w:tcPr>
          <w:p>
            <w:pPr>
              <w:spacing w:after="0"/>
              <w:rPr>
                <w:sz w:val="17"/>
                <w:szCs w:val="17"/>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
        </w:trPr>
        <w:tc>
          <w:tcPr>
            <w:tcW w:w="78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bl>
    <w:p>
      <w:pPr>
        <w:spacing w:after="0" w:line="44"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amortization of $27,508 and $29,510 for the twelve months ending December 25, 2021 and December 26, 2020, respectively.</w:t>
      </w:r>
    </w:p>
    <w:p>
      <w:pPr>
        <w:spacing w:after="0" w:line="22" w:lineRule="exact"/>
        <w:rPr>
          <w:rFonts w:ascii="Arial" w:cs="Arial" w:eastAsia="Arial" w:hAnsi="Arial"/>
          <w:sz w:val="16"/>
          <w:szCs w:val="16"/>
          <w:color w:val="auto"/>
        </w:rPr>
      </w:pPr>
    </w:p>
    <w:p>
      <w:pPr>
        <w:ind w:left="500" w:hanging="330"/>
        <w:spacing w:after="0"/>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amortization of capitalized implementation costs related to cloud-based software arrangements that are included within SG&amp;A.</w:t>
      </w:r>
    </w:p>
    <w:p>
      <w:pPr>
        <w:sectPr>
          <w:pgSz w:w="11900" w:h="16838" w:orient="portrait"/>
          <w:cols w:equalWidth="0" w:num="1">
            <w:col w:w="11240"/>
          </w:cols>
          <w:pgMar w:left="320" w:top="580" w:right="339" w:bottom="12"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2022-02-11T22:50:03Z</dcterms:created>
  <dcterms:modified xsi:type="dcterms:W3CDTF">2022-02-11T22:50:03Z</dcterms:modified>
</cp:coreProperties>
</file>