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25,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25, 2006 the Registrant had 22,550,196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21"/>
            <w:vMerge w:val="restart"/>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69"/>
        </w:trPr>
        <w:tc>
          <w:tcPr>
            <w:tcW w:w="1100" w:type="dxa"/>
            <w:vAlign w:val="bottom"/>
            <w:gridSpan w:val="6"/>
            <w:vMerge w:val="continue"/>
          </w:tcPr>
          <w:p>
            <w:pPr>
              <w:spacing w:after="0"/>
              <w:rPr>
                <w:sz w:val="14"/>
                <w:szCs w:val="14"/>
                <w:color w:val="auto"/>
              </w:rPr>
            </w:pPr>
          </w:p>
        </w:tc>
        <w:tc>
          <w:tcPr>
            <w:tcW w:w="9460" w:type="dxa"/>
            <w:vAlign w:val="bottom"/>
            <w:gridSpan w:val="2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Item 1.</w:t>
              </w:r>
            </w:hyperlink>
          </w:p>
        </w:tc>
        <w:tc>
          <w:tcPr>
            <w:tcW w:w="6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March 25, 2006 (unaudited) and December 31, 2005</w:t>
              </w:r>
            </w:hyperlink>
          </w:p>
        </w:tc>
        <w:tc>
          <w:tcPr>
            <w:tcW w:w="2220" w:type="dxa"/>
            <w:vAlign w:val="bottom"/>
            <w:gridSpan w:val="3"/>
          </w:tcPr>
          <w:p>
            <w:pPr>
              <w:spacing w:after="0"/>
              <w:rPr>
                <w:sz w:val="24"/>
                <w:szCs w:val="24"/>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Income (unaudited) Three Months Ended March 25, 2006 and March 26, 2005</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tcBorders>
              <w:top w:val="single" w:sz="8" w:color="0000EE"/>
            </w:tcBorders>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(unaudited) Three Months Ended March 25, 2006 and March 26,</w:t>
              </w:r>
            </w:hyperlink>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540" w:type="dxa"/>
            <w:vAlign w:val="bottom"/>
            <w:tcBorders>
              <w:top w:val="single" w:sz="8" w:color="0000EE"/>
            </w:tcBorders>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2005</w:t>
              </w:r>
            </w:hyperlink>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16">
              <w:r>
                <w:rPr>
                  <w:rFonts w:ascii="Arial" w:cs="Arial" w:eastAsia="Arial" w:hAnsi="Arial"/>
                  <w:sz w:val="18"/>
                  <w:szCs w:val="18"/>
                  <w:color w:val="0000EE"/>
                  <w:w w:val="76"/>
                </w:rPr>
                <w:t>Item 2.</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29">
              <w:r>
                <w:rPr>
                  <w:rFonts w:ascii="Arial" w:cs="Arial" w:eastAsia="Arial" w:hAnsi="Arial"/>
                  <w:sz w:val="18"/>
                  <w:szCs w:val="18"/>
                  <w:color w:val="0000EE"/>
                  <w:w w:val="76"/>
                </w:rPr>
                <w:t>Item 3.</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29">
              <w:r>
                <w:rPr>
                  <w:rFonts w:ascii="Arial" w:cs="Arial" w:eastAsia="Arial" w:hAnsi="Arial"/>
                  <w:sz w:val="18"/>
                  <w:szCs w:val="18"/>
                  <w:color w:val="0000EE"/>
                  <w:w w:val="76"/>
                </w:rPr>
                <w:t>Item 4.</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560" w:type="dxa"/>
            <w:vAlign w:val="bottom"/>
            <w:gridSpan w:val="3"/>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1.</w:t>
              </w:r>
            </w:hyperlink>
          </w:p>
        </w:tc>
        <w:tc>
          <w:tcPr>
            <w:tcW w:w="80" w:type="dxa"/>
            <w:vAlign w:val="bottom"/>
          </w:tcPr>
          <w:p>
            <w:pPr>
              <w:spacing w:after="0"/>
              <w:rPr>
                <w:sz w:val="24"/>
                <w:szCs w:val="24"/>
                <w:color w:val="auto"/>
              </w:rPr>
            </w:pPr>
          </w:p>
        </w:tc>
        <w:tc>
          <w:tcPr>
            <w:tcW w:w="560" w:type="dxa"/>
            <w:vAlign w:val="bottom"/>
            <w:gridSpan w:val="3"/>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2.</w:t>
              </w:r>
            </w:hyperlink>
          </w:p>
        </w:tc>
        <w:tc>
          <w:tcPr>
            <w:tcW w:w="18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3.</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4.</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60" w:type="dxa"/>
            <w:vAlign w:val="bottom"/>
            <w:tcBorders>
              <w:left w:val="single" w:sz="8" w:color="0000EE"/>
            </w:tcBorders>
            <w:gridSpan w:val="5"/>
            <w:shd w:val="clear" w:color="auto" w:fill="0000EE"/>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5.</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88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6.</w:t>
              </w:r>
            </w:hyperlink>
          </w:p>
        </w:tc>
        <w:tc>
          <w:tcPr>
            <w:tcW w:w="640" w:type="dxa"/>
            <w:vAlign w:val="bottom"/>
            <w:gridSpan w:val="4"/>
          </w:tcPr>
          <w:p>
            <w:pPr>
              <w:spacing w:after="0"/>
              <w:rPr>
                <w:sz w:val="24"/>
                <w:szCs w:val="24"/>
                <w:color w:val="auto"/>
              </w:rPr>
            </w:pPr>
          </w:p>
        </w:tc>
        <w:tc>
          <w:tcPr>
            <w:tcW w:w="9460" w:type="dxa"/>
            <w:vAlign w:val="bottom"/>
            <w:gridSpan w:val="21"/>
          </w:tcPr>
          <w:p>
            <w:pPr>
              <w:ind w:left="28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EXHIBIT 31.1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EXHIBIT 31.2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EXHIBIT 32.1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EXHIBIT 32.2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25, 2006</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2005 *</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29,915</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100,990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100,202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less allowance for doubtful accounts of $1,465 in 2006 and $1,317 in 2005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56,179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28,035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13,032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5,485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265,028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256,617</w:t>
            </w:r>
          </w:p>
        </w:tc>
        <w:tc>
          <w:tcPr>
            <w:tcW w:w="0" w:type="dxa"/>
            <w:vAlign w:val="bottom"/>
          </w:tcPr>
          <w:p>
            <w:pPr>
              <w:spacing w:after="0"/>
              <w:rPr>
                <w:sz w:val="1"/>
                <w:szCs w:val="1"/>
                <w:color w:val="auto"/>
              </w:rPr>
            </w:pPr>
          </w:p>
        </w:tc>
      </w:tr>
      <w:tr>
        <w:trPr>
          <w:trHeight w:val="216"/>
        </w:trPr>
        <w:tc>
          <w:tcPr>
            <w:tcW w:w="8460" w:type="dxa"/>
            <w:vAlign w:val="bottom"/>
            <w:gridSpan w:val="3"/>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27,168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25,925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31,994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31,289</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67,514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(34,497)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(33,412)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84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12,835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 of $2,281 in 2006 and $2,084 in 2005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8,299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84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321,620</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306,977</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13,291</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10,117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Accrued warranty</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6,912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Customer advances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16,048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6,354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3,520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59,018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50,322</w:t>
            </w:r>
          </w:p>
        </w:tc>
        <w:tc>
          <w:tcPr>
            <w:tcW w:w="0" w:type="dxa"/>
            <w:vAlign w:val="bottom"/>
          </w:tcPr>
          <w:p>
            <w:pPr>
              <w:spacing w:after="0"/>
              <w:rPr>
                <w:sz w:val="1"/>
                <w:szCs w:val="1"/>
                <w:color w:val="auto"/>
              </w:rPr>
            </w:pPr>
          </w:p>
        </w:tc>
      </w:tr>
      <w:tr>
        <w:trPr>
          <w:trHeight w:val="216"/>
        </w:trPr>
        <w:tc>
          <w:tcPr>
            <w:tcW w:w="8460" w:type="dxa"/>
            <w:vAlign w:val="bottom"/>
            <w:gridSpan w:val="3"/>
          </w:tcPr>
          <w:p>
            <w:pPr>
              <w:spacing w:after="0"/>
              <w:rPr>
                <w:sz w:val="20"/>
                <w:szCs w:val="20"/>
                <w:color w:val="auto"/>
              </w:rPr>
            </w:pPr>
            <w:r>
              <w:rPr>
                <w:rFonts w:ascii="Arial" w:cs="Arial" w:eastAsia="Arial" w:hAnsi="Arial"/>
                <w:sz w:val="18"/>
                <w:szCs w:val="18"/>
                <w:color w:val="auto"/>
              </w:rPr>
              <w:t>Accrued retiree medical benefits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6"/>
              </w:rPr>
              <w:t>Common stock, $1 par value; 60,000 shares authorized, 22,550 shares issued and outstanding in 2006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22,380 shares in 2005</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22,550</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41,661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37,717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192,295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190,225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256,284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250,125</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321,620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30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31, 2005 audited financial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March 25,</w:t>
            </w:r>
          </w:p>
        </w:tc>
        <w:tc>
          <w:tcPr>
            <w:tcW w:w="34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March 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58,251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44,396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and expenses:</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37,568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7,777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9,069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54,414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1,386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Basic</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22,500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23,025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22,108</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8"/>
              </w:rPr>
              <w:t>The accompanying notes are an integral part of these statements.</w:t>
            </w:r>
          </w:p>
        </w:tc>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100" w:type="dxa"/>
            <w:vAlign w:val="bottom"/>
          </w:tcPr>
          <w:p>
            <w:pPr>
              <w:jc w:val="right"/>
              <w:ind w:right="34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March 25,</w:t>
            </w:r>
          </w:p>
        </w:tc>
        <w:tc>
          <w:tcPr>
            <w:tcW w:w="32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March 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3,423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from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accrued retiree medical benefits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600"/>
              <w:spacing w:after="0"/>
              <w:rPr>
                <w:sz w:val="20"/>
                <w:szCs w:val="20"/>
                <w:color w:val="auto"/>
              </w:rPr>
            </w:pPr>
            <w:r>
              <w:rPr>
                <w:rFonts w:ascii="Arial" w:cs="Arial" w:eastAsia="Arial" w:hAnsi="Arial"/>
                <w:sz w:val="18"/>
                <w:szCs w:val="18"/>
                <w:color w:val="auto"/>
              </w:rPr>
              <w:t>Excess tax benefits from stock options exercised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current assets and liabilities, net of effects from purchase of Unigen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0"/>
              <w:spacing w:after="0"/>
              <w:rPr>
                <w:sz w:val="20"/>
                <w:szCs w:val="20"/>
                <w:color w:val="auto"/>
              </w:rPr>
            </w:pPr>
            <w:r>
              <w:rPr>
                <w:rFonts w:ascii="Arial" w:cs="Arial" w:eastAsia="Arial" w:hAnsi="Arial"/>
                <w:sz w:val="18"/>
                <w:szCs w:val="18"/>
                <w:color w:val="auto"/>
              </w:rPr>
              <w:t>Refundable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current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1,437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Customer advances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0"/>
              <w:spacing w:after="0"/>
              <w:rPr>
                <w:sz w:val="20"/>
                <w:szCs w:val="20"/>
                <w:color w:val="auto"/>
              </w:rPr>
            </w:pPr>
            <w:r>
              <w:rPr>
                <w:rFonts w:ascii="Arial" w:cs="Arial" w:eastAsia="Arial" w:hAnsi="Arial"/>
                <w:sz w:val="18"/>
                <w:szCs w:val="18"/>
                <w:color w:val="auto"/>
              </w:rPr>
              <w:t>Deferred profit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(used for)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flows from investing activities, net of effects from purchase of Unigen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(56,894)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56,062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Payment for purchase of Unigen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(9,309)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Issuance of stock,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2,484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 options exercised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(used for) 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(8,832)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59,591</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Cash paid (received) during the period for: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net of refunds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but not yet paid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2006</w:t>
      </w:r>
    </w:p>
    <w:p>
      <w:pPr>
        <w:spacing w:after="0" w:line="99" w:lineRule="exact"/>
        <w:rPr>
          <w:sz w:val="20"/>
          <w:szCs w:val="20"/>
          <w:color w:val="auto"/>
        </w:rPr>
      </w:pPr>
    </w:p>
    <w:p>
      <w:pPr>
        <w:ind w:left="260" w:right="7760" w:hanging="252"/>
        <w:spacing w:after="0" w:line="393"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260"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Our fiscal years are based on a 52- or 53-week period ending on the last Saturday in December. The condensed consolidated balance sheet at December 31, 2005 has been derived from our audited financial statements at that date. The condensed consolidated interim financial statements as of March 25, 2006 and for the three-month periods ending March 25, 2006 (also referred to as “the first quarter of fiscal 2006”) and March 26, 2005 (also referred to as “the first quarter of fiscal 2005”) are unaudited. However, in management’s opinion, these financial statements reflect all adjustments (consisting only of normal, recurring items) necessary to provide a fair presentation of our financial position, results of operations and cash flows for the periods presented. Both the first quarter of fiscal 2006 and 2005 were comprised of twelve weeks.</w:t>
      </w:r>
    </w:p>
    <w:p>
      <w:pPr>
        <w:spacing w:after="0" w:line="83" w:lineRule="exact"/>
        <w:rPr>
          <w:rFonts w:ascii="Arial" w:cs="Arial" w:eastAsia="Arial" w:hAnsi="Arial"/>
          <w:sz w:val="18"/>
          <w:szCs w:val="18"/>
          <w:b w:val="1"/>
          <w:bCs w:val="1"/>
          <w:color w:val="auto"/>
        </w:rPr>
      </w:pPr>
    </w:p>
    <w:p>
      <w:pPr>
        <w:ind w:left="2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condensed consolidated interim financial statements in conjunction with our audited financial statements for the year ended December 31, 2005, which are included in our 2005 Annual Report on Form 10-K, filed with the U. S. Securities and Exchange Commission (“SEC”). In the following notes to our interim condensed consolidated financial statements, Cohu, Inc. is referred to as “Cohu”, “we”, “our” and “us”.</w:t>
      </w:r>
    </w:p>
    <w:p>
      <w:pPr>
        <w:spacing w:after="0" w:line="8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34" w:lineRule="exact"/>
        <w:rPr>
          <w:rFonts w:ascii="Arial" w:cs="Arial" w:eastAsia="Arial" w:hAnsi="Arial"/>
          <w:sz w:val="18"/>
          <w:szCs w:val="18"/>
          <w:b w:val="1"/>
          <w:bCs w:val="1"/>
          <w:color w:val="auto"/>
        </w:rPr>
      </w:pPr>
    </w:p>
    <w:p>
      <w:pPr>
        <w:ind w:left="2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Certain of these risks and uncertainties are discussed under “Trends, Risks and Uncertainties” in the accompanying Management’s Discussion and Analysis of Financial Condition and Results of Operations included in this Form 10-Q. Understanding these risks and uncertainties is integral to the review of our interim condensed consolidated financial statements.</w:t>
      </w:r>
    </w:p>
    <w:p>
      <w:pPr>
        <w:spacing w:after="0" w:line="88"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4" w:lineRule="exact"/>
        <w:rPr>
          <w:rFonts w:ascii="Arial" w:cs="Arial" w:eastAsia="Arial" w:hAnsi="Arial"/>
          <w:sz w:val="18"/>
          <w:szCs w:val="18"/>
          <w:b w:val="1"/>
          <w:bCs w:val="1"/>
          <w:color w:val="auto"/>
        </w:rPr>
      </w:pPr>
    </w:p>
    <w:p>
      <w:pPr>
        <w:ind w:left="2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2006, we adopted the provisions of Financial Accounting Standards Board (“FASB”)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 Statement No. 123R”) and SEC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(“SAB 107”) requiring the measurement and recognition of all share-based compensation under the fair value method.</w:t>
      </w:r>
    </w:p>
    <w:p>
      <w:pPr>
        <w:spacing w:after="0" w:line="86" w:lineRule="exact"/>
        <w:rPr>
          <w:rFonts w:ascii="Arial" w:cs="Arial" w:eastAsia="Arial" w:hAnsi="Arial"/>
          <w:sz w:val="18"/>
          <w:szCs w:val="18"/>
          <w:b w:val="1"/>
          <w:bCs w:val="1"/>
          <w:color w:val="auto"/>
        </w:rPr>
      </w:pPr>
    </w:p>
    <w:p>
      <w:pPr>
        <w:ind w:left="2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first quarter of fiscal 2006, we began recognizing share-based compensation, under Statement No. 123R, for all awards granted during the first quarter of fiscal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fair value of share-based compensation expense.</w:t>
      </w:r>
    </w:p>
    <w:p>
      <w:pPr>
        <w:spacing w:after="0" w:line="46" w:lineRule="exact"/>
        <w:rPr>
          <w:rFonts w:ascii="Arial" w:cs="Arial" w:eastAsia="Arial" w:hAnsi="Arial"/>
          <w:sz w:val="18"/>
          <w:szCs w:val="18"/>
          <w:b w:val="1"/>
          <w:bCs w:val="1"/>
          <w:color w:val="auto"/>
        </w:rPr>
      </w:pPr>
    </w:p>
    <w:p>
      <w:pPr>
        <w:ind w:left="2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 No. 123R, we applied the provisions of SAB 107 in developing our methodologies to estimate our Black-Scholes model inputs. Option valuation models, including Black-Scholes, require the input of highly subjective assumptions, and changes in the assumptions used can materially affect the grant date fair value of an award. These assumptions include the risk free rate of interest, expected dividend yield, expected volatility, and the expected life of the award. The risk 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107’s simplified method for estimating the expected term of share-based awards granted in the first quarter of fiscal 2006. Statement No. 123R also requires that estimated forfeitures be included as a part of the grant date expense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436"/>
              <w:spacing w:after="0"/>
              <w:rPr>
                <w:sz w:val="20"/>
                <w:szCs w:val="20"/>
                <w:color w:val="auto"/>
              </w:rPr>
            </w:pPr>
            <w:r>
              <w:rPr>
                <w:rFonts w:ascii="Arial" w:cs="Arial" w:eastAsia="Arial" w:hAnsi="Arial"/>
                <w:sz w:val="14"/>
                <w:szCs w:val="14"/>
                <w:color w:val="auto"/>
              </w:rPr>
              <w:t>Three Months Ended</w:t>
            </w:r>
          </w:p>
        </w:tc>
      </w:tr>
      <w:tr>
        <w:trPr>
          <w:trHeight w:val="149"/>
        </w:trPr>
        <w:tc>
          <w:tcPr>
            <w:tcW w:w="9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6"/>
              </w:rPr>
              <w:t>March 25,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6"/>
              </w:rPr>
              <w:t>March 26,</w:t>
            </w:r>
          </w:p>
        </w:tc>
      </w:tr>
      <w:tr>
        <w:trPr>
          <w:trHeight w:val="167"/>
        </w:trPr>
        <w:tc>
          <w:tcPr>
            <w:tcW w:w="9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2006</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2005</w:t>
            </w: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3.8 years</w:t>
            </w:r>
          </w:p>
        </w:tc>
        <w:tc>
          <w:tcPr>
            <w:tcW w:w="56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4.0 years</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7.73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7.75</w:t>
            </w:r>
          </w:p>
        </w:tc>
      </w:tr>
      <w:tr>
        <w:trPr>
          <w:trHeight w:val="432"/>
        </w:trPr>
        <w:tc>
          <w:tcPr>
            <w:tcW w:w="9180" w:type="dxa"/>
            <w:vAlign w:val="bottom"/>
          </w:tcPr>
          <w:p>
            <w:pPr>
              <w:spacing w:after="0"/>
              <w:rPr>
                <w:sz w:val="20"/>
                <w:szCs w:val="20"/>
                <w:color w:val="auto"/>
              </w:rPr>
            </w:pPr>
            <w:r>
              <w:rPr>
                <w:rFonts w:ascii="Arial" w:cs="Arial" w:eastAsia="Arial" w:hAnsi="Arial"/>
                <w:sz w:val="18"/>
                <w:szCs w:val="18"/>
                <w:b w:val="1"/>
                <w:bCs w:val="1"/>
                <w:i w:val="1"/>
                <w:iCs w:val="1"/>
                <w:color w:val="auto"/>
              </w:rPr>
              <w:t>Employee Stock Purchase Plan</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6"/>
        </w:trPr>
        <w:tc>
          <w:tcPr>
            <w:tcW w:w="9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4"/>
          </w:tcPr>
          <w:p>
            <w:pPr>
              <w:jc w:val="right"/>
              <w:ind w:right="436"/>
              <w:spacing w:after="0"/>
              <w:rPr>
                <w:sz w:val="20"/>
                <w:szCs w:val="20"/>
                <w:color w:val="auto"/>
              </w:rPr>
            </w:pPr>
            <w:r>
              <w:rPr>
                <w:rFonts w:ascii="Arial" w:cs="Arial" w:eastAsia="Arial" w:hAnsi="Arial"/>
                <w:sz w:val="14"/>
                <w:szCs w:val="14"/>
                <w:color w:val="auto"/>
              </w:rPr>
              <w:t>Three Months Ended</w:t>
            </w:r>
          </w:p>
        </w:tc>
      </w:tr>
      <w:tr>
        <w:trPr>
          <w:trHeight w:val="149"/>
        </w:trPr>
        <w:tc>
          <w:tcPr>
            <w:tcW w:w="9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6"/>
              </w:rPr>
              <w:t>March 25,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6"/>
              </w:rPr>
              <w:t>March 26,</w:t>
            </w:r>
          </w:p>
        </w:tc>
      </w:tr>
      <w:tr>
        <w:trPr>
          <w:trHeight w:val="167"/>
        </w:trPr>
        <w:tc>
          <w:tcPr>
            <w:tcW w:w="9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2006</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2005</w:t>
            </w: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0.5 years</w:t>
            </w:r>
          </w:p>
        </w:tc>
        <w:tc>
          <w:tcPr>
            <w:tcW w:w="56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0.5 years</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4.00</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Reported share-based compensation is classified, in the condensed consolidated interim financial statements,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147"/>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right"/>
              <w:ind w:right="400"/>
              <w:spacing w:after="0" w:line="149" w:lineRule="exact"/>
              <w:rPr>
                <w:sz w:val="20"/>
                <w:szCs w:val="20"/>
                <w:color w:val="auto"/>
              </w:rPr>
            </w:pPr>
            <w:r>
              <w:rPr>
                <w:rFonts w:ascii="Arial" w:cs="Arial" w:eastAsia="Arial" w:hAnsi="Arial"/>
                <w:sz w:val="14"/>
                <w:szCs w:val="14"/>
                <w:color w:val="auto"/>
                <w:w w:val="96"/>
              </w:rPr>
              <w:t>March 25,</w:t>
            </w:r>
          </w:p>
        </w:tc>
        <w:tc>
          <w:tcPr>
            <w:tcW w:w="3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March 26,</w:t>
            </w:r>
          </w:p>
        </w:tc>
      </w:t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share-based compensation</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share-based compensation, net of tax</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our adoption of Statement No. 123R, we presented all tax benefits resulting from the exercise of stock options as operating cash inflows in our</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consolidated statements of cash flows, in accordance with the provisions of the Emerging Issues Task Force (“EITF”) Issue No. 00-15, </w:t>
      </w:r>
      <w:r>
        <w:rPr>
          <w:rFonts w:ascii="Arial" w:cs="Arial" w:eastAsia="Arial" w:hAnsi="Arial"/>
          <w:sz w:val="16"/>
          <w:szCs w:val="16"/>
          <w:i w:val="1"/>
          <w:iCs w:val="1"/>
          <w:color w:val="auto"/>
        </w:rPr>
        <w:t>Classification in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Statement of Cash Flows of the Income Tax Benefit Received by a Company upon Exercise of a Nonqualified Employee Stock Option</w:t>
      </w:r>
      <w:r>
        <w:rPr>
          <w:rFonts w:ascii="Arial" w:cs="Arial" w:eastAsia="Arial" w:hAnsi="Arial"/>
          <w:sz w:val="16"/>
          <w:szCs w:val="16"/>
          <w:color w:val="auto"/>
        </w:rPr>
        <w:t>. Statement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 123R requires the benefit of tax deductions in excess of the compensation cost recognized for those options to be classified as financing cash inflows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rather than operating cash inflows, on a prospective basis.</w:t>
      </w:r>
    </w:p>
    <w:p>
      <w:pPr>
        <w:spacing w:after="0" w:line="103" w:lineRule="exact"/>
        <w:rPr>
          <w:sz w:val="20"/>
          <w:szCs w:val="20"/>
          <w:color w:val="auto"/>
        </w:rPr>
      </w:pPr>
    </w:p>
    <w:p>
      <w:pPr>
        <w:ind w:left="240" w:right="640"/>
        <w:spacing w:after="0" w:line="308" w:lineRule="auto"/>
        <w:rPr>
          <w:sz w:val="20"/>
          <w:szCs w:val="20"/>
          <w:color w:val="auto"/>
        </w:rPr>
      </w:pPr>
      <w:r>
        <w:rPr>
          <w:rFonts w:ascii="Arial" w:cs="Arial" w:eastAsia="Arial" w:hAnsi="Arial"/>
          <w:sz w:val="17"/>
          <w:szCs w:val="17"/>
          <w:color w:val="auto"/>
        </w:rPr>
        <w:t>At March 25, 2006, excluding a reduction for forfeitures, we had approximately $6.5 million of pre-tax unrecognized compensation cost related to unvested share-based awards. That cost is expected to be recognized over a weighted-average period of approximately 2 years.</w:t>
      </w:r>
    </w:p>
    <w:p>
      <w:pPr>
        <w:spacing w:after="0" w:line="38" w:lineRule="exact"/>
        <w:rPr>
          <w:sz w:val="20"/>
          <w:szCs w:val="20"/>
          <w:color w:val="auto"/>
        </w:rPr>
      </w:pPr>
    </w:p>
    <w:p>
      <w:pPr>
        <w:ind w:left="240" w:right="20"/>
        <w:spacing w:after="0" w:line="255" w:lineRule="auto"/>
        <w:rPr>
          <w:sz w:val="20"/>
          <w:szCs w:val="20"/>
          <w:color w:val="auto"/>
        </w:rPr>
      </w:pPr>
      <w:r>
        <w:rPr>
          <w:rFonts w:ascii="Arial" w:cs="Arial" w:eastAsia="Arial" w:hAnsi="Arial"/>
          <w:sz w:val="18"/>
          <w:szCs w:val="18"/>
          <w:color w:val="auto"/>
        </w:rPr>
        <w:t xml:space="preserve">Prior to the first quarter of fiscal 2006, we accounted for share-based awards to employees under Accounting Principles Board Opinion Number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(“APB 25”). Under APB 25, no stock-based employee compensation cost was reflected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of income, as all options granted under our share-based compensation plans had an exercise price equal to the market value of the underlying common stock on the date of grant. The proforma information presented in the following table illustrates the effect on net income and net income per share if we had applied the fair value recognition provisions of FASB Statement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 amended by FASB Statement No.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to stock-based employee compensation for the first quarter of fiscal 2005: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640" w:type="dxa"/>
            <w:vAlign w:val="bottom"/>
          </w:tcPr>
          <w:p>
            <w:pPr>
              <w:jc w:val="center"/>
              <w:ind w:right="2677"/>
              <w:spacing w:after="0"/>
              <w:rPr>
                <w:sz w:val="20"/>
                <w:szCs w:val="20"/>
                <w:color w:val="auto"/>
              </w:rPr>
            </w:pPr>
            <w:r>
              <w:rPr>
                <w:rFonts w:ascii="Arial" w:cs="Arial" w:eastAsia="Arial" w:hAnsi="Arial"/>
                <w:sz w:val="18"/>
                <w:szCs w:val="18"/>
                <w:b w:val="1"/>
                <w:bCs w:val="1"/>
                <w:color w:val="auto"/>
                <w:w w:val="91"/>
              </w:rPr>
              <w:t>Cohu, Inc.</w:t>
            </w:r>
          </w:p>
        </w:tc>
      </w:tr>
      <w:tr>
        <w:trPr>
          <w:trHeight w:val="216"/>
        </w:trPr>
        <w:tc>
          <w:tcPr>
            <w:tcW w:w="2780" w:type="dxa"/>
            <w:vAlign w:val="bottom"/>
          </w:tcPr>
          <w:p>
            <w:pPr>
              <w:spacing w:after="0"/>
              <w:rPr>
                <w:sz w:val="18"/>
                <w:szCs w:val="18"/>
                <w:color w:val="auto"/>
              </w:rPr>
            </w:pPr>
          </w:p>
        </w:tc>
        <w:tc>
          <w:tcPr>
            <w:tcW w:w="8640" w:type="dxa"/>
            <w:vAlign w:val="bottom"/>
          </w:tcPr>
          <w:p>
            <w:pPr>
              <w:jc w:val="center"/>
              <w:ind w:right="2697"/>
              <w:spacing w:after="0"/>
              <w:rPr>
                <w:sz w:val="20"/>
                <w:szCs w:val="20"/>
                <w:color w:val="auto"/>
              </w:rPr>
            </w:pPr>
            <w:r>
              <w:rPr>
                <w:rFonts w:ascii="Arial" w:cs="Arial" w:eastAsia="Arial" w:hAnsi="Arial"/>
                <w:sz w:val="18"/>
                <w:szCs w:val="18"/>
                <w:b w:val="1"/>
                <w:bCs w:val="1"/>
                <w:color w:val="auto"/>
                <w:w w:val="89"/>
              </w:rPr>
              <w:t>Notes to Unaudited Condensed Consolidated Financial Statements</w:t>
            </w:r>
          </w:p>
        </w:tc>
      </w:tr>
      <w:tr>
        <w:trPr>
          <w:trHeight w:val="234"/>
        </w:trPr>
        <w:tc>
          <w:tcPr>
            <w:tcW w:w="2780" w:type="dxa"/>
            <w:vAlign w:val="bottom"/>
          </w:tcPr>
          <w:p>
            <w:pPr>
              <w:spacing w:after="0"/>
              <w:rPr>
                <w:sz w:val="20"/>
                <w:szCs w:val="20"/>
                <w:color w:val="auto"/>
              </w:rPr>
            </w:pPr>
          </w:p>
        </w:tc>
        <w:tc>
          <w:tcPr>
            <w:tcW w:w="8640" w:type="dxa"/>
            <w:vAlign w:val="bottom"/>
          </w:tcPr>
          <w:p>
            <w:pPr>
              <w:jc w:val="center"/>
              <w:ind w:right="2697"/>
              <w:spacing w:after="0"/>
              <w:rPr>
                <w:sz w:val="20"/>
                <w:szCs w:val="20"/>
                <w:color w:val="auto"/>
              </w:rPr>
            </w:pPr>
            <w:r>
              <w:rPr>
                <w:rFonts w:ascii="Arial" w:cs="Arial" w:eastAsia="Arial" w:hAnsi="Arial"/>
                <w:sz w:val="18"/>
                <w:szCs w:val="18"/>
                <w:b w:val="1"/>
                <w:bCs w:val="1"/>
                <w:color w:val="auto"/>
                <w:w w:val="92"/>
              </w:rPr>
              <w:t>March 25, 2006</w:t>
            </w:r>
          </w:p>
        </w:tc>
      </w:tr>
      <w:tr>
        <w:trPr>
          <w:trHeight w:val="346"/>
        </w:trPr>
        <w:tc>
          <w:tcPr>
            <w:tcW w:w="2780" w:type="dxa"/>
            <w:vAlign w:val="bottom"/>
          </w:tcPr>
          <w:p>
            <w:pPr>
              <w:spacing w:after="0"/>
              <w:rPr>
                <w:sz w:val="24"/>
                <w:szCs w:val="24"/>
                <w:color w:val="auto"/>
              </w:rPr>
            </w:pPr>
          </w:p>
        </w:tc>
        <w:tc>
          <w:tcPr>
            <w:tcW w:w="8640" w:type="dxa"/>
            <w:vAlign w:val="bottom"/>
          </w:tcPr>
          <w:p>
            <w:pPr>
              <w:jc w:val="center"/>
              <w:ind w:left="7197"/>
              <w:spacing w:after="0"/>
              <w:rPr>
                <w:sz w:val="20"/>
                <w:szCs w:val="20"/>
                <w:color w:val="auto"/>
              </w:rPr>
            </w:pPr>
            <w:r>
              <w:rPr>
                <w:rFonts w:ascii="Arial" w:cs="Arial" w:eastAsia="Arial" w:hAnsi="Arial"/>
                <w:sz w:val="14"/>
                <w:szCs w:val="14"/>
                <w:color w:val="auto"/>
                <w:w w:val="89"/>
              </w:rPr>
              <w:t>Three months ended</w:t>
            </w:r>
          </w:p>
        </w:tc>
      </w:tr>
      <w:tr>
        <w:trPr>
          <w:trHeight w:val="167"/>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8640" w:type="dxa"/>
            <w:vAlign w:val="bottom"/>
            <w:tcBorders>
              <w:bottom w:val="single" w:sz="8" w:color="auto"/>
            </w:tcBorders>
          </w:tcPr>
          <w:p>
            <w:pPr>
              <w:jc w:val="center"/>
              <w:ind w:left="7177"/>
              <w:spacing w:after="0"/>
              <w:rPr>
                <w:sz w:val="20"/>
                <w:szCs w:val="20"/>
                <w:color w:val="auto"/>
              </w:rPr>
            </w:pPr>
            <w:r>
              <w:rPr>
                <w:rFonts w:ascii="Arial" w:cs="Arial" w:eastAsia="Arial" w:hAnsi="Arial"/>
                <w:sz w:val="14"/>
                <w:szCs w:val="14"/>
                <w:color w:val="auto"/>
                <w:w w:val="92"/>
              </w:rPr>
              <w:t>March 26, 2005</w:t>
            </w: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8"/>
          <w:szCs w:val="18"/>
          <w:color w:val="auto"/>
        </w:rPr>
        <w:t>Net income,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hanging="202"/>
        <w:spacing w:after="0" w:line="257" w:lineRule="auto"/>
        <w:rPr>
          <w:sz w:val="20"/>
          <w:szCs w:val="20"/>
          <w:color w:val="auto"/>
        </w:rPr>
      </w:pPr>
      <w:r>
        <w:rPr>
          <w:rFonts w:ascii="Arial" w:cs="Arial" w:eastAsia="Arial" w:hAnsi="Arial"/>
          <w:sz w:val="18"/>
          <w:szCs w:val="18"/>
          <w:color w:val="auto"/>
        </w:rPr>
        <w:t>Less: Total stock-based employee compensation expense determined under fair value based method for all awards, net of related tax effect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Basic-as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Basic-pro forma</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Diluted-as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Diluted-pro forma</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Per Share</w:t>
      </w:r>
    </w:p>
    <w:p>
      <w:pPr>
        <w:spacing w:after="0" w:line="20" w:lineRule="exact"/>
        <w:rPr>
          <w:sz w:val="20"/>
          <w:szCs w:val="20"/>
          <w:color w:val="auto"/>
        </w:rPr>
      </w:pPr>
      <w:r>
        <w:rPr>
          <w:sz w:val="20"/>
          <w:szCs w:val="20"/>
          <w:color w:val="auto"/>
        </w:rPr>
        <w:br w:type="column"/>
      </w:r>
    </w:p>
    <w:p>
      <w:pPr>
        <w:ind w:left="750" w:hanging="750"/>
        <w:spacing w:after="0"/>
        <w:tabs>
          <w:tab w:leader="none" w:pos="75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6,531</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6" w:lineRule="exact"/>
        <w:rPr>
          <w:sz w:val="20"/>
          <w:szCs w:val="20"/>
          <w:color w:val="auto"/>
        </w:rPr>
      </w:pPr>
    </w:p>
    <w:p>
      <w:pPr>
        <w:ind w:left="750" w:hanging="750"/>
        <w:spacing w:after="0"/>
        <w:tabs>
          <w:tab w:leader="none" w:pos="750" w:val="left"/>
        </w:tabs>
        <w:numPr>
          <w:ilvl w:val="0"/>
          <w:numId w:val="5"/>
        </w:numPr>
        <w:rPr>
          <w:rFonts w:ascii="Arial" w:cs="Arial" w:eastAsia="Arial" w:hAnsi="Arial"/>
          <w:sz w:val="18"/>
          <w:szCs w:val="18"/>
          <w:color w:val="auto"/>
        </w:rPr>
      </w:pPr>
      <w:r>
        <w:rPr>
          <w:rFonts w:ascii="Arial" w:cs="Arial" w:eastAsia="Arial" w:hAnsi="Arial"/>
          <w:sz w:val="18"/>
          <w:szCs w:val="18"/>
          <w:color w:val="auto"/>
        </w:rPr>
        <w:t>5,501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37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50" w:hanging="850"/>
        <w:spacing w:after="0"/>
        <w:tabs>
          <w:tab w:leader="none" w:pos="850" w:val="left"/>
        </w:tabs>
        <w:numPr>
          <w:ilvl w:val="0"/>
          <w:numId w:val="6"/>
        </w:numPr>
        <w:rPr>
          <w:rFonts w:ascii="Arial" w:cs="Arial" w:eastAsia="Arial" w:hAnsi="Arial"/>
          <w:sz w:val="18"/>
          <w:szCs w:val="18"/>
          <w:color w:val="auto"/>
        </w:rPr>
      </w:pPr>
      <w:r>
        <w:rPr>
          <w:rFonts w:ascii="Arial" w:cs="Arial" w:eastAsia="Arial" w:hAnsi="Arial"/>
          <w:sz w:val="18"/>
          <w:szCs w:val="18"/>
          <w:color w:val="auto"/>
        </w:rPr>
        <w:t>0.30</w:t>
      </w:r>
    </w:p>
    <w:p>
      <w:pPr>
        <w:spacing w:after="0" w:line="23" w:lineRule="exact"/>
        <w:rPr>
          <w:sz w:val="20"/>
          <w:szCs w:val="20"/>
          <w:color w:val="auto"/>
        </w:rPr>
      </w:pPr>
    </w:p>
    <w:p>
      <w:pPr>
        <w:ind w:left="850" w:hanging="850"/>
        <w:spacing w:after="0"/>
        <w:tabs>
          <w:tab w:leader="none" w:pos="850" w:val="left"/>
        </w:tabs>
        <w:numPr>
          <w:ilvl w:val="0"/>
          <w:numId w:val="7"/>
        </w:numPr>
        <w:rPr>
          <w:rFonts w:ascii="Arial" w:cs="Arial" w:eastAsia="Arial" w:hAnsi="Arial"/>
          <w:sz w:val="18"/>
          <w:szCs w:val="18"/>
          <w:color w:val="auto"/>
        </w:rPr>
      </w:pPr>
      <w:r>
        <w:rPr>
          <w:rFonts w:ascii="Arial" w:cs="Arial" w:eastAsia="Arial" w:hAnsi="Arial"/>
          <w:sz w:val="18"/>
          <w:szCs w:val="18"/>
          <w:color w:val="auto"/>
        </w:rPr>
        <w:t>0.25</w:t>
      </w:r>
    </w:p>
    <w:p>
      <w:pPr>
        <w:spacing w:after="0" w:line="211" w:lineRule="exact"/>
        <w:rPr>
          <w:sz w:val="20"/>
          <w:szCs w:val="20"/>
          <w:color w:val="auto"/>
        </w:rPr>
      </w:pPr>
    </w:p>
    <w:p>
      <w:pPr>
        <w:ind w:left="850" w:hanging="850"/>
        <w:spacing w:after="0"/>
        <w:tabs>
          <w:tab w:leader="none" w:pos="85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0.30</w:t>
      </w:r>
    </w:p>
    <w:p>
      <w:pPr>
        <w:spacing w:after="0" w:line="23" w:lineRule="exact"/>
        <w:rPr>
          <w:rFonts w:ascii="Arial" w:cs="Arial" w:eastAsia="Arial" w:hAnsi="Arial"/>
          <w:sz w:val="18"/>
          <w:szCs w:val="18"/>
          <w:color w:val="auto"/>
        </w:rPr>
      </w:pPr>
    </w:p>
    <w:p>
      <w:pPr>
        <w:ind w:left="850" w:hanging="850"/>
        <w:spacing w:after="0"/>
        <w:tabs>
          <w:tab w:leader="none" w:pos="85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0.25</w:t>
      </w:r>
    </w:p>
    <w:p>
      <w:pPr>
        <w:spacing w:after="0" w:line="426" w:lineRule="exact"/>
        <w:rPr>
          <w:sz w:val="20"/>
          <w:szCs w:val="20"/>
          <w:color w:val="auto"/>
        </w:rPr>
      </w:pPr>
    </w:p>
    <w:p>
      <w:pPr>
        <w:sectPr>
          <w:pgSz w:w="11900" w:h="16838" w:orient="portrait"/>
          <w:cols w:equalWidth="0" w:num="2">
            <w:col w:w="9520" w:space="630"/>
            <w:col w:w="1270"/>
          </w:cols>
          <w:pgMar w:left="240" w:top="419" w:right="239" w:bottom="1440" w:gutter="0" w:footer="0" w:header="0"/>
          <w:type w:val="continuous"/>
        </w:sectPr>
      </w:pPr>
    </w:p>
    <w:p>
      <w:pPr>
        <w:ind w:left="240" w:right="20"/>
        <w:spacing w:after="0" w:line="272" w:lineRule="auto"/>
        <w:rPr>
          <w:sz w:val="20"/>
          <w:szCs w:val="20"/>
          <w:color w:val="auto"/>
        </w:rPr>
      </w:pPr>
      <w:r>
        <w:rPr>
          <w:rFonts w:ascii="Arial" w:cs="Arial" w:eastAsia="Arial" w:hAnsi="Arial"/>
          <w:sz w:val="17"/>
          <w:szCs w:val="17"/>
          <w:color w:val="auto"/>
        </w:rPr>
        <w:t xml:space="preserve">Income per share is computed in accordance with FASB Statement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income per share is computed using the weighted average number of common shares outstanding during each period. Diluted income per share includes the dilutive effect of common shares potentially issuable upon the exercise of stock options utilizing the treasury stock method. For purposes of computing diluted income per share, stock options with exercise prices that exceed the average fair market value of our common stock for the period are excluded. For the three months ended March 25, 2006, options to purchase approximately 178,000 shares of common stock were excluded from the computation. For the three months ended March 26, 2005, options to purchase approximately 793,000 shares of common stock were excluded from the computation. The following table reconciles the denominators used in computing basic and diluted income per share: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8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r>
      <w:tr>
        <w:trPr>
          <w:trHeight w:val="174"/>
        </w:trPr>
        <w:tc>
          <w:tcPr>
            <w:tcW w:w="6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80" w:type="dxa"/>
            <w:vAlign w:val="bottom"/>
            <w:gridSpan w:val="3"/>
          </w:tcPr>
          <w:p>
            <w:pPr>
              <w:jc w:val="right"/>
              <w:ind w:right="320"/>
              <w:spacing w:after="0"/>
              <w:rPr>
                <w:sz w:val="20"/>
                <w:szCs w:val="20"/>
                <w:color w:val="auto"/>
              </w:rPr>
            </w:pPr>
            <w:r>
              <w:rPr>
                <w:rFonts w:ascii="Arial" w:cs="Arial" w:eastAsia="Arial" w:hAnsi="Arial"/>
                <w:sz w:val="14"/>
                <w:szCs w:val="14"/>
                <w:color w:val="auto"/>
              </w:rPr>
              <w:t>March 25, 2006</w:t>
            </w:r>
          </w:p>
        </w:tc>
        <w:tc>
          <w:tcPr>
            <w:tcW w:w="1340" w:type="dxa"/>
            <w:vAlign w:val="bottom"/>
            <w:gridSpan w:val="3"/>
          </w:tcPr>
          <w:p>
            <w:pPr>
              <w:ind w:left="320"/>
              <w:spacing w:after="0"/>
              <w:rPr>
                <w:sz w:val="20"/>
                <w:szCs w:val="20"/>
                <w:color w:val="auto"/>
              </w:rPr>
            </w:pPr>
            <w:r>
              <w:rPr>
                <w:rFonts w:ascii="Arial" w:cs="Arial" w:eastAsia="Arial" w:hAnsi="Arial"/>
                <w:sz w:val="14"/>
                <w:szCs w:val="14"/>
                <w:color w:val="auto"/>
              </w:rPr>
              <w:t>March 26, 2005</w:t>
            </w:r>
          </w:p>
        </w:tc>
      </w:tr>
      <w:tr>
        <w:trPr>
          <w:trHeight w:val="216"/>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98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22,500</w:t>
            </w:r>
          </w:p>
        </w:tc>
        <w:tc>
          <w:tcPr>
            <w:tcW w:w="13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21,633</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7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475</w:t>
            </w: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23,025</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22,108</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31, 2005.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79" w:lineRule="exact"/>
        <w:rPr>
          <w:sz w:val="20"/>
          <w:szCs w:val="20"/>
          <w:color w:val="auto"/>
        </w:rPr>
      </w:pPr>
    </w:p>
    <w:p>
      <w:pPr>
        <w:ind w:left="240" w:right="140"/>
        <w:spacing w:after="0" w:line="269" w:lineRule="auto"/>
        <w:rPr>
          <w:sz w:val="20"/>
          <w:szCs w:val="20"/>
          <w:color w:val="auto"/>
        </w:rPr>
      </w:pPr>
      <w:r>
        <w:rPr>
          <w:rFonts w:ascii="Arial" w:cs="Arial" w:eastAsia="Arial" w:hAnsi="Arial"/>
          <w:sz w:val="17"/>
          <w:szCs w:val="17"/>
          <w:color w:val="auto"/>
        </w:rPr>
        <w:t>In April 2003, our Broadcast Microwave Services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all revenue and related costs under this contract in the period the system is accepted by the customer. In the fourth quarter of 2005, BMS received notification that the customer had approved an amendment to the original contract increasing the total value of the contract to $8.9 million. Under the terms of the amendment BMS will provide certain additional equipment and services. Through March 25, 2006, we had shipped inventory with a sales value of $8.9 million and deferred costs of approximately $6.6 million resulting in deferred profit of approximately $2.3 million under the contract. In addition, at March 25, 2006 we had unbilled accounts receivable of approximately $3.6 million. We have also provided the customer with a standby letter of credit which was reduced from $2.6 million to $1.0 million during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jc w:val="both"/>
        <w:ind w:left="240" w:right="180"/>
        <w:spacing w:after="0" w:line="302" w:lineRule="auto"/>
        <w:rPr>
          <w:sz w:val="20"/>
          <w:szCs w:val="20"/>
          <w:color w:val="auto"/>
        </w:rPr>
      </w:pPr>
      <w:r>
        <w:rPr>
          <w:rFonts w:ascii="Arial" w:cs="Arial" w:eastAsia="Arial" w:hAnsi="Arial"/>
          <w:sz w:val="16"/>
          <w:szCs w:val="16"/>
          <w:color w:val="auto"/>
        </w:rPr>
        <w:t>the first quarter of fiscal 2006. At March 25, 2006, approximately $1.0 million may be drawn upon, by the UAE, if BMS does not fulfill the terms of the contract. While customer acceptance and final contract payment has taken longer than anticipated, we believe that such acceptance and payment will be received. However, in the event BMS is unable to obtain customer acceptance of the system, the receivables may need to be written off and the customer might seek a refund of the $5.3 million in payments made under the contract, which could materially impact our results of operations.</w:t>
      </w:r>
    </w:p>
    <w:p>
      <w:pPr>
        <w:spacing w:after="0" w:line="46"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At March 25, 2006, we had deferred revenue totaling approximately $36.2 million and deferred profit of $16.0 million. At December 31, 2005, we had deferred revenue totaling approximately $30.7 million and deferred profit of $13.8 million.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Retiree Medical Benefits</w:t>
      </w:r>
    </w:p>
    <w:p>
      <w:pPr>
        <w:spacing w:after="0" w:line="121"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quarter of fiscal 2006 and 2005 was not significant.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There have been no material changes to the recent accounting pronouncements as previously reported in our Annual Report on Form 10-K for the fiscal year ended December 31, 2005.</w:t>
      </w:r>
    </w:p>
    <w:p>
      <w:pPr>
        <w:spacing w:after="0" w:line="166" w:lineRule="exact"/>
        <w:rPr>
          <w:sz w:val="20"/>
          <w:szCs w:val="20"/>
          <w:color w:val="auto"/>
        </w:rPr>
      </w:pPr>
    </w:p>
    <w:p>
      <w:pPr>
        <w:ind w:left="260" w:right="7440" w:hanging="252"/>
        <w:spacing w:after="0" w:line="393" w:lineRule="auto"/>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and Goodwill </w:t>
      </w:r>
      <w:r>
        <w:rPr>
          <w:rFonts w:ascii="Arial" w:cs="Arial" w:eastAsia="Arial" w:hAnsi="Arial"/>
          <w:sz w:val="18"/>
          <w:szCs w:val="18"/>
          <w:i w:val="1"/>
          <w:iCs w:val="1"/>
          <w:u w:val="single" w:color="auto"/>
          <w:color w:val="auto"/>
        </w:rPr>
        <w:t>Unigen Acquisition</w:t>
      </w:r>
    </w:p>
    <w:p>
      <w:pPr>
        <w:spacing w:after="0" w:line="1" w:lineRule="exact"/>
        <w:rPr>
          <w:rFonts w:ascii="Arial" w:cs="Arial" w:eastAsia="Arial" w:hAnsi="Arial"/>
          <w:sz w:val="18"/>
          <w:szCs w:val="18"/>
          <w:b w:val="1"/>
          <w:bCs w:val="1"/>
          <w:color w:val="auto"/>
        </w:rPr>
      </w:pPr>
    </w:p>
    <w:p>
      <w:pPr>
        <w:ind w:left="2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(“Unysis”)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w:t>
      </w:r>
    </w:p>
    <w:p>
      <w:pPr>
        <w:spacing w:after="0" w:line="59" w:lineRule="exact"/>
        <w:rPr>
          <w:rFonts w:ascii="Arial" w:cs="Arial" w:eastAsia="Arial" w:hAnsi="Arial"/>
          <w:sz w:val="18"/>
          <w:szCs w:val="18"/>
          <w:b w:val="1"/>
          <w:bCs w:val="1"/>
          <w:color w:val="auto"/>
        </w:rPr>
      </w:pPr>
    </w:p>
    <w:p>
      <w:pPr>
        <w:ind w:left="260" w:right="1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Included in the assets we acquired were the patents licensed from Unisys in December 2005 and, as a result, these two transactions have been combined for purposes of allocating the total purchase price to the assets acquired. The purchase price of this acquisition was approximately $17.2 million, and was funded primarily by our cash reserves ($7.7 million), cash previously paid in December 2005 for the patent license and a deposit on the acquisition ($5.3 million), other acquisition costs ($0.2 million) and certain Unigen liabilities assumed ($0.1 million). We also recorded a $4.0 million liability for amounts owed to Unisys for inventory we acquired. The acquisition was considered a business in accordance with EITF 98-3, “</w:t>
      </w:r>
      <w:r>
        <w:rPr>
          <w:rFonts w:ascii="Arial" w:cs="Arial" w:eastAsia="Arial" w:hAnsi="Arial"/>
          <w:sz w:val="17"/>
          <w:szCs w:val="17"/>
          <w:i w:val="1"/>
          <w:iCs w:val="1"/>
          <w:color w:val="auto"/>
        </w:rPr>
        <w:t>Determining Whether a</w:t>
      </w:r>
      <w:r>
        <w:rPr>
          <w:rFonts w:ascii="Arial" w:cs="Arial" w:eastAsia="Arial" w:hAnsi="Arial"/>
          <w:sz w:val="17"/>
          <w:szCs w:val="17"/>
          <w:color w:val="auto"/>
        </w:rPr>
        <w:t xml:space="preserve"> </w:t>
      </w:r>
      <w:r>
        <w:rPr>
          <w:rFonts w:ascii="Arial" w:cs="Arial" w:eastAsia="Arial" w:hAnsi="Arial"/>
          <w:sz w:val="17"/>
          <w:szCs w:val="17"/>
          <w:i w:val="1"/>
          <w:iCs w:val="1"/>
          <w:color w:val="auto"/>
        </w:rPr>
        <w:t>Nonmonetary Transaction Involves Receipt of Productive Assets or of a Business</w:t>
      </w:r>
      <w:r>
        <w:rPr>
          <w:rFonts w:ascii="Arial" w:cs="Arial" w:eastAsia="Arial" w:hAnsi="Arial"/>
          <w:sz w:val="17"/>
          <w:szCs w:val="17"/>
          <w:color w:val="auto"/>
        </w:rPr>
        <w:t>” (“EITF 98-3”), and the total cost of the acquisition was allocated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acquired and liabilities assumed based on their respective fair values in accordance with Statement No. 141. All assets are expected to be fully deductible for tax purposes. The goodwill was assigned to our semiconductor equipment segment.</w:t>
      </w:r>
    </w:p>
    <w:p>
      <w:pPr>
        <w:spacing w:after="0" w:line="8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preliminary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currently estimated at five years. Pro forma results of operations have not been presented because the effect of the acquisition was not material. The purchase price allocation presented as of March 25, 2006 is preliminary and we expect to finalize the purchase price and related allocations during the second quarter of 2006 and, as a result, adjustments to the amounts noted above are possible.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KryoTech Acquisition</w:t>
      </w:r>
    </w:p>
    <w:p>
      <w:pPr>
        <w:spacing w:after="0" w:line="117" w:lineRule="exact"/>
        <w:rPr>
          <w:sz w:val="20"/>
          <w:szCs w:val="20"/>
          <w:color w:val="auto"/>
        </w:rPr>
      </w:pPr>
    </w:p>
    <w:p>
      <w:pPr>
        <w:ind w:left="240" w:right="40"/>
        <w:spacing w:after="0" w:line="279" w:lineRule="auto"/>
        <w:rPr>
          <w:sz w:val="20"/>
          <w:szCs w:val="20"/>
          <w:color w:val="auto"/>
        </w:rPr>
      </w:pPr>
      <w:r>
        <w:rPr>
          <w:rFonts w:ascii="Arial" w:cs="Arial" w:eastAsia="Arial" w:hAnsi="Arial"/>
          <w:sz w:val="17"/>
          <w:szCs w:val="17"/>
          <w:color w:val="auto"/>
        </w:rPr>
        <w:t>On May 6, 2005, we purchased substantially all the assets and operations of KryoTech, Inc. (“KryoTech”). The results of KryoTech’s operations have been included in the consolidated financial statements since that date. KryoTech, based in West Columbia, South Carolina, designed, developed manufactured and marketed advanced thermal solutions for electronic systems and products, including semiconductor equipment. Consummation of the acquisition terminated our joint development project with KryoTech and eliminated all minimum purchase obligations.</w:t>
      </w:r>
    </w:p>
    <w:p>
      <w:pPr>
        <w:spacing w:after="0" w:line="63" w:lineRule="exact"/>
        <w:rPr>
          <w:sz w:val="20"/>
          <w:szCs w:val="20"/>
          <w:color w:val="auto"/>
        </w:rPr>
      </w:pPr>
    </w:p>
    <w:p>
      <w:pPr>
        <w:ind w:left="240" w:right="20"/>
        <w:spacing w:after="0" w:line="297" w:lineRule="auto"/>
        <w:rPr>
          <w:sz w:val="20"/>
          <w:szCs w:val="20"/>
          <w:color w:val="auto"/>
        </w:rPr>
      </w:pPr>
      <w:r>
        <w:rPr>
          <w:rFonts w:ascii="Arial" w:cs="Arial" w:eastAsia="Arial" w:hAnsi="Arial"/>
          <w:sz w:val="16"/>
          <w:szCs w:val="16"/>
          <w:color w:val="auto"/>
        </w:rPr>
        <w:t>The purchase price of this acquisition was approximately $3.6 million, and was funded primarily by our cash reserves ($2.9 million). The purchase price also included the payment of the outstanding principal balance and accrued interest on the promissory note with KryoTech ($0.5 million), other acquisition costs ($0.2 million) and certain KryoTech liabilities assumed ($0.5 million). The acquisition was considered a business in accordance with EITF 98-3, and the total cost of the acquisition was allocated to the assets acquired and liabilities assumed based on their respective fair values in accordance with Statement No. 141. All assets are expected to be fully deductible for tax purposes. The goodwill was assigned to our semiconductor equipment segment.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allocation of the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Pro forma results of operations have not been presented because the effect of the acquisition was not material.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Purchased intangible assets, subject to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ind w:left="540"/>
              <w:spacing w:after="0"/>
              <w:rPr>
                <w:sz w:val="20"/>
                <w:szCs w:val="20"/>
                <w:color w:val="auto"/>
              </w:rPr>
            </w:pPr>
            <w:r>
              <w:rPr>
                <w:rFonts w:ascii="Arial" w:cs="Arial" w:eastAsia="Arial" w:hAnsi="Arial"/>
                <w:sz w:val="14"/>
                <w:szCs w:val="14"/>
                <w:color w:val="auto"/>
              </w:rPr>
              <w:t>March 25, 2006</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ind w:left="440"/>
              <w:spacing w:after="0"/>
              <w:rPr>
                <w:sz w:val="20"/>
                <w:szCs w:val="20"/>
                <w:color w:val="auto"/>
              </w:rPr>
            </w:pPr>
            <w:r>
              <w:rPr>
                <w:rFonts w:ascii="Arial" w:cs="Arial" w:eastAsia="Arial" w:hAnsi="Arial"/>
                <w:sz w:val="14"/>
                <w:szCs w:val="14"/>
                <w:color w:val="auto"/>
                <w:w w:val="97"/>
              </w:rPr>
              <w:t>December 31, 2005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80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420" w:type="dxa"/>
            <w:vAlign w:val="bottom"/>
            <w:tcBorders>
              <w:top w:val="single" w:sz="8" w:color="auto"/>
            </w:tcBorders>
            <w:gridSpan w:val="4"/>
          </w:tcPr>
          <w:p>
            <w:pPr>
              <w:ind w:left="34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tcBorders>
              <w:top w:val="single" w:sz="8" w:color="auto"/>
            </w:tcBorders>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Amount</w:t>
            </w:r>
          </w:p>
        </w:tc>
        <w:tc>
          <w:tcPr>
            <w:tcW w:w="1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Patent license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KryoTech technology</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BMS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10,580</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8,637</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320"/>
        <w:spacing w:after="0" w:line="286" w:lineRule="auto"/>
        <w:rPr>
          <w:sz w:val="20"/>
          <w:szCs w:val="20"/>
          <w:color w:val="auto"/>
        </w:rPr>
      </w:pPr>
      <w:r>
        <w:rPr>
          <w:rFonts w:ascii="Arial" w:cs="Arial" w:eastAsia="Arial" w:hAnsi="Arial"/>
          <w:sz w:val="17"/>
          <w:szCs w:val="17"/>
          <w:color w:val="auto"/>
        </w:rPr>
        <w:t>Amortization expense related to purchased and other intangible assets was approximately $0.2 million for the first quarter of fiscal 2006, and approximately $0.1 million in the first quarter of fiscal 2005. As of March 25, 2006, we expect amortization expense in future periods to be as follows: remainder of 2006 – $1,547,000; 2007 – $2,063,000; 2008 – $1,629,000; 2009 – $1,413,000; 2010 – $1,413,000, 2011 – $234,000.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9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130" w:lineRule="exact"/>
        <w:rPr>
          <w:rFonts w:ascii="Arial" w:cs="Arial" w:eastAsia="Arial" w:hAnsi="Arial"/>
          <w:sz w:val="18"/>
          <w:szCs w:val="18"/>
          <w:b w:val="1"/>
          <w:bCs w:val="1"/>
          <w:color w:val="auto"/>
        </w:rPr>
      </w:pPr>
    </w:p>
    <w:p>
      <w:pPr>
        <w:ind w:left="260" w:right="1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1,000,000 shares of our Common Stock. Under the Plan, eligible employees may purchase shares of common stock through payroll deductions. The price paid for the common stock is equal to 85% of the fair market value of our Common Stock on specified dates.</w:t>
      </w:r>
    </w:p>
    <w:p>
      <w:pPr>
        <w:spacing w:after="0" w:line="81" w:lineRule="exact"/>
        <w:rPr>
          <w:rFonts w:ascii="Arial" w:cs="Arial" w:eastAsia="Arial" w:hAnsi="Arial"/>
          <w:sz w:val="18"/>
          <w:szCs w:val="18"/>
          <w:b w:val="1"/>
          <w:bCs w:val="1"/>
          <w:color w:val="auto"/>
        </w:rPr>
      </w:pPr>
    </w:p>
    <w:p>
      <w:pPr>
        <w:ind w:left="260" w:right="140"/>
        <w:spacing w:after="0" w:line="295"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Under our stock option plans, options may be granted to employees and outside directors to purchase a fixed number of shares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at prices not less than 100% of the fair market value at the date of grant. Options generally become exercisable one-fourth annually beginning one year after the grant date and expire five to ten years from the grant date. On May 10, 2005, our stockholders approved the Cohu, Inc. 2005 Equity Incentive Plan (the “2005 Equity Plan”). The 2005 Equity Plan replaced the 1998 Stock Option Plan, the 1996 Outside Directors Stock Option Plan, the 1996 Stock Option Plan and the 1994 Stock Option Plan (collectively the “Predecessor Plans”). No further awards will be granted under the Predecessor Plans. At March 25, 2006 approximately 791,000 shares were available for future grants under the 2005 Equity Plan.</w:t>
      </w:r>
    </w:p>
    <w:p>
      <w:pPr>
        <w:spacing w:after="0" w:line="6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Stock option activity under our share-based compensation plans for the first quarter of fiscal 2006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w w:val="95"/>
              </w:rPr>
              <w:t>Weighted Average</w:t>
            </w:r>
          </w:p>
        </w:tc>
        <w:tc>
          <w:tcPr>
            <w:tcW w:w="0" w:type="dxa"/>
            <w:vAlign w:val="bottom"/>
          </w:tcPr>
          <w:p>
            <w:pPr>
              <w:spacing w:after="0"/>
              <w:rPr>
                <w:sz w:val="1"/>
                <w:szCs w:val="1"/>
                <w:color w:val="auto"/>
              </w:rPr>
            </w:pPr>
          </w:p>
        </w:tc>
      </w:tr>
      <w:tr>
        <w:trPr>
          <w:trHeight w:val="167"/>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Shares</w:t>
            </w:r>
          </w:p>
        </w:tc>
        <w:tc>
          <w:tcPr>
            <w:tcW w:w="5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Canceled</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25, 2006</w:t>
            </w: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March 25, 2006</w:t>
            </w:r>
          </w:p>
        </w:tc>
        <w:tc>
          <w:tcPr>
            <w:tcW w:w="780" w:type="dxa"/>
            <w:vAlign w:val="bottom"/>
            <w:gridSpan w:val="3"/>
          </w:tcPr>
          <w:p>
            <w:pPr>
              <w:spacing w:after="0" w:line="20" w:lineRule="exact"/>
              <w:rPr>
                <w:sz w:val="1"/>
                <w:szCs w:val="1"/>
                <w:color w:val="auto"/>
              </w:rPr>
            </w:pPr>
          </w:p>
        </w:tc>
        <w:tc>
          <w:tcPr>
            <w:tcW w:w="10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9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line="20" w:lineRule="exact"/>
              <w:rPr>
                <w:sz w:val="1"/>
                <w:szCs w:val="1"/>
                <w:color w:val="auto"/>
              </w:rPr>
            </w:pPr>
          </w:p>
        </w:tc>
      </w:tr>
      <w:tr>
        <w:trPr>
          <w:trHeight w:val="211"/>
        </w:trPr>
        <w:tc>
          <w:tcPr>
            <w:tcW w:w="8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Information about stock options outstanding at March 25, 2006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Options Outstanding</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123"/>
        </w:trPr>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jc w:val="center"/>
              <w:spacing w:after="0" w:line="123" w:lineRule="exact"/>
              <w:rPr>
                <w:sz w:val="20"/>
                <w:szCs w:val="20"/>
                <w:color w:val="auto"/>
              </w:rPr>
            </w:pPr>
            <w:r>
              <w:rPr>
                <w:rFonts w:ascii="Arial" w:cs="Arial" w:eastAsia="Arial" w:hAnsi="Arial"/>
                <w:sz w:val="14"/>
                <w:szCs w:val="14"/>
                <w:color w:val="auto"/>
                <w:w w:val="96"/>
              </w:rPr>
              <w:t>Approximate</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60" w:type="dxa"/>
            <w:vAlign w:val="bottom"/>
            <w:vMerge w:val="restart"/>
          </w:tcPr>
          <w:p>
            <w:pPr>
              <w:jc w:val="right"/>
              <w:ind w:right="2514"/>
              <w:spacing w:after="0"/>
              <w:rPr>
                <w:sz w:val="20"/>
                <w:szCs w:val="20"/>
                <w:color w:val="auto"/>
              </w:rPr>
            </w:pPr>
            <w:r>
              <w:rPr>
                <w:rFonts w:ascii="Arial" w:cs="Arial" w:eastAsia="Arial" w:hAnsi="Arial"/>
                <w:sz w:val="14"/>
                <w:szCs w:val="14"/>
                <w:i w:val="1"/>
                <w:iCs w:val="1"/>
                <w:color w:val="auto"/>
              </w:rPr>
              <w:t>Range of</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Weighted Average</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20"/>
              <w:spacing w:after="0" w:line="123" w:lineRule="exact"/>
              <w:rPr>
                <w:sz w:val="20"/>
                <w:szCs w:val="20"/>
                <w:color w:val="auto"/>
              </w:rPr>
            </w:pPr>
            <w:r>
              <w:rPr>
                <w:rFonts w:ascii="Arial" w:cs="Arial" w:eastAsia="Arial" w:hAnsi="Arial"/>
                <w:sz w:val="14"/>
                <w:szCs w:val="14"/>
                <w:i w:val="1"/>
                <w:iCs w:val="1"/>
                <w:color w:val="auto"/>
              </w:rPr>
              <w:t>Number</w:t>
            </w:r>
          </w:p>
        </w:tc>
        <w:tc>
          <w:tcPr>
            <w:tcW w:w="1600" w:type="dxa"/>
            <w:vAlign w:val="bottom"/>
          </w:tcPr>
          <w:p>
            <w:pPr>
              <w:jc w:val="right"/>
              <w:ind w:right="376"/>
              <w:spacing w:after="0" w:line="123" w:lineRule="exact"/>
              <w:rPr>
                <w:sz w:val="20"/>
                <w:szCs w:val="20"/>
                <w:color w:val="auto"/>
              </w:rPr>
            </w:pPr>
            <w:r>
              <w:rPr>
                <w:rFonts w:ascii="Arial" w:cs="Arial" w:eastAsia="Arial" w:hAnsi="Arial"/>
                <w:sz w:val="14"/>
                <w:szCs w:val="14"/>
                <w:i w:val="1"/>
                <w:iCs w:val="1"/>
                <w:color w:val="auto"/>
              </w:rPr>
              <w:t>Remaining</w:t>
            </w:r>
          </w:p>
        </w:tc>
        <w:tc>
          <w:tcPr>
            <w:tcW w:w="320" w:type="dxa"/>
            <w:vAlign w:val="bottom"/>
          </w:tcPr>
          <w:p>
            <w:pPr>
              <w:spacing w:after="0"/>
              <w:rPr>
                <w:sz w:val="10"/>
                <w:szCs w:val="10"/>
                <w:color w:val="auto"/>
              </w:rPr>
            </w:pP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i w:val="1"/>
                <w:iCs w:val="1"/>
                <w:color w:val="auto"/>
                <w:w w:val="93"/>
              </w:rPr>
              <w:t>Exercise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40"/>
              <w:spacing w:after="0" w:line="123" w:lineRule="exact"/>
              <w:rPr>
                <w:sz w:val="20"/>
                <w:szCs w:val="20"/>
                <w:color w:val="auto"/>
              </w:rPr>
            </w:pPr>
            <w:r>
              <w:rPr>
                <w:rFonts w:ascii="Arial" w:cs="Arial" w:eastAsia="Arial" w:hAnsi="Arial"/>
                <w:sz w:val="14"/>
                <w:szCs w:val="14"/>
                <w:i w:val="1"/>
                <w:iCs w:val="1"/>
                <w:color w:val="auto"/>
                <w:w w:val="96"/>
              </w:rPr>
              <w:t>Number</w:t>
            </w:r>
          </w:p>
        </w:tc>
        <w:tc>
          <w:tcPr>
            <w:tcW w:w="420" w:type="dxa"/>
            <w:vAlign w:val="bottom"/>
          </w:tcPr>
          <w:p>
            <w:pPr>
              <w:spacing w:after="0"/>
              <w:rPr>
                <w:sz w:val="10"/>
                <w:szCs w:val="10"/>
                <w:color w:val="auto"/>
              </w:rPr>
            </w:pP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i w:val="1"/>
                <w:iCs w:val="1"/>
                <w:color w:val="auto"/>
                <w:w w:val="93"/>
              </w:rPr>
              <w:t>Exercise</w:t>
            </w:r>
          </w:p>
        </w:tc>
        <w:tc>
          <w:tcPr>
            <w:tcW w:w="0" w:type="dxa"/>
            <w:vAlign w:val="bottom"/>
          </w:tcPr>
          <w:p>
            <w:pPr>
              <w:spacing w:after="0"/>
              <w:rPr>
                <w:sz w:val="1"/>
                <w:szCs w:val="1"/>
                <w:color w:val="auto"/>
              </w:rPr>
            </w:pPr>
          </w:p>
        </w:tc>
      </w:tr>
      <w:tr>
        <w:trPr>
          <w:trHeight w:val="167"/>
        </w:trPr>
        <w:tc>
          <w:tcPr>
            <w:tcW w:w="5160" w:type="dxa"/>
            <w:vAlign w:val="bottom"/>
            <w:tcBorders>
              <w:bottom w:val="single" w:sz="8" w:color="auto"/>
            </w:tcBorders>
          </w:tcPr>
          <w:p>
            <w:pPr>
              <w:jc w:val="right"/>
              <w:ind w:right="2334"/>
              <w:spacing w:after="0"/>
              <w:rPr>
                <w:sz w:val="20"/>
                <w:szCs w:val="20"/>
                <w:color w:val="auto"/>
              </w:rPr>
            </w:pPr>
            <w:r>
              <w:rPr>
                <w:rFonts w:ascii="Arial" w:cs="Arial" w:eastAsia="Arial" w:hAnsi="Arial"/>
                <w:sz w:val="14"/>
                <w:szCs w:val="14"/>
                <w:i w:val="1"/>
                <w:iCs w:val="1"/>
                <w:color w:val="auto"/>
              </w:rPr>
              <w:t>Exercise Prices</w:t>
            </w:r>
          </w:p>
        </w:tc>
        <w:tc>
          <w:tcPr>
            <w:tcW w:w="9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i w:val="1"/>
                <w:iCs w:val="1"/>
                <w:color w:val="auto"/>
              </w:rPr>
              <w:t>Outstanding</w:t>
            </w:r>
          </w:p>
        </w:tc>
        <w:tc>
          <w:tcPr>
            <w:tcW w:w="16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i w:val="1"/>
                <w:iCs w:val="1"/>
                <w:color w:val="auto"/>
              </w:rPr>
              <w:t>Life (Years)</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i w:val="1"/>
                <w:iCs w:val="1"/>
                <w:color w:val="auto"/>
              </w:rPr>
              <w:t>Price</w:t>
            </w:r>
          </w:p>
        </w:tc>
        <w:tc>
          <w:tcPr>
            <w:tcW w:w="560" w:type="dxa"/>
            <w:vAlign w:val="bottom"/>
          </w:tcPr>
          <w:p>
            <w:pPr>
              <w:spacing w:after="0"/>
              <w:rPr>
                <w:sz w:val="14"/>
                <w:szCs w:val="14"/>
                <w:color w:val="auto"/>
              </w:rPr>
            </w:pPr>
          </w:p>
        </w:tc>
        <w:tc>
          <w:tcPr>
            <w:tcW w:w="1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i w:val="1"/>
                <w:iCs w:val="1"/>
                <w:color w:val="auto"/>
                <w:w w:val="99"/>
              </w:rPr>
              <w:t>Exercisable</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i w:val="1"/>
                <w:iCs w:val="1"/>
                <w:color w:val="auto"/>
              </w:rPr>
              <w:t>Price</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jc w:val="right"/>
              <w:ind w:right="3894"/>
              <w:spacing w:after="0"/>
              <w:rPr>
                <w:sz w:val="20"/>
                <w:szCs w:val="20"/>
                <w:color w:val="auto"/>
              </w:rPr>
            </w:pPr>
            <w:r>
              <w:rPr>
                <w:rFonts w:ascii="Arial" w:cs="Arial" w:eastAsia="Arial" w:hAnsi="Arial"/>
                <w:sz w:val="18"/>
                <w:szCs w:val="18"/>
                <w:color w:val="auto"/>
                <w:w w:val="96"/>
              </w:rPr>
              <w:t>$7.69 – $11.66</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11.20</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5160" w:type="dxa"/>
            <w:vAlign w:val="bottom"/>
          </w:tcPr>
          <w:p>
            <w:pPr>
              <w:jc w:val="right"/>
              <w:ind w:right="3894"/>
              <w:spacing w:after="0"/>
              <w:rPr>
                <w:sz w:val="20"/>
                <w:szCs w:val="20"/>
                <w:color w:val="auto"/>
              </w:rPr>
            </w:pPr>
            <w:r>
              <w:rPr>
                <w:rFonts w:ascii="Arial" w:cs="Arial" w:eastAsia="Arial" w:hAnsi="Arial"/>
                <w:sz w:val="18"/>
                <w:szCs w:val="18"/>
                <w:color w:val="auto"/>
                <w:w w:val="89"/>
              </w:rPr>
              <w:t>$12.07 – $13.88</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396</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384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jc w:val="right"/>
              <w:ind w:right="3894"/>
              <w:spacing w:after="0"/>
              <w:rPr>
                <w:sz w:val="20"/>
                <w:szCs w:val="20"/>
                <w:color w:val="auto"/>
              </w:rPr>
            </w:pPr>
            <w:r>
              <w:rPr>
                <w:rFonts w:ascii="Arial" w:cs="Arial" w:eastAsia="Arial" w:hAnsi="Arial"/>
                <w:sz w:val="18"/>
                <w:szCs w:val="18"/>
                <w:color w:val="auto"/>
                <w:w w:val="89"/>
              </w:rPr>
              <w:t>$14.00 – $14.68</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14.46</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5160" w:type="dxa"/>
            <w:vAlign w:val="bottom"/>
          </w:tcPr>
          <w:p>
            <w:pPr>
              <w:jc w:val="right"/>
              <w:ind w:right="3894"/>
              <w:spacing w:after="0"/>
              <w:rPr>
                <w:sz w:val="20"/>
                <w:szCs w:val="20"/>
                <w:color w:val="auto"/>
              </w:rPr>
            </w:pPr>
            <w:r>
              <w:rPr>
                <w:rFonts w:ascii="Arial" w:cs="Arial" w:eastAsia="Arial" w:hAnsi="Arial"/>
                <w:sz w:val="18"/>
                <w:szCs w:val="18"/>
                <w:color w:val="auto"/>
                <w:w w:val="89"/>
              </w:rPr>
              <w:t>$15.04 – $17.30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687</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15.63</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129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jc w:val="right"/>
              <w:ind w:right="3894"/>
              <w:spacing w:after="0"/>
              <w:rPr>
                <w:sz w:val="20"/>
                <w:szCs w:val="20"/>
                <w:color w:val="auto"/>
              </w:rPr>
            </w:pPr>
            <w:r>
              <w:rPr>
                <w:rFonts w:ascii="Arial" w:cs="Arial" w:eastAsia="Arial" w:hAnsi="Arial"/>
                <w:sz w:val="18"/>
                <w:szCs w:val="18"/>
                <w:color w:val="auto"/>
                <w:w w:val="89"/>
              </w:rPr>
              <w:t>$17.44 – $18.20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17.83</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5160" w:type="dxa"/>
            <w:vAlign w:val="bottom"/>
          </w:tcPr>
          <w:p>
            <w:pPr>
              <w:jc w:val="right"/>
              <w:ind w:right="3894"/>
              <w:spacing w:after="0"/>
              <w:rPr>
                <w:sz w:val="20"/>
                <w:szCs w:val="20"/>
                <w:color w:val="auto"/>
              </w:rPr>
            </w:pPr>
            <w:r>
              <w:rPr>
                <w:rFonts w:ascii="Arial" w:cs="Arial" w:eastAsia="Arial" w:hAnsi="Arial"/>
                <w:sz w:val="18"/>
                <w:szCs w:val="18"/>
                <w:color w:val="auto"/>
                <w:w w:val="89"/>
              </w:rPr>
              <w:t>$18.24 – $18.35</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323</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18.35</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129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jc w:val="right"/>
              <w:ind w:right="3894"/>
              <w:spacing w:after="0"/>
              <w:rPr>
                <w:sz w:val="20"/>
                <w:szCs w:val="20"/>
                <w:color w:val="auto"/>
              </w:rPr>
            </w:pPr>
            <w:r>
              <w:rPr>
                <w:rFonts w:ascii="Arial" w:cs="Arial" w:eastAsia="Arial" w:hAnsi="Arial"/>
                <w:sz w:val="18"/>
                <w:szCs w:val="18"/>
                <w:color w:val="auto"/>
                <w:w w:val="89"/>
              </w:rPr>
              <w:t>$18.50 – $35.00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22.87</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5160" w:type="dxa"/>
            <w:vAlign w:val="bottom"/>
          </w:tcPr>
          <w:p>
            <w:pPr>
              <w:jc w:val="right"/>
              <w:ind w:right="3894"/>
              <w:spacing w:after="0"/>
              <w:rPr>
                <w:sz w:val="20"/>
                <w:szCs w:val="20"/>
                <w:color w:val="auto"/>
              </w:rPr>
            </w:pPr>
            <w:r>
              <w:rPr>
                <w:rFonts w:ascii="Arial" w:cs="Arial" w:eastAsia="Arial" w:hAnsi="Arial"/>
                <w:sz w:val="18"/>
                <w:szCs w:val="18"/>
                <w:color w:val="auto"/>
                <w:w w:val="89"/>
              </w:rPr>
              <w:t>$38.81 – $38.81</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600" w:type="dxa"/>
            <w:vAlign w:val="bottom"/>
          </w:tcPr>
          <w:p>
            <w:pPr>
              <w:jc w:val="right"/>
              <w:ind w:right="396"/>
              <w:spacing w:after="0"/>
              <w:rPr>
                <w:sz w:val="20"/>
                <w:szCs w:val="20"/>
                <w:color w:val="auto"/>
              </w:rPr>
            </w:pPr>
            <w:r>
              <w:rPr>
                <w:rFonts w:ascii="Arial" w:cs="Arial" w:eastAsia="Arial" w:hAnsi="Arial"/>
                <w:sz w:val="18"/>
                <w:szCs w:val="18"/>
                <w:color w:val="auto"/>
              </w:rPr>
              <w:t>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38.81</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2,321</w:t>
            </w:r>
          </w:p>
        </w:tc>
        <w:tc>
          <w:tcPr>
            <w:tcW w:w="1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15.74</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1,274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aggregate intrinsic value of options exercised during the period ended March 25, 2006 and outstanding and exercisable at March 25, 2006 was approximately $2.2 million, $11.8 million and $7.2 million, respectively.</w:t>
      </w:r>
    </w:p>
    <w:p>
      <w:pPr>
        <w:spacing w:after="0" w:line="16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340"/>
              <w:spacing w:after="0"/>
              <w:rPr>
                <w:sz w:val="20"/>
                <w:szCs w:val="20"/>
                <w:color w:val="auto"/>
              </w:rPr>
            </w:pPr>
            <w:r>
              <w:rPr>
                <w:rFonts w:ascii="Arial" w:cs="Arial" w:eastAsia="Arial" w:hAnsi="Arial"/>
                <w:sz w:val="14"/>
                <w:szCs w:val="14"/>
                <w:color w:val="auto"/>
                <w:w w:val="99"/>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0" w:type="dxa"/>
            <w:vAlign w:val="bottom"/>
            <w:gridSpan w:val="4"/>
          </w:tcPr>
          <w:p>
            <w:pPr>
              <w:ind w:left="4540"/>
              <w:spacing w:after="0"/>
              <w:rPr>
                <w:sz w:val="20"/>
                <w:szCs w:val="20"/>
                <w:color w:val="auto"/>
              </w:rPr>
            </w:pPr>
            <w:r>
              <w:rPr>
                <w:rFonts w:ascii="Arial" w:cs="Arial" w:eastAsia="Arial" w:hAnsi="Arial"/>
                <w:sz w:val="14"/>
                <w:szCs w:val="14"/>
                <w:color w:val="auto"/>
              </w:rPr>
              <w:t>March 25, 2006</w:t>
            </w:r>
          </w:p>
        </w:tc>
        <w:tc>
          <w:tcPr>
            <w:tcW w:w="1320" w:type="dxa"/>
            <w:vAlign w:val="bottom"/>
            <w:gridSpan w:val="4"/>
          </w:tcPr>
          <w:p>
            <w:pPr>
              <w:ind w:left="300"/>
              <w:spacing w:after="0"/>
              <w:rPr>
                <w:sz w:val="20"/>
                <w:szCs w:val="20"/>
                <w:color w:val="auto"/>
              </w:rPr>
            </w:pPr>
            <w:r>
              <w:rPr>
                <w:rFonts w:ascii="Arial" w:cs="Arial" w:eastAsia="Arial" w:hAnsi="Arial"/>
                <w:sz w:val="14"/>
                <w:szCs w:val="14"/>
                <w:color w:val="auto"/>
              </w:rPr>
              <w:t>March 26,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840" w:type="dxa"/>
            <w:vAlign w:val="bottom"/>
            <w:tcBorders>
              <w:top w:val="single" w:sz="8" w:color="auto"/>
            </w:tcBorders>
            <w:gridSpan w:val="2"/>
            <w:shd w:val="clear" w:color="auto" w:fill="CCEEFF"/>
          </w:tcPr>
          <w:p>
            <w:pPr>
              <w:ind w:left="45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3,423</w:t>
            </w:r>
          </w:p>
        </w:tc>
        <w:tc>
          <w:tcPr>
            <w:tcW w:w="68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3,398</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540" w:type="dxa"/>
            <w:vAlign w:val="bottom"/>
            <w:vMerge w:val="restart"/>
          </w:tcPr>
          <w:p>
            <w:pPr>
              <w:jc w:val="right"/>
              <w:ind w:right="2956"/>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color w:val="auto"/>
        </w:rPr>
        <w:t>Accumulated other comprehensive loss totaled $222,000 and $197,000 at March 25, 2006 and December 31, 2005, respectively, and was attributed to after-tax unrealized losses and gains on investments.</w:t>
      </w:r>
    </w:p>
    <w:p>
      <w:pPr>
        <w:spacing w:after="0" w:line="19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260" w:right="1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income tax provision (benefit) included in the statements of income for the three months ended March 25, 2006 and March 26, 2005, is based on the estimated annual effective tax rate for the entire year. These estimated effective tax rates are subject to adjustment in subsequent quarterly periods as our estimates of pretax income for the year are increased or decreased. The effective tax rate of 34.5% for the three months ended March 25, 2006 is less than the U.S. federal statutory rate primarily due to state research and development tax credits and export sales benefits offset by the effects of Statement No. 123R that does not allow deferred tax benefits to be recognized on compensation expense related to incentive stock options.</w:t>
      </w:r>
    </w:p>
    <w:p>
      <w:pPr>
        <w:spacing w:after="0" w:line="63" w:lineRule="exact"/>
        <w:rPr>
          <w:rFonts w:ascii="Arial" w:cs="Arial" w:eastAsia="Arial" w:hAnsi="Arial"/>
          <w:sz w:val="18"/>
          <w:szCs w:val="18"/>
          <w:b w:val="1"/>
          <w:bCs w:val="1"/>
          <w:color w:val="auto"/>
        </w:rPr>
      </w:pPr>
    </w:p>
    <w:p>
      <w:pPr>
        <w:ind w:left="2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income tax credit in 2005 was, in part, the result of research tax credits and export sales benefits. In addition, 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92" w:lineRule="exact"/>
        <w:rPr>
          <w:rFonts w:ascii="Arial" w:cs="Arial" w:eastAsia="Arial" w:hAnsi="Arial"/>
          <w:sz w:val="18"/>
          <w:szCs w:val="18"/>
          <w:b w:val="1"/>
          <w:bCs w:val="1"/>
          <w:color w:val="auto"/>
        </w:rPr>
      </w:pPr>
    </w:p>
    <w:p>
      <w:pPr>
        <w:ind w:left="2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92" w:lineRule="exact"/>
        <w:rPr>
          <w:rFonts w:ascii="Arial" w:cs="Arial" w:eastAsia="Arial" w:hAnsi="Arial"/>
          <w:sz w:val="18"/>
          <w:szCs w:val="18"/>
          <w:b w:val="1"/>
          <w:bCs w:val="1"/>
          <w:color w:val="auto"/>
        </w:rPr>
      </w:pPr>
    </w:p>
    <w:p>
      <w:pPr>
        <w:ind w:left="2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federal research credit expired on December 31, 2005. Legislation to retroactively reinstate the credit is pending in the U.S. Congress, however it was not enacted and signed into law as of March 25,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194" w:lineRule="exact"/>
        <w:rPr>
          <w:rFonts w:ascii="Arial" w:cs="Arial" w:eastAsia="Arial" w:hAnsi="Arial"/>
          <w:sz w:val="18"/>
          <w:szCs w:val="18"/>
          <w:b w:val="1"/>
          <w:bCs w:val="1"/>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134" w:lineRule="exact"/>
        <w:rPr>
          <w:rFonts w:ascii="Arial" w:cs="Arial" w:eastAsia="Arial" w:hAnsi="Arial"/>
          <w:sz w:val="18"/>
          <w:szCs w:val="18"/>
          <w:b w:val="1"/>
          <w:bCs w:val="1"/>
          <w:color w:val="auto"/>
        </w:rPr>
      </w:pPr>
    </w:p>
    <w:p>
      <w:pPr>
        <w:ind w:left="2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April 10, 2003, we announced that our Delta Design, Inc. subsidiary was relocating its Littleton, Massachusetts operation to its headquarters facility in Poway, California. The consolidation was substantially completed in March 2004. There were no charges to operations recorded during the first quarter of fiscal 2006 or 2005, respectively. Cumulative charges to operations for severance and other exit costs for the period April 10, 2003 to March 25, 2006, were approximately $1.1 million.</w:t>
      </w:r>
    </w:p>
    <w:p>
      <w:pPr>
        <w:spacing w:after="0" w:line="92" w:lineRule="exact"/>
        <w:rPr>
          <w:rFonts w:ascii="Arial" w:cs="Arial" w:eastAsia="Arial" w:hAnsi="Arial"/>
          <w:sz w:val="18"/>
          <w:szCs w:val="18"/>
          <w:b w:val="1"/>
          <w:bCs w:val="1"/>
          <w:color w:val="auto"/>
        </w:rPr>
      </w:pPr>
    </w:p>
    <w:p>
      <w:pPr>
        <w:ind w:left="2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currently attempting to sell our Littleton manufacturing facility which we believe has a current fair value in excess of the $3.2 million carrying value at March 25, 2006.</w:t>
      </w:r>
    </w:p>
    <w:p>
      <w:pPr>
        <w:spacing w:after="0" w:line="7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consolidation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color w:val="auto"/>
              </w:rPr>
              <w:t>Three months ended March 25, 2006</w:t>
            </w:r>
          </w:p>
        </w:tc>
        <w:tc>
          <w:tcPr>
            <w:tcW w:w="5400" w:type="dxa"/>
            <w:vAlign w:val="bottom"/>
            <w:gridSpan w:val="4"/>
          </w:tcPr>
          <w:p>
            <w:pPr>
              <w:ind w:left="3900"/>
              <w:spacing w:after="0"/>
              <w:rPr>
                <w:sz w:val="20"/>
                <w:szCs w:val="20"/>
                <w:color w:val="auto"/>
              </w:rPr>
            </w:pPr>
            <w:r>
              <w:rPr>
                <w:rFonts w:ascii="Arial" w:cs="Arial" w:eastAsia="Arial" w:hAnsi="Arial"/>
                <w:sz w:val="14"/>
                <w:szCs w:val="14"/>
                <w:color w:val="auto"/>
              </w:rPr>
              <w:t>Severance and</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Other exit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00" w:type="dxa"/>
            <w:vAlign w:val="bottom"/>
          </w:tcPr>
          <w:p>
            <w:pPr>
              <w:spacing w:after="0"/>
              <w:rPr>
                <w:sz w:val="15"/>
                <w:szCs w:val="15"/>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color w:val="auto"/>
              </w:rPr>
              <w:t>other payroll</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2006</w:t>
            </w:r>
          </w:p>
        </w:tc>
        <w:tc>
          <w:tcPr>
            <w:tcW w:w="4220" w:type="dxa"/>
            <w:vAlign w:val="bottom"/>
            <w:tcBorders>
              <w:top w:val="single" w:sz="8" w:color="auto"/>
            </w:tcBorders>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Costs accrued</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Liability at March 25, 2006</w:t>
            </w:r>
          </w:p>
        </w:tc>
        <w:tc>
          <w:tcPr>
            <w:tcW w:w="39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00" w:type="dxa"/>
            <w:vAlign w:val="bottom"/>
            <w:vMerge w:val="restart"/>
          </w:tcPr>
          <w:p>
            <w:pPr>
              <w:jc w:val="right"/>
              <w:ind w:right="1896"/>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color w:val="auto"/>
              </w:rPr>
              <w:t>Three months ended March 26, 2005</w:t>
            </w:r>
          </w:p>
        </w:tc>
        <w:tc>
          <w:tcPr>
            <w:tcW w:w="1500" w:type="dxa"/>
            <w:vAlign w:val="bottom"/>
            <w:gridSpan w:val="5"/>
          </w:tcPr>
          <w:p>
            <w:pPr>
              <w:spacing w:after="0"/>
              <w:rPr>
                <w:sz w:val="20"/>
                <w:szCs w:val="20"/>
                <w:color w:val="auto"/>
              </w:rPr>
            </w:pPr>
            <w:r>
              <w:rPr>
                <w:rFonts w:ascii="Arial" w:cs="Arial" w:eastAsia="Arial" w:hAnsi="Arial"/>
                <w:sz w:val="14"/>
                <w:szCs w:val="14"/>
                <w:color w:val="auto"/>
              </w:rPr>
              <w:t>Severance and</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Other exit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7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480" w:type="dxa"/>
            <w:vAlign w:val="bottom"/>
            <w:gridSpan w:val="4"/>
          </w:tcPr>
          <w:p>
            <w:pPr>
              <w:jc w:val="right"/>
              <w:ind w:right="720"/>
              <w:spacing w:after="0"/>
              <w:rPr>
                <w:sz w:val="20"/>
                <w:szCs w:val="20"/>
                <w:color w:val="auto"/>
              </w:rPr>
            </w:pPr>
            <w:r>
              <w:rPr>
                <w:rFonts w:ascii="Arial" w:cs="Arial" w:eastAsia="Arial" w:hAnsi="Arial"/>
                <w:sz w:val="14"/>
                <w:szCs w:val="14"/>
                <w:color w:val="auto"/>
                <w:w w:val="96"/>
              </w:rPr>
              <w:t>other payroll</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2005</w:t>
            </w: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Costs accrued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Liability at March 25, 2006</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134" w:lineRule="exact"/>
        <w:rPr>
          <w:rFonts w:ascii="Arial" w:cs="Arial" w:eastAsia="Arial" w:hAnsi="Arial"/>
          <w:sz w:val="18"/>
          <w:szCs w:val="18"/>
          <w:b w:val="1"/>
          <w:bCs w:val="1"/>
          <w:color w:val="auto"/>
        </w:rPr>
      </w:pPr>
    </w:p>
    <w:p>
      <w:pPr>
        <w:ind w:left="2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four reportable segments as defined by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Our reportable segments are business units that offer different products and are managed separately because each business requires different technology and marketing strategies. The following is a summary of our significant accounts and balances by segment, reconciled to consolidated totals. Intersegment sales were not significant in any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7"/>
          </w:tcPr>
          <w:p>
            <w:pPr>
              <w:ind w:left="540"/>
              <w:spacing w:after="0"/>
              <w:rPr>
                <w:sz w:val="20"/>
                <w:szCs w:val="20"/>
                <w:color w:val="auto"/>
              </w:rPr>
            </w:pPr>
            <w:r>
              <w:rPr>
                <w:rFonts w:ascii="Arial" w:cs="Arial" w:eastAsia="Arial" w:hAnsi="Arial"/>
                <w:sz w:val="14"/>
                <w:szCs w:val="14"/>
                <w:color w:val="auto"/>
                <w:w w:val="92"/>
              </w:rPr>
              <w:t>Three months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6"/>
          </w:tcPr>
          <w:p>
            <w:pPr>
              <w:spacing w:after="0"/>
              <w:rPr>
                <w:sz w:val="20"/>
                <w:szCs w:val="20"/>
                <w:color w:val="auto"/>
              </w:rPr>
            </w:pPr>
            <w:r>
              <w:rPr>
                <w:rFonts w:ascii="Arial" w:cs="Arial" w:eastAsia="Arial" w:hAnsi="Arial"/>
                <w:sz w:val="14"/>
                <w:szCs w:val="14"/>
                <w:color w:val="auto"/>
              </w:rPr>
              <w:t>March 25, 2006</w:t>
            </w:r>
          </w:p>
        </w:tc>
        <w:tc>
          <w:tcPr>
            <w:tcW w:w="180" w:type="dxa"/>
            <w:vAlign w:val="bottom"/>
          </w:tcPr>
          <w:p>
            <w:pPr>
              <w:spacing w:after="0"/>
              <w:rPr>
                <w:sz w:val="15"/>
                <w:szCs w:val="15"/>
                <w:color w:val="auto"/>
              </w:rPr>
            </w:pPr>
          </w:p>
        </w:tc>
        <w:tc>
          <w:tcPr>
            <w:tcW w:w="1240" w:type="dxa"/>
            <w:vAlign w:val="bottom"/>
            <w:gridSpan w:val="4"/>
          </w:tcPr>
          <w:p>
            <w:pPr>
              <w:ind w:left="220"/>
              <w:spacing w:after="0"/>
              <w:rPr>
                <w:sz w:val="20"/>
                <w:szCs w:val="20"/>
                <w:color w:val="auto"/>
              </w:rPr>
            </w:pPr>
            <w:r>
              <w:rPr>
                <w:rFonts w:ascii="Arial" w:cs="Arial" w:eastAsia="Arial" w:hAnsi="Arial"/>
                <w:sz w:val="14"/>
                <w:szCs w:val="14"/>
                <w:color w:val="auto"/>
              </w:rPr>
              <w:t>March 26,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300" w:type="dxa"/>
            <w:vAlign w:val="bottom"/>
            <w:gridSpan w:val="4"/>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49,309</w:t>
            </w: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3,863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58,251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5,503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Profit for reportable segments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4,697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5,223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6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gridSpan w:val="8"/>
          </w:tcPr>
          <w:p>
            <w:pPr>
              <w:spacing w:after="0"/>
              <w:rPr>
                <w:sz w:val="20"/>
                <w:szCs w:val="20"/>
                <w:color w:val="auto"/>
              </w:rPr>
            </w:pPr>
            <w:r>
              <w:rPr>
                <w:rFonts w:ascii="Arial" w:cs="Arial" w:eastAsia="Arial" w:hAnsi="Arial"/>
                <w:sz w:val="14"/>
                <w:szCs w:val="14"/>
                <w:color w:val="auto"/>
              </w:rPr>
              <w:t>March 25, 2006</w:t>
            </w: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135,826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Total assets for reportable segments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163,589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143,888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principally cash and investments and deferred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158,031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163,089</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321,620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306,977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2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are occasionally involved in various legal proceedings, lawsuits,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9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2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a 12-month to 36-month warranty period following sale or installation. Parts and labor are covered under the terms of the warranty agreement. The warranty provision is based on historical and projected experience by product and configuration.</w:t>
      </w:r>
    </w:p>
    <w:p>
      <w:pPr>
        <w:spacing w:after="0" w:line="5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first fiscal quarter of 2006 and 2005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4,633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color w:val="auto"/>
        </w:rPr>
        <w:t>Warranty expense in the first fiscal quarter of 2006 was impacted by higher than expected costs associated with supporting certain customer test handler applications and a more conservative estimate of future handler support costs.</w:t>
      </w:r>
    </w:p>
    <w:p>
      <w:pPr>
        <w:spacing w:after="0" w:line="62" w:lineRule="exact"/>
        <w:rPr>
          <w:sz w:val="20"/>
          <w:szCs w:val="20"/>
          <w:color w:val="auto"/>
        </w:rPr>
      </w:pPr>
    </w:p>
    <w:p>
      <w:pPr>
        <w:ind w:left="240" w:right="120"/>
        <w:spacing w:after="0" w:line="257" w:lineRule="auto"/>
        <w:rPr>
          <w:sz w:val="20"/>
          <w:szCs w:val="20"/>
          <w:color w:val="auto"/>
        </w:rPr>
      </w:pPr>
      <w:r>
        <w:rPr>
          <w:rFonts w:ascii="Arial" w:cs="Arial" w:eastAsia="Arial" w:hAnsi="Arial"/>
          <w:sz w:val="18"/>
          <w:szCs w:val="18"/>
          <w:color w:val="auto"/>
        </w:rPr>
        <w:t>During the ordinary course of business, from time-to-time, we provide standby letters of credit to certain parties. As of March 25, 2006, the maximum potential amount of future payments that Cohu could be required to make under these standby letters of credit is approximately $1.0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below under the caption “Trends, Risks and Uncertainties” beginning on page 21.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business activity involves the development, manufacture, marketing, sale and servicing of test handling equipment for the global semiconductor industry. This business is significantly dependent on capital expenditures by semiconductor manufacturers and test subcontractors, which in turn are dependent on the current and anticipated market demand for semiconductors and electronics equipment which are subject to significant cyclical trends in demand. Changes in the semiconductor, electronics, computer and telecommunications industries, as well as rapidly shifting global economic conditions, have had and will continue to have a significant impact on our businesses.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first six months of 2004, our semiconductor equipment business, as well as the semiconductor equipment industry generally, saw significantly improved order bookings and backlog, an indication that a three-year industry downturn had possibly ended. However, in the second half of 2004, our orders declined and business conditions in the semiconductor equipment industry appeared to be weakening. In 2005 this trend reversed, and during the year ended December 31, 2005, our semiconductor equipment business saw a significant increase in order bookings that accounted for our consolidated order growth, from $46.1 million in the fourth quarter of 2004 to $71.4 million in the fourth quarter of 2005, and our sales in each of the four quarters of 2005 increased from the fourth quarter of 2004.</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we begin 2006, demand for our semiconductor equipment has remained level with the fourth quarter of 2005. During the first quarter of fiscal 2006 deferred profit increased approximately $2.2 million to $16.0 million. The increase in deferred profit is primarily the result of additional revenue deferrals associated with Delta’s sales of semiconductor equipment products, including those acquired from KryoTech and Unigen, which as of March 25, 2006 are awaiting customer acceptance.</w:t>
      </w:r>
    </w:p>
    <w:p>
      <w:pPr>
        <w:spacing w:after="0" w:line="7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operating results in the last three years have been impacted by charges to cost of sales related to excess, obsolete and lower of cost or market inventory issues. These charges totaled approximately $16.6 million during the three-year period ended December 31, 2005 (approximately $0.5 million for the first quarter of fiscal 2006)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5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2005, due to increased business volume and investment in development programs.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non-semiconductor equipment businesses have comprised approximately 20% of our revenues during the last three years. During 2005 we saw improved results in our metal detection and microwave communications businesses. The results of our television camera business deteriorated, primarily due to a decline in customer demand for our board-level cameras.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financial condition is strong with significant cash and short-term investments and no long-term debt. During the three-year period ended March 25, 2006 we generated $27.2 million of net cash from operating activities and total cash and investments have increased from $103.1 million at March 31, 2003 to $130.9 million at March 25, 2006.</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and (iv) industry data and trends noted in various publicly released sources.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forecasts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Item 15 of our Annual Report on Form 10-K for the fiscal year ended December 31, 2005, affect the significant judgments and estimates used in the preparation of our consolidated financial statements.</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On January 1, 2006, we adopted the provisions of Statement No.123R and SAB 107 requiring the measurement and recognition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 share-based compensation under the fair value method. During the first quarter of fiscal 2006, we began recognizing share-based compensation, under Statement No. 123R, for all awards granted during the first quarter of fiscal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fair value of share-based compensation expense.</w:t>
      </w:r>
    </w:p>
    <w:p>
      <w:pPr>
        <w:spacing w:after="0" w:line="8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 No. 123R, we applied the provisions of SAB 107 in developing our methodologies to estimate our Black-Scholes model inputs. Option valuation models, including Black-Scholes, require the input of highly subjective assumptions, and changes in the assumptions used can materially affect the grant date fair value of an award. These assumptions include the risk free rate of interest, expected dividend yield, expected volatility, and the expected life of the award. The risk 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107’s simplified method for estimating the expected term of share-based awards granted in the first quarter of fiscal 2006. Statement No. 123R also requires that estimated forfeitures be included as a part of the grant date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generally recognize revenue upon shipment and title passage for established products (i.e., those that have previously 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acceptance requirements) that provide for full payment tied to shipment. Revenue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and any valuation allowance to be recorded against net deferred tax assets. Our gross deferred tax asset balance as of March 25, 2006 was $24.3 million, with a valuation allowance of $1.8 million for state tax credit and loss carryforwards. The deferred tax assets consist primarily of deductible temporary differences, tax credit and net operating loss carryforwards.</w:t>
      </w:r>
    </w:p>
    <w:p>
      <w:pPr>
        <w:spacing w:after="0" w:line="58"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March 25, 2006, intangible assets other than goodwill were evaluated for impairment using undiscounted cash flows expected to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(“Statement No. 144”), and we concluded there was no impairment loss. We are required to assess goodwill impairment using the methodology prescribed by FASB Statement</w:t>
      </w:r>
    </w:p>
    <w:p>
      <w:pPr>
        <w:jc w:val="both"/>
        <w:ind w:right="20"/>
        <w:spacing w:after="0" w:line="255" w:lineRule="auto"/>
        <w:rPr>
          <w:sz w:val="20"/>
          <w:szCs w:val="20"/>
          <w:color w:val="auto"/>
        </w:rPr>
      </w:pPr>
      <w:r>
        <w:rPr>
          <w:rFonts w:ascii="Arial" w:cs="Arial" w:eastAsia="Arial" w:hAnsi="Arial"/>
          <w:sz w:val="18"/>
          <w:szCs w:val="18"/>
          <w:color w:val="auto"/>
        </w:rPr>
        <w:t xml:space="preserve">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(“Statement No. 142”). Statement No. 142 requires that goodwill be tested for impairment on an annual basis and more frequently in certain circumstances. The required annual goodwill impairment test is performed as of October 1</w:t>
      </w:r>
      <w:r>
        <w:rPr>
          <w:rFonts w:ascii="Arial" w:cs="Arial" w:eastAsia="Arial" w:hAnsi="Arial"/>
          <w:sz w:val="15"/>
          <w:szCs w:val="15"/>
          <w:color w:val="auto"/>
        </w:rPr>
        <w:t>st</w:t>
      </w:r>
      <w:r>
        <w:rPr>
          <w:rFonts w:ascii="Arial" w:cs="Arial" w:eastAsia="Arial" w:hAnsi="Arial"/>
          <w:sz w:val="18"/>
          <w:szCs w:val="18"/>
          <w:color w:val="auto"/>
        </w:rPr>
        <w:t xml:space="preserve"> of each year. We did not recognize any goodwill impairment as a result of performing this annual test in 2005.</w:t>
      </w:r>
    </w:p>
    <w:p>
      <w:pPr>
        <w:spacing w:after="0" w:line="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have been no material changes to the recent accounting pronouncements as previously reported in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10-K for the fiscal year ended December 31, 2005.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operating data as a percentage of net sales for the three-month periods ended March 25, 2006 and March 26, 2005.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240" w:type="dxa"/>
            <w:vAlign w:val="bottom"/>
            <w:gridSpan w:val="4"/>
          </w:tcPr>
          <w:p>
            <w:pPr>
              <w:jc w:val="right"/>
              <w:ind w:right="6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(64.5)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7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gridSpan w:val="2"/>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Fiscal Quarter 2006 Compared to First Fiscal Quarter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net sales increased 31.2% to $58.3 million in 2006, compared to net sales of $44.4 million in 2005. Sales of semiconductor test handling equipment in the first fiscal quarter of 2006 increased 32.4% from the comparable 2005 period and accounted for 84.6% of consolidated net sales in 2006 versus 83.9% in 2005. The primary reason for the increase in sales of our semiconductor equipment business was strong customer demand for our advanced thermal semiconductor test handlers and our general purpose test handlers.</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of television cameras and other equipment accounted for 6.2% of net sales in 2006 and decreased 5.0% when compared to the same period of 2005, while the combined sales of metal detection and microwave equipment accounted for 9.2% of net sales in 2006. During the first fiscal quarter of 2006 sales of metal detection equipment decreased 23.4% and sales of microwave equipment increased 170.7% when compared to 2005. The decrease in sales experienced by our television camera business was primarily attributable to a decline in demand for our products from foreign and domestic original equipment manufacturers. The decline in sales of our metal detection business was a result of lower demand for our security and consumer metal detection products during the first quarter of fiscal 2006. The increase in sales by our microwave communications business was primarily attributable to increased demand from law enforcement agencies and the result of the timing of revenue recognition pursuant to accounting rules.</w:t>
      </w:r>
    </w:p>
    <w:p>
      <w:pPr>
        <w:spacing w:after="0" w:line="5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March 25, 2006, we had deferred revenue totaling approximately $36.2 million and deferred profit of $16.0 million. At December 31, 2005, we had deferred revenue totaling approximately $30.7 million and deferred profit of $13.8 million. The increase in deferred revenue is primarily the result of additional revenue deferrals associated with Delta’s sales of new semiconductor equipment products, including those acquired from KryoTech and Unigen, which are awaiting customer acceptance as of March 25,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Gross margin as a percentage of net sales decreased to 35.5% in 2006 from 40.4% in 2005, primarily as a result of lower margins in our semiconductor equipment business. Within our semiconductor equipment segment, margins decreased in 2006, primarily as a result of higher than expected costs associated with supporting certain customer test handler applications and a more conservative estimate of future handler support costs. Additionally, during the first quarter of fiscal 2006 gross margin was impacted by approximately $0.1 million in share-based compensation expense that was recorded as a result of our adoption of Statement No. 123R.</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fiscal quarter of 2006, we saw a decline in orders for our advanced thermal semiconductor test handlers and an increase in orders for our high-speed test handlers and burn-in products compared to the fourth quarter of 2005. Our high-speed test handlers and burn-in products have significantly lower gross margins than our advanced thermal test handlers. If this shift in product mix continues, our gross margin percentage in the second half of fiscal 2006 will be negatively impacted.</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compute the majority of our excess and obsolete inventory reserve requirements using a one-year inventory usage forecast. During the first quarter of fiscal 2006 and 2005, we recorded net charges to cost of sales of approximately $0.5 million and $1.2 million, respectively, for excess and obsolete inventory. While we believe our reserves for excess and obsolete inventory and lower of cost or market concerns are adequate to cover our known exposures at March 25, 2006,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R&amp;D expense as a percentage of net sales was 13.3% in 2006, compared to 15.0% in 2005, increasing in absolute dollars from $6.7 million in 2005 to</w:t>
      </w:r>
    </w:p>
    <w:p>
      <w:pPr>
        <w:spacing w:after="0" w:line="3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$7.8 million in 2006. The increase in R&amp;D was primarily the result of higher R&amp;D labor and material costs for product development in our semiconductor equipment, television camera and microwave communication businesses. Additionally, during the first quarter of fiscal 2006 we recorded approximately $0.2 million in share-based compensation expense as a result of our adoption of Statement No. 123R.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SG&amp;A expense as a percentage of net sales decreased to 15.6% in 2006, from 16.5% in 2005, increasing in absolute dollars from $7.3 million in 2005 to $9.1 million in 2006. The increase in SG&amp;A expense was primarily related to increased business volume including increases in headcount. Additionally, during the first quarter of fiscal the 2006 we recorded approximately $0.5 million in share-based compensation expense as a result of our adoption of Statement No. 123R.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income was approximately $1.4 million and $0.7 million in 2006 and 2005, respectively. The increase in interest income resulted from an increase in our average cash and cash equivalents and investment balances and an increase in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provision (benefit) for income taxes expressed as a percentage of pre-tax income was 34.5% in 2006 and (41.0)% in 2005. The income tax provision (benefit) included in the statements of income for the three months ended March 25, 2006 and March 26, 2005, is based on the estimated annual effective tax rate for the entire year. These estimated effective tax rates are subject to adjustment in subsequent quarterly periods as our estimates of pretax income for the year are increased or decreased. The effective tax rate of 34.5% for the three months ended March 25, 2006 is less than the U.S. federal statutory rate primarily due to state research and development tax credits and export sales benefits offset by the effects of Statement No. 123R that does not allow deferred tax benefits to be recognized on compensation expense related to incentive stock options.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income tax credit in 2005 was, in part, the result of research tax credits and export sales benefits. In addition, 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federal research credit expired on December 31, 2005. Legislation to retroactively reinstate the credit is pending in the U.S. Congress, however it was not enacted and signed into law as of March 25,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2003, our Broadcast Microwave Services subsidiary was awarded an $8.5 million contract from the 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all revenue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related costs under this contract in the period the system is accepted by the customer. In the fourth quarter of 2005, BMS received notification that the customer had approved an amendment to the original contract increasing the total value of the contract to $8.9 million. Under the terms of the amendment BMS will provide certain additional equipment and services. Through March 25, 2006, we had shipped inventory with a sales value of $8.9 million and deferred costs of approximately $6.6 million resulting in deferred profit of approximately $2.3 million under the contract. In addition, at March 25, 2006 we had unbilled accounts receivable of approximately $3.6 million. We have also provided the customer with a standby letter of credit which was reduced from $2.6 million to $1.0 million during the first quarter of fiscal 2006. At March 25, 2006, approximately $1.0 million may be drawn upon, by the UAE, if BMS does not fulfill the terms of the contract. While customer acceptance and final contract payment has taken longer than anticipated, we believe that such acceptance and payment will be received. However, in the event BMS is unable to obtain customer acceptance of the system, the receivables may need to be written off and the customer might seek a refund of the $5.3 million in payments made under the contract, which could materially impact our results of operations.</w:t>
      </w:r>
    </w:p>
    <w:p>
      <w:pPr>
        <w:spacing w:after="0" w:line="70" w:lineRule="exact"/>
        <w:rPr>
          <w:sz w:val="20"/>
          <w:szCs w:val="20"/>
          <w:color w:val="auto"/>
        </w:rPr>
      </w:pPr>
    </w:p>
    <w:p>
      <w:pPr>
        <w:ind w:right="1940"/>
        <w:spacing w:after="0" w:line="375" w:lineRule="auto"/>
        <w:rPr>
          <w:sz w:val="20"/>
          <w:szCs w:val="20"/>
          <w:color w:val="auto"/>
        </w:rPr>
      </w:pPr>
      <w:r>
        <w:rPr>
          <w:rFonts w:ascii="Arial" w:cs="Arial" w:eastAsia="Arial" w:hAnsi="Arial"/>
          <w:sz w:val="18"/>
          <w:szCs w:val="18"/>
          <w:color w:val="auto"/>
        </w:rPr>
        <w:t xml:space="preserve">As a result of the factors set forth above, our net income was $3.4 million in 2006, compared to net income of $6.5 million in 2005.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OEM’s that are, in turn, dependent on the current and anticipated market demand for semiconductors. Demand for semiconductors is cyclical. In response to this cyclicality, in the past we have implemented cost reduction programs aimed at aligning our ongoing operating costs with our currently expected revenues over the near term. These cost management initiatives have included consolidating facilities, reductions to headcount and reduced spending. The cyclical nature of our industry makes estimates of future revenues, results of operations and net cash flows difficult.</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historical source of liquidity and capital resources is cash flow generated by our operations. While we maintain a credit facility, we have not used this as a source of cash. We use cash to fund growth in our operating assets, including accounts receivable and inventory, and to fund new products and product enhancements primarily through research and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780" w:type="dxa"/>
            <w:vAlign w:val="bottom"/>
          </w:tcPr>
          <w:p>
            <w:pPr>
              <w:jc w:val="right"/>
              <w:ind w:right="299"/>
              <w:spacing w:after="0"/>
              <w:rPr>
                <w:sz w:val="20"/>
                <w:szCs w:val="20"/>
                <w:color w:val="auto"/>
              </w:rPr>
            </w:pPr>
            <w:r>
              <w:rPr>
                <w:rFonts w:ascii="Arial" w:cs="Arial" w:eastAsia="Arial" w:hAnsi="Arial"/>
                <w:sz w:val="14"/>
                <w:szCs w:val="14"/>
                <w:color w:val="auto"/>
              </w:rPr>
              <w:t>March 25,</w:t>
            </w:r>
          </w:p>
        </w:tc>
        <w:tc>
          <w:tcPr>
            <w:tcW w:w="1480" w:type="dxa"/>
            <w:vAlign w:val="bottom"/>
          </w:tcPr>
          <w:p>
            <w:pPr>
              <w:jc w:val="right"/>
              <w:ind w:right="259"/>
              <w:spacing w:after="0"/>
              <w:rPr>
                <w:sz w:val="20"/>
                <w:szCs w:val="20"/>
                <w:color w:val="auto"/>
              </w:rPr>
            </w:pPr>
            <w:r>
              <w:rPr>
                <w:rFonts w:ascii="Arial" w:cs="Arial" w:eastAsia="Arial" w:hAnsi="Arial"/>
                <w:sz w:val="14"/>
                <w:szCs w:val="14"/>
                <w:color w:val="auto"/>
              </w:rPr>
              <w:t>December 31,</w:t>
            </w:r>
          </w:p>
        </w:tc>
        <w:tc>
          <w:tcPr>
            <w:tcW w:w="1380" w:type="dxa"/>
            <w:vAlign w:val="bottom"/>
          </w:tcPr>
          <w:p>
            <w:pPr>
              <w:jc w:val="right"/>
              <w:ind w:right="399"/>
              <w:spacing w:after="0"/>
              <w:rPr>
                <w:sz w:val="20"/>
                <w:szCs w:val="20"/>
                <w:color w:val="auto"/>
              </w:rPr>
            </w:pPr>
            <w:r>
              <w:rPr>
                <w:rFonts w:ascii="Arial" w:cs="Arial" w:eastAsia="Arial" w:hAnsi="Arial"/>
                <w:sz w:val="14"/>
                <w:szCs w:val="14"/>
                <w:color w:val="auto"/>
              </w:rPr>
              <w:t>Increase</w:t>
            </w:r>
          </w:p>
        </w:tc>
        <w:tc>
          <w:tcPr>
            <w:tcW w:w="1180" w:type="dxa"/>
            <w:vAlign w:val="bottom"/>
          </w:tcPr>
          <w:p>
            <w:pPr>
              <w:jc w:val="right"/>
              <w:ind w:right="159"/>
              <w:spacing w:after="0"/>
              <w:rPr>
                <w:sz w:val="20"/>
                <w:szCs w:val="20"/>
                <w:color w:val="auto"/>
              </w:rPr>
            </w:pPr>
            <w:r>
              <w:rPr>
                <w:rFonts w:ascii="Arial" w:cs="Arial" w:eastAsia="Arial" w:hAnsi="Arial"/>
                <w:sz w:val="14"/>
                <w:szCs w:val="14"/>
                <w:color w:val="auto"/>
              </w:rPr>
              <w:t>Percentage</w:t>
            </w:r>
          </w:p>
        </w:tc>
      </w:tr>
      <w:tr>
        <w:trPr>
          <w:trHeight w:val="167"/>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7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2006</w:t>
            </w: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2005</w:t>
            </w: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Change</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780" w:type="dxa"/>
            <w:vAlign w:val="bottom"/>
          </w:tcPr>
          <w:p>
            <w:pPr>
              <w:jc w:val="right"/>
              <w:ind w:right="239"/>
              <w:spacing w:after="0"/>
              <w:rPr>
                <w:sz w:val="20"/>
                <w:szCs w:val="20"/>
                <w:color w:val="auto"/>
              </w:rPr>
            </w:pPr>
            <w:r>
              <w:rPr>
                <w:rFonts w:ascii="Arial" w:cs="Arial" w:eastAsia="Arial" w:hAnsi="Arial"/>
                <w:sz w:val="18"/>
                <w:szCs w:val="18"/>
                <w:color w:val="auto"/>
              </w:rPr>
              <w:t>$ 130,905</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  138,949</w:t>
            </w:r>
          </w:p>
        </w:tc>
        <w:tc>
          <w:tcPr>
            <w:tcW w:w="1380" w:type="dxa"/>
            <w:vAlign w:val="bottom"/>
          </w:tcPr>
          <w:p>
            <w:pPr>
              <w:jc w:val="right"/>
              <w:ind w:right="239"/>
              <w:spacing w:after="0"/>
              <w:rPr>
                <w:sz w:val="20"/>
                <w:szCs w:val="20"/>
                <w:color w:val="auto"/>
              </w:rPr>
            </w:pPr>
            <w:r>
              <w:rPr>
                <w:rFonts w:ascii="Arial" w:cs="Arial" w:eastAsia="Arial" w:hAnsi="Arial"/>
                <w:sz w:val="18"/>
                <w:szCs w:val="18"/>
                <w:color w:val="auto"/>
              </w:rPr>
              <w:t>$  (8,044)</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Working capital</w:t>
            </w:r>
          </w:p>
        </w:tc>
        <w:tc>
          <w:tcPr>
            <w:tcW w:w="2780" w:type="dxa"/>
            <w:vAlign w:val="bottom"/>
          </w:tcPr>
          <w:p>
            <w:pPr>
              <w:jc w:val="right"/>
              <w:ind w:right="239"/>
              <w:spacing w:after="0"/>
              <w:rPr>
                <w:sz w:val="20"/>
                <w:szCs w:val="20"/>
                <w:color w:val="auto"/>
              </w:rPr>
            </w:pPr>
            <w:r>
              <w:rPr>
                <w:rFonts w:ascii="Arial" w:cs="Arial" w:eastAsia="Arial" w:hAnsi="Arial"/>
                <w:sz w:val="18"/>
                <w:szCs w:val="18"/>
                <w:color w:val="auto"/>
              </w:rPr>
              <w:t>206,010</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206,295</w:t>
            </w:r>
          </w:p>
        </w:tc>
        <w:tc>
          <w:tcPr>
            <w:tcW w:w="1380" w:type="dxa"/>
            <w:vAlign w:val="bottom"/>
          </w:tcPr>
          <w:p>
            <w:pPr>
              <w:jc w:val="right"/>
              <w:ind w:right="239"/>
              <w:spacing w:after="0"/>
              <w:rPr>
                <w:sz w:val="20"/>
                <w:szCs w:val="20"/>
                <w:color w:val="auto"/>
              </w:rPr>
            </w:pPr>
            <w:r>
              <w:rPr>
                <w:rFonts w:ascii="Arial" w:cs="Arial" w:eastAsia="Arial" w:hAnsi="Arial"/>
                <w:sz w:val="18"/>
                <w:szCs w:val="18"/>
                <w:color w:val="auto"/>
              </w:rPr>
              <w:t>(285)</w:t>
            </w: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Our net cash flows used for operating activities in the first quarter of fiscal 2006 totaled $1.5 million. The major components of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flows provided by operating activities were net income of $3.4 million, offset by depreciation and amortization of $1.5 million, non cash share-based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$0.8 million, an increase in deferred tax assets of $2.5 million, tax benefits from stock options exercised of $0.8 million,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changes in current assets. The net change in current assets and liabilities included increases in accounts receivable and inventories of $7.1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million, respectively. The increase in accounts receivable was primarily attributable to the timing of cash collections and the increase in inventory was,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 attributable to inventory acquired in the Unigen transaction.</w:t>
      </w:r>
    </w:p>
    <w:p>
      <w:pPr>
        <w:spacing w:after="0" w:line="10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Our net cash used for investing activities in 2006 totaled $9.3 million and was primarily the result of $56.9 million cash used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purchases of short-term investments; partially offset by $56.1 million in net proceeds from sales and maturities of short-term investments. Our other expenditures, in the first fiscal quarter of 2006 were $8.5 million and include the purchase of Unigen assets for $7.7 million, and purchases of property, plant and equipment of $0.8 million. The acquisition of the Unigen assets was a strategic transaction to strengthen the portfolio of thermal products, patents and know-how within our semiconductor equipment business. The purchases of property, plant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equipment were primarily made to support activities in our semiconductor equipment business and consisted primarily of equipment used in engineering, manufacturing and related functions.</w:t>
      </w:r>
    </w:p>
    <w:p>
      <w:pPr>
        <w:spacing w:after="0" w:line="6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Our net cash provided from financing activities included $2.5 million received from the issuance of stock upon the exercise of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and the tax benefits from stock options exercised of $0.8 million, offset by $1.3 million for the payment of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June 2005, we renewed our $5.0 million unsecured bank line of credit bearing interest at the bank’s prime rate. The line of credit will expire in July 2006, and requires that we maintain specified minimum levels of net worth, limits the amount of our capital expenditures and requires us to meet certain other financial covenants. We are currently in compliance with these covenants. No borrowings were outstanding at March 25, 2006; however, $1.0 million of the credit facility was allocated to standby letters of credit at March 25, 2006, leaving the balance of $4.0 million available for future borrowings.</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and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31, 2005.</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March 25, 2006, the maximum potential amount of future payments that we could be required to make under these standby letters of credit was approximately $1.0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2005, 2004, and 2003, we recorded pretax inventory-related charges of approximately $6.2 million, $5.8 million, $4.6 million, respectively, primarily as a result of changes in customer forecasts.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relatively small number of customers historically have been responsible for a significant portion of our net sales. In the year ended December 31, 2005, three customers of the semiconductor equipment segment accounted for 63% (54% in 2004, and 58% in 2003)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of KryoTech and Unigen, may adversely impact sales and/or margins of existing products. In addition, the introduction of new products by us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2005. Future inventory write-offs and increased inventory reserve requirements could have a material adverse impact on our results of operations and financial condition.</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integrated circuit test handling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5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as is common with semiconductor equipment,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 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including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our customer’s needs.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order backlog has historically represented approximately three months of business.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March 25, 2006, may not be a reliable indicator of revenues in future periods due to delayed delivery dates or customer requested changes to delivery schedules, order cancellations and delays in recognizing revenue due to accounting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gravity-feed and DRAM test handler markets.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and our market share in the DRAM segment is negligible. In addition, gravity-feed test handlers are used in numerous non DRAM applications and continue to represent a significant portion of the worldwide test handler market. Because we do not participate in the DRAM and/or gravity-feed market segments, our total available sales market is limited.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a global corporation with offices and subsidiaries around the world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 of the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and certain of these patent rights are licensed from third parties and we may not be able to negotiate extensions of any such licenses that have or may expire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year ended December 31, 2005, 75.4% of our total net sales were exported to foreign countries, including 85.4%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personnel. In addition, the cost of living in San Diego, California,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have generated significant losses.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timing of orders from customers and shipments to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impact of foreign currency exchange rates on the price of our products in international locations;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inventory writedowns;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generally. This could cause the market price of our stock to decline, perhaps significantly.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$13.69 to $29.48.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have increased our costs.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new SEC regulations and Nasdaq National Market rules, are creating challenges for all publicly-held companies. We are committed to maintaining high standards of corporate governance and public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25, 2006</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maintain compliance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have an operation in the Philippines that fabricates certain component parts used in our semiconductor test handlers. These regions are known for being vulnerable to natural disasters and other risks, such as earthquakes, tsunamis, fires, floods and Avian (bird) flu,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BMS is currently involved in a significant contract with the United Arab Emirates. Continued terrorist attacks or threats in this region may cause geopolitical instability that may have an adverse effect on our ability to successfully satisfy customer acceptance requirements and recognize revenue under the contract, which could materially impact our results of operations and financial condition.</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March 25, 2006 our investment portfolio includes fixed-income securities with a fair value of approximately $101.0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last fiscal quarter, there have been no changes in the Company’s internal control over financial reporting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360" w:right="460"/>
        <w:spacing w:after="0" w:line="277" w:lineRule="auto"/>
        <w:rPr>
          <w:sz w:val="20"/>
          <w:szCs w:val="20"/>
          <w:color w:val="auto"/>
        </w:rPr>
      </w:pPr>
      <w:r>
        <w:rPr>
          <w:rFonts w:ascii="Arial" w:cs="Arial" w:eastAsia="Arial" w:hAnsi="Arial"/>
          <w:sz w:val="18"/>
          <w:szCs w:val="18"/>
          <w:color w:val="auto"/>
        </w:rPr>
        <w:t>The information set forth above under Note 8 contained in the “Notes to Unaudited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60"/>
        <w:spacing w:after="0" w:line="259" w:lineRule="auto"/>
        <w:rPr>
          <w:sz w:val="20"/>
          <w:szCs w:val="20"/>
          <w:color w:val="auto"/>
        </w:rPr>
      </w:pPr>
      <w:r>
        <w:rPr>
          <w:rFonts w:ascii="Arial" w:cs="Arial" w:eastAsia="Arial" w:hAnsi="Arial"/>
          <w:sz w:val="18"/>
          <w:szCs w:val="18"/>
          <w:color w:val="auto"/>
        </w:rPr>
        <w:t>A description of the risk factors associated with our business is included under “Trends, Risks and Uncertainties” in “Management’s Discussion and Analysis of Financial Condition and Results of Operations”, contained in Item 2 of Part I of this report. This description includes any material changes to and supersedes the description of the risk factors associated with our business previously disclosed in Item 1A. of our 2005 Annual Report on Form 10-K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right="80" w:hanging="688"/>
        <w:spacing w:after="0" w:line="277"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Cohu, Inc. incorporated herein by reference to Exhibit 3.1(a) from the Cohu, Inc. Form 10-Q for the quarterly period ended June 30, 1999</w:t>
      </w:r>
    </w:p>
    <w:p>
      <w:pPr>
        <w:spacing w:after="0" w:line="170" w:lineRule="exact"/>
        <w:rPr>
          <w:sz w:val="20"/>
          <w:szCs w:val="20"/>
          <w:color w:val="auto"/>
        </w:rPr>
      </w:pPr>
    </w:p>
    <w:p>
      <w:pPr>
        <w:ind w:left="700" w:right="40" w:hanging="688"/>
        <w:spacing w:after="0" w:line="277" w:lineRule="auto"/>
        <w:tabs>
          <w:tab w:leader="none" w:pos="680" w:val="left"/>
        </w:tabs>
        <w:rPr>
          <w:sz w:val="20"/>
          <w:szCs w:val="20"/>
          <w:color w:val="auto"/>
        </w:rPr>
      </w:pPr>
      <w:r>
        <w:rPr>
          <w:rFonts w:ascii="Arial" w:cs="Arial" w:eastAsia="Arial" w:hAnsi="Arial"/>
          <w:sz w:val="18"/>
          <w:szCs w:val="18"/>
          <w:color w:val="auto"/>
        </w:rPr>
        <w:t>3.1(a)</w:t>
        <w:tab/>
        <w:t>Certificate of Amendment of Amended and Restated Certificate of Incorporation of Cohu, Inc. incorporated herein by reference from the Cohu, Inc. Form S-8 filed June 30, 2000, Exhibit 4.1(a)</w:t>
      </w:r>
    </w:p>
    <w:p>
      <w:pPr>
        <w:spacing w:after="0" w:line="170" w:lineRule="exact"/>
        <w:rPr>
          <w:sz w:val="20"/>
          <w:szCs w:val="20"/>
          <w:color w:val="auto"/>
        </w:rPr>
      </w:pPr>
    </w:p>
    <w:p>
      <w:pPr>
        <w:ind w:left="700" w:right="60" w:hanging="688"/>
        <w:spacing w:after="0" w:line="277"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Cohu, Inc. incorporated herein by reference to Exhibit 3.2 from the Cohu, Inc. Report on Form 8-K filed with the Securities and Exchange Commission on December 12, 1996</w:t>
      </w:r>
    </w:p>
    <w:p>
      <w:pPr>
        <w:spacing w:after="0" w:line="170" w:lineRule="exact"/>
        <w:rPr>
          <w:sz w:val="20"/>
          <w:szCs w:val="20"/>
          <w:color w:val="auto"/>
        </w:rPr>
      </w:pPr>
    </w:p>
    <w:p>
      <w:pPr>
        <w:ind w:left="700" w:right="100" w:hanging="688"/>
        <w:spacing w:after="0" w:line="277"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Rights Agreement dated November 15, 1996, between Cohu, Inc. and ChaseMellon Shareholder Services, L.L.C., incorporated herein by reference from the Cohu, Inc. Report on Form 8-K filed December 12, 1996, Exhibit 4.1</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5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COHU, INC.</w:t>
            </w:r>
          </w:p>
        </w:tc>
      </w:tr>
      <w:tr>
        <w:trPr>
          <w:trHeight w:val="224"/>
        </w:trPr>
        <w:tc>
          <w:tcPr>
            <w:tcW w:w="35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560" w:type="dxa"/>
            <w:vAlign w:val="bottom"/>
          </w:tcPr>
          <w:p>
            <w:pPr>
              <w:ind w:left="1900"/>
              <w:spacing w:after="0"/>
              <w:rPr>
                <w:sz w:val="20"/>
                <w:szCs w:val="20"/>
                <w:color w:val="auto"/>
              </w:rPr>
            </w:pPr>
            <w:r>
              <w:rPr>
                <w:rFonts w:ascii="Arial" w:cs="Arial" w:eastAsia="Arial" w:hAnsi="Arial"/>
                <w:sz w:val="18"/>
                <w:szCs w:val="18"/>
                <w:color w:val="auto"/>
              </w:rPr>
              <w:t>(Registrant)</w:t>
            </w:r>
          </w:p>
        </w:tc>
      </w:tr>
      <w:tr>
        <w:trPr>
          <w:trHeight w:val="647"/>
        </w:trPr>
        <w:tc>
          <w:tcPr>
            <w:tcW w:w="3560" w:type="dxa"/>
            <w:vAlign w:val="bottom"/>
          </w:tcPr>
          <w:p>
            <w:pPr>
              <w:spacing w:after="0"/>
              <w:rPr>
                <w:sz w:val="20"/>
                <w:szCs w:val="20"/>
                <w:color w:val="auto"/>
              </w:rPr>
            </w:pPr>
            <w:r>
              <w:rPr>
                <w:rFonts w:ascii="Arial" w:cs="Arial" w:eastAsia="Arial" w:hAnsi="Arial"/>
                <w:sz w:val="18"/>
                <w:szCs w:val="18"/>
                <w:color w:val="auto"/>
              </w:rPr>
              <w:t>Date: April 21, 2006</w:t>
            </w:r>
          </w:p>
        </w:tc>
        <w:tc>
          <w:tcPr>
            <w:tcW w:w="33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r>
      <w:tr>
        <w:trPr>
          <w:trHeight w:val="195"/>
        </w:trPr>
        <w:tc>
          <w:tcPr>
            <w:tcW w:w="3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James A. Donahue</w:t>
            </w:r>
          </w:p>
        </w:tc>
      </w:tr>
      <w:tr>
        <w:trPr>
          <w:trHeight w:val="230"/>
        </w:trPr>
        <w:tc>
          <w:tcPr>
            <w:tcW w:w="3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864"/>
        </w:trPr>
        <w:tc>
          <w:tcPr>
            <w:tcW w:w="3560" w:type="dxa"/>
            <w:vAlign w:val="bottom"/>
          </w:tcPr>
          <w:p>
            <w:pPr>
              <w:spacing w:after="0"/>
              <w:rPr>
                <w:sz w:val="20"/>
                <w:szCs w:val="20"/>
                <w:color w:val="auto"/>
              </w:rPr>
            </w:pPr>
            <w:r>
              <w:rPr>
                <w:rFonts w:ascii="Arial" w:cs="Arial" w:eastAsia="Arial" w:hAnsi="Arial"/>
                <w:sz w:val="18"/>
                <w:szCs w:val="18"/>
                <w:color w:val="auto"/>
              </w:rPr>
              <w:t>Date: April 21, 2006</w:t>
            </w:r>
          </w:p>
        </w:tc>
        <w:tc>
          <w:tcPr>
            <w:tcW w:w="33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 Allen</w:t>
            </w:r>
          </w:p>
        </w:tc>
      </w:tr>
      <w:tr>
        <w:trPr>
          <w:trHeight w:val="195"/>
        </w:trPr>
        <w:tc>
          <w:tcPr>
            <w:tcW w:w="3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John H. Allen</w:t>
            </w:r>
          </w:p>
        </w:tc>
      </w:tr>
      <w:tr>
        <w:trPr>
          <w:trHeight w:val="230"/>
        </w:trPr>
        <w:tc>
          <w:tcPr>
            <w:tcW w:w="3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r>
      <w:tr>
        <w:trPr>
          <w:trHeight w:val="405"/>
        </w:trPr>
        <w:tc>
          <w:tcPr>
            <w:tcW w:w="3560" w:type="dxa"/>
            <w:vAlign w:val="bottom"/>
          </w:tcPr>
          <w:p>
            <w:pPr>
              <w:spacing w:after="0"/>
              <w:rPr>
                <w:sz w:val="24"/>
                <w:szCs w:val="24"/>
                <w:color w:val="auto"/>
              </w:rPr>
            </w:pPr>
          </w:p>
        </w:tc>
        <w:tc>
          <w:tcPr>
            <w:tcW w:w="3300" w:type="dxa"/>
            <w:vAlign w:val="bottom"/>
          </w:tcPr>
          <w:p>
            <w:pPr>
              <w:jc w:val="right"/>
              <w:ind w:right="970"/>
              <w:spacing w:after="0"/>
              <w:rPr>
                <w:sz w:val="20"/>
                <w:szCs w:val="20"/>
                <w:color w:val="auto"/>
              </w:rPr>
            </w:pPr>
            <w:r>
              <w:rPr>
                <w:rFonts w:ascii="Arial" w:cs="Arial" w:eastAsia="Arial" w:hAnsi="Arial"/>
                <w:sz w:val="18"/>
                <w:szCs w:val="18"/>
                <w:color w:val="auto"/>
              </w:rPr>
              <w:t>30</w:t>
            </w:r>
          </w:p>
        </w:tc>
        <w:tc>
          <w:tcPr>
            <w:tcW w:w="456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3.1(a)</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 filed</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Rights Agreement dated November 15, 1996, between Cohu, Inc. and ChaseMellon Shareholder Services, L.L.C., incorporated herein by</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780" w:firstLine="1"/>
        <w:spacing w:after="0" w:line="308" w:lineRule="auto"/>
        <w:tabs>
          <w:tab w:leader="none" w:pos="11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60" w:firstLine="1"/>
        <w:spacing w:after="0" w:line="277" w:lineRule="auto"/>
        <w:tabs>
          <w:tab w:leader="none" w:pos="11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780" w:firstLine="1"/>
        <w:spacing w:after="0" w:line="308" w:lineRule="auto"/>
        <w:tabs>
          <w:tab w:leader="none" w:pos="1155"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60" w:firstLine="1"/>
        <w:spacing w:after="0" w:line="277" w:lineRule="auto"/>
        <w:tabs>
          <w:tab w:leader="none" w:pos="11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March 25, 2006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March 25, 2006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1."/>
      <w:numFmt w:val="decimal"/>
      <w:start w:val="3"/>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decimal"/>
      <w:start w:val="7"/>
    </w:lvl>
  </w:abstractNum>
  <w:abstractNum w:abstractNumId="13">
    <w:nsid w:val="3F2DBA31"/>
    <w:multiLevelType w:val="hybridMultilevel"/>
    <w:lvl w:ilvl="0">
      <w:lvlJc w:val="left"/>
      <w:lvlText w:val="%1."/>
      <w:numFmt w:val="decimal"/>
      <w:start w:val="8"/>
    </w:lvl>
  </w:abstractNum>
  <w:abstractNum w:abstractNumId="14">
    <w:nsid w:val="7C83E458"/>
    <w:multiLevelType w:val="hybridMultilevel"/>
    <w:lvl w:ilvl="0">
      <w:lvlJc w:val="left"/>
      <w:lvlText w:val="%1."/>
      <w:numFmt w:val="decimal"/>
      <w:start w:val="9"/>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2019-12-12T22:40:45Z</dcterms:created>
  <dcterms:modified xsi:type="dcterms:W3CDTF">2019-12-12T22:40:45Z</dcterms:modified>
</cp:coreProperties>
</file>