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4" w:lineRule="exact"/>
        <w:rPr>
          <w:sz w:val="24"/>
          <w:szCs w:val="24"/>
          <w:color w:val="auto"/>
        </w:rPr>
      </w:pPr>
    </w:p>
    <w:p>
      <w:pPr>
        <w:ind w:left="4020" w:right="1980" w:hanging="4012"/>
        <w:spacing w:after="0" w:line="263" w:lineRule="auto"/>
        <w:tabs>
          <w:tab w:leader="none" w:pos="66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2016</w:t>
      </w: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120" w:hanging="112"/>
        <w:spacing w:after="0"/>
        <w:tabs>
          <w:tab w:leader="none" w:pos="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1" w:lineRule="exact"/>
        <w:rPr>
          <w:rFonts w:ascii="Times New Roman" w:cs="Times New Roman" w:eastAsia="Times New Roman" w:hAnsi="Times New Roman"/>
          <w:sz w:val="18"/>
          <w:szCs w:val="18"/>
          <w:color w:val="auto"/>
        </w:rPr>
      </w:pPr>
    </w:p>
    <w:p>
      <w:pPr>
        <w:ind w:left="4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Commission file number 1-4298</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COHU, INC</w:t>
      </w:r>
      <w:r>
        <w:rPr>
          <w:rFonts w:ascii="Times New Roman" w:cs="Times New Roman" w:eastAsia="Times New Roman" w:hAnsi="Times New Roman"/>
          <w:sz w:val="32"/>
          <w:szCs w:val="32"/>
          <w:color w:val="auto"/>
        </w:rPr>
        <w:t>.</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560" w:type="dxa"/>
        <w:tblCellMar>
          <w:top w:w="0" w:type="dxa"/>
          <w:left w:w="0" w:type="dxa"/>
          <w:bottom w:w="0" w:type="dxa"/>
          <w:right w:w="0" w:type="dxa"/>
        </w:tblCellMar>
      </w:tblPr>
      <w:tr>
        <w:trPr>
          <w:trHeight w:val="218"/>
        </w:trPr>
        <w:tc>
          <w:tcPr>
            <w:tcW w:w="56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95-1934119</w:t>
            </w:r>
          </w:p>
        </w:tc>
      </w:tr>
      <w:tr>
        <w:trPr>
          <w:trHeight w:val="236"/>
        </w:trPr>
        <w:tc>
          <w:tcPr>
            <w:tcW w:w="560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 or Organization)</w:t>
            </w:r>
          </w:p>
        </w:tc>
        <w:tc>
          <w:tcPr>
            <w:tcW w:w="3720" w:type="dxa"/>
            <w:vAlign w:val="bottom"/>
          </w:tcPr>
          <w:p>
            <w:pPr>
              <w:ind w:left="1160"/>
              <w:spacing w:after="0"/>
              <w:rPr>
                <w:sz w:val="20"/>
                <w:szCs w:val="20"/>
                <w:color w:val="auto"/>
              </w:rPr>
            </w:pPr>
            <w:r>
              <w:rPr>
                <w:rFonts w:ascii="Times New Roman" w:cs="Times New Roman" w:eastAsia="Times New Roman" w:hAnsi="Times New Roman"/>
                <w:sz w:val="18"/>
                <w:szCs w:val="18"/>
                <w:i w:val="1"/>
                <w:iCs w:val="1"/>
                <w:color w:val="auto"/>
                <w:w w:val="98"/>
              </w:rPr>
              <w:t>(I.R.S. Employer Identification No.)</w:t>
            </w:r>
          </w:p>
        </w:tc>
      </w:tr>
      <w:tr>
        <w:trPr>
          <w:trHeight w:val="412"/>
        </w:trPr>
        <w:tc>
          <w:tcPr>
            <w:tcW w:w="56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12367 Crosthwaite Circle, Poway, California</w:t>
            </w:r>
          </w:p>
        </w:tc>
        <w:tc>
          <w:tcPr>
            <w:tcW w:w="37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92064-6817</w:t>
            </w:r>
          </w:p>
        </w:tc>
      </w:tr>
      <w:tr>
        <w:trPr>
          <w:trHeight w:val="236"/>
        </w:trPr>
        <w:tc>
          <w:tcPr>
            <w:tcW w:w="560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720" w:type="dxa"/>
            <w:vAlign w:val="bottom"/>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848-8100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bl>
      <w:tblPr>
        <w:tblLayout w:type="fixed"/>
        <w:tblInd w:w="158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tcPr>
          <w:p>
            <w:pPr>
              <w:spacing w:after="0"/>
              <w:rPr>
                <w:sz w:val="17"/>
                <w:szCs w:val="17"/>
                <w:color w:val="auto"/>
              </w:rPr>
            </w:pPr>
          </w:p>
        </w:tc>
        <w:tc>
          <w:tcPr>
            <w:tcW w:w="462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0"/>
        </w:trPr>
        <w:tc>
          <w:tcPr>
            <w:tcW w:w="5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237"/>
        </w:trPr>
        <w:tc>
          <w:tcPr>
            <w:tcW w:w="398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Common Stock, $1.00 par value</w:t>
            </w:r>
          </w:p>
        </w:tc>
        <w:tc>
          <w:tcPr>
            <w:tcW w:w="152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8"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300" w:firstLine="16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16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firstLine="16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ind w:right="240" w:firstLine="16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19" w:right="239" w:bottom="1440" w:gutter="0" w:footer="0" w:header="0"/>
        </w:sectPr>
      </w:pPr>
    </w:p>
    <w:p>
      <w:pPr>
        <w:spacing w:after="0" w:line="16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ind w:hanging="462"/>
        <w:spacing w:after="0" w:line="239" w:lineRule="exact"/>
        <w:rPr>
          <w:sz w:val="20"/>
          <w:szCs w:val="20"/>
          <w:color w:val="auto"/>
        </w:rPr>
      </w:pPr>
      <w:r>
        <w:rPr>
          <w:rFonts w:ascii="Times New Roman" w:cs="Times New Roman" w:eastAsia="Times New Roman" w:hAnsi="Times New Roman"/>
          <w:sz w:val="18"/>
          <w:szCs w:val="18"/>
          <w:color w:val="auto"/>
        </w:rPr>
        <w:t>Accelerated filer</w:t>
      </w:r>
      <w:r>
        <w:rPr>
          <w:sz w:val="20"/>
          <w:szCs w:val="20"/>
          <w:color w:val="auto"/>
        </w:rPr>
        <w:t xml:space="preserve"> </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Non-accelerated filer</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467" w:lineRule="exact"/>
        <w:rPr>
          <w:sz w:val="24"/>
          <w:szCs w:val="24"/>
          <w:color w:val="auto"/>
        </w:rPr>
      </w:pPr>
    </w:p>
    <w:p>
      <w:pPr>
        <w:sectPr>
          <w:pgSz w:w="11900" w:h="16838" w:orient="portrait"/>
          <w:cols w:equalWidth="0" w:num="5">
            <w:col w:w="2760" w:space="180"/>
            <w:col w:w="380" w:space="720"/>
            <w:col w:w="3440" w:space="500"/>
            <w:col w:w="1980" w:space="160"/>
            <w:col w:w="1300"/>
          </w:cols>
          <w:pgMar w:left="240" w:top="419" w:right="239" w:bottom="1440" w:gutter="0" w:footer="0" w:header="0"/>
          <w:type w:val="continuous"/>
        </w:sect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340" w:firstLine="168"/>
        <w:spacing w:after="0" w:line="261"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was approximately $165,000,000 based on the closing stock price as reported by the NASDAQ Stock Market LLC as of June 24, 2016.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8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February 16, 2017 the Registrant had 26,847,773 shares of its $1.00 par value common stock outstanding.</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4"/>
          <w:szCs w:val="24"/>
          <w:color w:val="auto"/>
        </w:rPr>
      </w:pPr>
    </w:p>
    <w:p>
      <w:pPr>
        <w:ind w:right="120" w:firstLine="168"/>
        <w:spacing w:after="0" w:line="261" w:lineRule="auto"/>
        <w:rPr>
          <w:sz w:val="20"/>
          <w:szCs w:val="20"/>
          <w:color w:val="auto"/>
        </w:rPr>
      </w:pPr>
      <w:r>
        <w:rPr>
          <w:rFonts w:ascii="Times New Roman" w:cs="Times New Roman" w:eastAsia="Times New Roman" w:hAnsi="Times New Roman"/>
          <w:sz w:val="18"/>
          <w:szCs w:val="18"/>
          <w:color w:val="auto"/>
        </w:rPr>
        <w:t>Portions of the Proxy Statement for Cohu, Inc.’s 2017 Annual Meeting of Stockholders to be held on May 10, 2017, and to be filed pursuant to Regulation 14A within 120 days after registrant’s fiscal year ended December 31, 2016,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706755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9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9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FORM 10-K FOR THE FISCAL YEAR ENDED DECEMBER 31, 2016</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9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1B.</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Selected Financial Data</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8.</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9A.</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Compensation</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12.</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14.</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16.</w:t>
            </w:r>
          </w:p>
        </w:tc>
        <w:tc>
          <w:tcPr>
            <w:tcW w:w="9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 10-K Summary</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990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99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2" w:name="page3"/>
    <w:bookmarkEnd w:id="2"/>
    <w:p>
      <w:pPr>
        <w:spacing w:after="0" w:line="270"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business.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Kita Manufacturing Co. LTD. (“Kita”), acquired by Cohu on January 4, 2017, is a Japan-based manufacturer of spring probe contacts used in final test contactors, probe cards, Printed Circuit Board (PCB) test and connectors sold to customers worldwide. The acquisition of Kita was completed subsequent to Cohu’s fiscal year ended December 31, 2016 and certain disclosures include Kita to enable investors to evaluate the operating and financial effects to our business recognized in the subsequent accounting period. However, unless otherwise indicated, disclosures made throughout this Form 10-K exclude the effect of the acquisition of Kita.</w:t>
      </w:r>
    </w:p>
    <w:p>
      <w:pPr>
        <w:spacing w:after="0" w:line="18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2015 we sold our mobile microwave communications equipment business, Broadcast Microwave Services, Inc. (“BMS”) and in 2014 we sold our video camera business, Cohu Electronics. Our decision to sell BMS and Cohu Electronics resulted from the determination that these businesses were no longer a strategic fit within our organization. The operating results of BMS and Cohu Electronics are being presented as discontinued operations and all prior period amounts have been reclassified accordingly. Unless otherwise noted all amounts presented are from continuing operations.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Subsequent to the sale of BMS and Cohu Electronics, we have one reportable segment, semiconductor equipment. Financial information on our reportable segment for each of the last three years is included in Note 8, “Segment and Geographic Information” in Part IV, Item 15(a) of this Form 10-K.</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Cohu is a leading supplier of semiconductor test and inspection handlers, micro-electro mechanical system (MEMS) test modules, test contactors and thermal sub-systems used by global semiconductor manufacturers and test subcontractors. We develop, manufacture, sell and service a broad line of equipment capable of handling a wide range of integrated circuits and light-emitting diodes (LEDs). Test handlers are electromechanical systems used to automate testing of integrated circuits and LEDs in the back-end of the semiconductor manufacturing process. Testing determines the quality and performance of the semiconductor device prior to shipment to customers. Testers are designed to verify the performance of semiconductor devices, such as microprocessors, logic, analog, memory or mixed signal devices. Handlers are automated systems engineered to thermally condition and present for testing the packaged semiconductor devices. The majority of test handlers use either pick-and-place, gravity-feed, turret or test-in-strip technologies. The type of device, test parallelism, thermal requirements and signal interface requirements normally determines the appropriate handling approach.</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Pick-and-place handling is the predominant solution for devices with leads on all four sides, such as the quad flat pack, or with balls or pads on the bottom or top of the package, such as ball grid array packages, and quad flat no-lead packages as well as certain low profile devices with leads on two sides, such as the thin small outline package, and wafer-level packages. Pick-and-place handlers use robotic mechanisms to move devices from JEDEC (Joint Electron Device Engineering Council) standard trays and place them in precision transport boats or carriers for processing through the system. After testing, devices are sorted and reloaded into designated trays, based on test results.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5" w:right="279" w:bottom="1440" w:gutter="0" w:footer="0" w:header="0"/>
        </w:sectPr>
      </w:pPr>
    </w:p>
    <w:bookmarkStart w:id="3" w:name="page4"/>
    <w:bookmarkEnd w:id="3"/>
    <w:p>
      <w:pPr>
        <w:ind w:right="60"/>
        <w:spacing w:after="0" w:line="261" w:lineRule="auto"/>
        <w:rPr>
          <w:sz w:val="20"/>
          <w:szCs w:val="20"/>
          <w:color w:val="auto"/>
        </w:rPr>
      </w:pPr>
      <w:r>
        <w:rPr>
          <w:rFonts w:ascii="Times New Roman" w:cs="Times New Roman" w:eastAsia="Times New Roman" w:hAnsi="Times New Roman"/>
          <w:sz w:val="18"/>
          <w:szCs w:val="18"/>
          <w:color w:val="auto"/>
        </w:rPr>
        <w:t>Gravity-feed handling is the predominant solution for temperature testing of high performance small outline leaded and non-leaded packages, as well as for large packages with leads on only one or two sides as is common in high power devices. In gravity-feed handlers, devices are unloaded from plastic tubes, metal magazines or a bowl at the top of the machine and flow through the system, from top to bottom, propelled by the force of gravity. After testing, devices are sorted and reloaded into tubes, magazines, bulk or tape for additional process steps or final shipment.</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Turret handlers are ideally suited for high-volume and low-mix testing of smaller integrated circuit and LED devices. In turret handlers, devices are unloaded from tubes, a bowl, trays or film frame. Turret-based handlers use a rotating turret mechanism that provides very high device throughput and efficient integration of multiple back-end finishing operations.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Test-in-strip handlers accommodate devices in strips or panels prior to the final singulation step in the semiconductor manufacturing process flow and are typically used for high-parallel testing applications.</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MEMS test modules are independent physical stimuli units for testing sensor integrated circuits typically used in the automotive and consumer electronics industries. These MEMS test modules can be integrated to our gravity-feed, pick-and-place, turret or test-in-strip handlers for testing a variety of sensors, including pressure, acoustic, magnetic field hall effect, optical and others.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ensure quality, semiconductors are typically tested at hot and/or cold temperatures, which can simulate the final operating environment. Our test handler products are designed to provide a precisely controlled test environment, often over the range of -60 degrees Celsius to +175 degrees Celsius. As the speed and power of certain integrated circuits, such as microprocessors and mobile processors, have increased so has the need to actively manage the self-generated heat during the test process to maximize yield.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handling speed, flexibility, parallel test capability, alignment to the test contactors, system size, reliability and cost.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Thermal sub-systems are used in advanced burn-in and system-level test applications to maintain and control the temperature of integrated circuits during the testing process. Burn-in stresses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impact its performance. System-level testing is required for functional testing of high-end microprocessors as well as mobile processors combined with memory. This is typically the last test operation of complex, expensive integrated circuits prior to the final electronic integration process.</w:t>
      </w:r>
    </w:p>
    <w:p>
      <w:pPr>
        <w:spacing w:after="0" w:line="18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products are complex electromechanical systems that are used in high-volume production environments and many are in service twenty-four hours per day, seven days a week. Customers continuously strive to increase the utilization of their production test equipment and expect high reliability from test handlers, MEMS test modules and thermal subsystems used in burn-in and system-level test. The availability of trained technical support personnel is an important competitive factor in the marketplace. We deploy service engineers worldwide, often within customers’ production facilities, who work with customer personnel to maintain, repair and continuously improve the performance of our equipment.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offer products for the pick-and-place, gravity-feed, test-in-strip and turret handling, MEMS, burn-in and system-level test markets. We currently sell the following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Pick-and-place</w:t>
      </w:r>
    </w:p>
    <w:p>
      <w:pPr>
        <w:spacing w:after="0" w:line="31"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Delta MATRiX</w:t>
      </w:r>
      <w:r>
        <w:rPr>
          <w:rFonts w:ascii="Times New Roman" w:cs="Times New Roman" w:eastAsia="Times New Roman" w:hAnsi="Times New Roman"/>
          <w:sz w:val="17"/>
          <w:szCs w:val="17"/>
          <w:color w:val="auto"/>
        </w:rPr>
        <w:t xml:space="preserve"> is a high-performance pick-and-place handler capable of thermally conditioning devices from -60 degrees Celsius to +175 degrees Celsius. It provides increased productivity in several dimensions of performance: high throughput and test parallelism, scalability and active thermal control per test site. With an adjustable test site configuration, customers can reuse existing load-boards, including those made for competitor equipment and gravity handlers. The system also provides flexibility with field upgradeable options including a chamberless tri-temperature test site and auto contactor cleaning.</w:t>
      </w:r>
    </w:p>
    <w:p>
      <w:pPr>
        <w:spacing w:after="0" w:line="169"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Delta Pyramid</w:t>
      </w:r>
      <w:r>
        <w:rPr>
          <w:rFonts w:ascii="Times New Roman" w:cs="Times New Roman" w:eastAsia="Times New Roman" w:hAnsi="Times New Roman"/>
          <w:sz w:val="18"/>
          <w:szCs w:val="18"/>
          <w:color w:val="auto"/>
        </w:rPr>
        <w:t xml:space="preserve"> is a high performance thermal handler for microprocessors, graphics processors and other high power integrated circuits. The Pyramid incorporates our proprietary </w:t>
      </w:r>
      <w:r>
        <w:rPr>
          <w:rFonts w:ascii="Times New Roman" w:cs="Times New Roman" w:eastAsia="Times New Roman" w:hAnsi="Times New Roman"/>
          <w:sz w:val="18"/>
          <w:szCs w:val="18"/>
          <w:b w:val="1"/>
          <w:bCs w:val="1"/>
          <w:color w:val="auto"/>
        </w:rPr>
        <w:t>T-Core</w:t>
      </w:r>
      <w:r>
        <w:rPr>
          <w:rFonts w:ascii="Times New Roman" w:cs="Times New Roman" w:eastAsia="Times New Roman" w:hAnsi="Times New Roman"/>
          <w:sz w:val="18"/>
          <w:szCs w:val="18"/>
          <w:color w:val="auto"/>
        </w:rPr>
        <w:t xml:space="preserve"> thermal control technology that optimizes test yield of power dissipative integrated circuits.</w:t>
      </w:r>
    </w:p>
    <w:p>
      <w:pPr>
        <w:spacing w:after="0" w:line="15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Delta Eclipse </w:t>
      </w:r>
      <w:r>
        <w:rPr>
          <w:rFonts w:ascii="Times New Roman" w:cs="Times New Roman" w:eastAsia="Times New Roman" w:hAnsi="Times New Roman"/>
          <w:sz w:val="18"/>
          <w:szCs w:val="18"/>
          <w:color w:val="auto"/>
        </w:rPr>
        <w:t>is our next generation pick-and-place platform tailored for Fabless and Outsourced Semiconductor Assembly and Test (OSAT) customers,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well as integrated device manufacturers (IDMs). This is a highly configurable platform capable of handling general purpose integrated circuits to advanced computing and mobile processors that require Cohu’s </w:t>
      </w:r>
      <w:r>
        <w:rPr>
          <w:rFonts w:ascii="Times New Roman" w:cs="Times New Roman" w:eastAsia="Times New Roman" w:hAnsi="Times New Roman"/>
          <w:sz w:val="18"/>
          <w:szCs w:val="18"/>
          <w:b w:val="1"/>
          <w:bCs w:val="1"/>
          <w:color w:val="auto"/>
        </w:rPr>
        <w:t>T-Core</w:t>
      </w:r>
      <w:r>
        <w:rPr>
          <w:rFonts w:ascii="Times New Roman" w:cs="Times New Roman" w:eastAsia="Times New Roman" w:hAnsi="Times New Roman"/>
          <w:sz w:val="18"/>
          <w:szCs w:val="18"/>
          <w:color w:val="auto"/>
        </w:rPr>
        <w:t xml:space="preserve"> active thermal control during test.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Delta LinX </w:t>
      </w:r>
      <w:r>
        <w:rPr>
          <w:rFonts w:ascii="Times New Roman" w:cs="Times New Roman" w:eastAsia="Times New Roman" w:hAnsi="Times New Roman"/>
          <w:sz w:val="18"/>
          <w:szCs w:val="18"/>
          <w:color w:val="auto"/>
        </w:rPr>
        <w:t>is our platform serving assembly automation. Back-end semiconductor assembly is the major process step prior to device testing and validation.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LinX product line offers advanced JEDEC handling automation that efficiently links various assembly test processes.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Gravity-Feed</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Rasco SO1000</w:t>
      </w:r>
      <w:r>
        <w:rPr>
          <w:rFonts w:ascii="Times New Roman" w:cs="Times New Roman" w:eastAsia="Times New Roman" w:hAnsi="Times New Roman"/>
          <w:sz w:val="18"/>
          <w:szCs w:val="18"/>
          <w:color w:val="auto"/>
        </w:rPr>
        <w:t xml:space="preserve"> is a high throughput gravity-feed platform that provides an economical solution for testing up to 4 devices in parallel. This handler can be configured for tube-to-tube or metal magazine input and output, ambient-hot or tri-temperature testing and is easily kit-able for a wide range of integrated circuit packages.</w:t>
      </w:r>
    </w:p>
    <w:p>
      <w:pPr>
        <w:spacing w:after="0" w:line="18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Rasco SO2000</w:t>
      </w:r>
      <w:r>
        <w:rPr>
          <w:rFonts w:ascii="Times New Roman" w:cs="Times New Roman" w:eastAsia="Times New Roman" w:hAnsi="Times New Roman"/>
          <w:sz w:val="18"/>
          <w:szCs w:val="18"/>
          <w:color w:val="auto"/>
        </w:rPr>
        <w:t xml:space="preserve"> is a modular platform that offers a reliable solution for testing small integrated circuit packages up to 4 devices in parallel. The base platform can be configured with various input and output modules: tube, metal magazine, bowl, bulk, tape and reel, and an optional laser marking unit. This handler can be configured for ambient-hot or tri-temperature testing.</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Rasco Saturn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Jupiter </w:t>
      </w:r>
      <w:r>
        <w:rPr>
          <w:rFonts w:ascii="Times New Roman" w:cs="Times New Roman" w:eastAsia="Times New Roman" w:hAnsi="Times New Roman"/>
          <w:sz w:val="18"/>
          <w:szCs w:val="18"/>
          <w:color w:val="auto"/>
        </w:rPr>
        <w:t>are our next generation gravity handlers delivering a fast index time capability with up to 8 devices tested in parallel at cold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hot temperature. Saturn has a configuration that covers testing of very small to medium size packaged integrated circuits, and Jupiter is a version that enables testing of medium to very large packaged integrated circuits typically serving the power management device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Test-in-strip</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Rasco Jaguar</w:t>
      </w:r>
      <w:r>
        <w:rPr>
          <w:rFonts w:ascii="Times New Roman" w:cs="Times New Roman" w:eastAsia="Times New Roman" w:hAnsi="Times New Roman"/>
          <w:sz w:val="18"/>
          <w:szCs w:val="18"/>
          <w:color w:val="auto"/>
        </w:rPr>
        <w:t xml:space="preserve"> test-in-strip handler can process an entire strip at once or index the strip for single/multiple device testing. The system has tri-temperature capability, accommodates either stacked or slotted input/output media and is configured with automated vision alignment. The Jaguar is also a solution for in-process testing of next generation multi-stacked packages.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Turret</w:t>
      </w:r>
    </w:p>
    <w:p>
      <w:pPr>
        <w:spacing w:after="0" w:line="3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Ismeca NY32 </w:t>
      </w:r>
      <w:r>
        <w:rPr>
          <w:rFonts w:ascii="Times New Roman" w:cs="Times New Roman" w:eastAsia="Times New Roman" w:hAnsi="Times New Roman"/>
          <w:sz w:val="18"/>
          <w:szCs w:val="18"/>
          <w:color w:val="auto"/>
        </w:rPr>
        <w:t>is a scalable, 32-position turret handler used for testing and inspection of integrated circuits, LEDs, and discrete devices. There are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configurations of the NY32 turret handler: handling wafers in film-frame for input and/or output that is common for LEDs and wafer level package (WLP) devices; tray and tube input and/or output used for integrated circuits and discrete devices; and bowl feeding, tape and de-taping, alignment, laser marking, inspection and test modules. The NY32 is capable of testing devices at ambient and hot temperature.</w:t>
      </w:r>
    </w:p>
    <w:p>
      <w:pPr>
        <w:spacing w:after="0" w:line="182"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Ismeca NY20 </w:t>
      </w:r>
      <w:r>
        <w:rPr>
          <w:rFonts w:ascii="Times New Roman" w:cs="Times New Roman" w:eastAsia="Times New Roman" w:hAnsi="Times New Roman"/>
          <w:sz w:val="18"/>
          <w:szCs w:val="18"/>
          <w:color w:val="auto"/>
        </w:rPr>
        <w:t>is a turret handler platform that delivers high throughput combined with fast device change-over time for both high-volume and high-mix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testing and inspection of integrated circuits, LEDs and discrete devices. The 20-position turret offers many of the functional modules and capabilities available on the NY32 platform in a smaller footprint, higher throughput handler.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Micro-Electro-Mechanical Systems (“MEMS”)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MEMS test modules generate physical stimuli for testing of sensor integrated circuits. These are typically used in the automotive (e.g. tire pressure, airbag sensors) and consumer electronics (e.g. tilt, motion, microphone and light sensors) industries. The MEMS modules are stand-alone units that can be integrated into our pick-and-place, turret, test-in-strip, or gravity-feed handlers.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Thermal Sub-Systems</w:t>
      </w:r>
    </w:p>
    <w:p>
      <w:pPr>
        <w:spacing w:after="0" w:line="3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 xml:space="preserve">We have adapted our proprietary thermal control technology for use by integrated circuit manufacturers in high performance burn-in and system level test. The </w:t>
      </w:r>
      <w:r>
        <w:rPr>
          <w:rFonts w:ascii="Times New Roman" w:cs="Times New Roman" w:eastAsia="Times New Roman" w:hAnsi="Times New Roman"/>
          <w:sz w:val="18"/>
          <w:szCs w:val="18"/>
          <w:b w:val="1"/>
          <w:bCs w:val="1"/>
          <w:color w:val="auto"/>
        </w:rPr>
        <w:t>Delta T-Core</w:t>
      </w:r>
      <w:r>
        <w:rPr>
          <w:rFonts w:ascii="Times New Roman" w:cs="Times New Roman" w:eastAsia="Times New Roman" w:hAnsi="Times New Roman"/>
          <w:sz w:val="18"/>
          <w:szCs w:val="18"/>
          <w:color w:val="auto"/>
        </w:rPr>
        <w:t xml:space="preserve"> thermal sub-systems provide fast and accurate temperature control of the integrated circuit during the testing process using the same technology available in the Pyramid handler. T-Core is also used in engineering device characterization applications.</w:t>
      </w:r>
    </w:p>
    <w:p>
      <w:pPr>
        <w:spacing w:after="0" w:line="18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Delta Fusion HD </w:t>
      </w:r>
      <w:r>
        <w:rPr>
          <w:rFonts w:ascii="Times New Roman" w:cs="Times New Roman" w:eastAsia="Times New Roman" w:hAnsi="Times New Roman"/>
          <w:sz w:val="18"/>
          <w:szCs w:val="18"/>
          <w:color w:val="auto"/>
        </w:rPr>
        <w:t>is a tri-temperature thermal sub-system that utilizes T-Core technology for testing mobile processors. The Fusion HD thermal sub-system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 test greater than 450 devices in parallel while thermally conditioning and accurately controlling each device temperature through stringent, power dissipative test scripts.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Contactors</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design, manufacture, sell and support various lines of test contactor solutions. These are consumable, electro-mechanical assemblies that connect the device under test, inside our test handlers, and the automated test equipment. Cohu contactors are used in testing digital semiconductor devices utilizing spring probe technology, such as the ones produced by Kita, and also power management and LED semiconductor devices utilizing cantilever technology, and RF semiconductor devices based on high performance contacts designed to operate at frequencies up to 34 GHz.</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Spares</w:t>
      </w:r>
    </w:p>
    <w:p>
      <w:pPr>
        <w:spacing w:after="0" w:line="3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provide consumable and non-consumable items that are used to maintain, sustain or otherwise enable customer’s equipment to meet its performance, availability and production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Tooling (kits)</w:t>
      </w:r>
    </w:p>
    <w:p>
      <w:pPr>
        <w:spacing w:after="0" w:line="31" w:lineRule="exact"/>
        <w:rPr>
          <w:sz w:val="20"/>
          <w:szCs w:val="20"/>
          <w:color w:val="auto"/>
        </w:rPr>
      </w:pPr>
    </w:p>
    <w:p>
      <w:pPr>
        <w:ind w:right="680"/>
        <w:spacing w:after="0" w:line="290" w:lineRule="auto"/>
        <w:rPr>
          <w:sz w:val="20"/>
          <w:szCs w:val="20"/>
          <w:color w:val="auto"/>
        </w:rPr>
      </w:pPr>
      <w:r>
        <w:rPr>
          <w:rFonts w:ascii="Times New Roman" w:cs="Times New Roman" w:eastAsia="Times New Roman" w:hAnsi="Times New Roman"/>
          <w:sz w:val="17"/>
          <w:szCs w:val="17"/>
          <w:color w:val="auto"/>
        </w:rPr>
        <w:t>We design and manufacture a wide range of device dedication kits that enable handlers to process different semiconductor packages. Our Philippines operation designs and manufactures the majority of our handler kits and provides applications support to customers in the southeast Asia region.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by Product Line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last three years, our consolidated sales were distributed as follows:</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17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2015</w:t>
            </w:r>
          </w:p>
        </w:tc>
        <w:tc>
          <w:tcPr>
            <w:tcW w:w="17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Pr>
          <w:p>
            <w:pPr>
              <w:spacing w:after="0"/>
              <w:rPr>
                <w:sz w:val="20"/>
                <w:szCs w:val="20"/>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 test handler systems</w:t>
            </w:r>
          </w:p>
        </w:tc>
        <w:tc>
          <w:tcPr>
            <w:tcW w:w="15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47%</w:t>
            </w:r>
          </w:p>
        </w:tc>
        <w:tc>
          <w:tcPr>
            <w:tcW w:w="2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Thermal sub-systems</w:t>
            </w:r>
          </w:p>
        </w:tc>
        <w:tc>
          <w:tcPr>
            <w:tcW w:w="1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7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7%</w:t>
            </w:r>
          </w:p>
        </w:tc>
        <w:tc>
          <w:tcPr>
            <w:tcW w:w="17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9%</w:t>
            </w: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Spares, contactors, tooling (kits) and service</w:t>
            </w:r>
          </w:p>
        </w:tc>
        <w:tc>
          <w:tcPr>
            <w:tcW w:w="15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43%</w:t>
            </w:r>
          </w:p>
        </w:tc>
        <w:tc>
          <w:tcPr>
            <w:tcW w:w="17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46%</w:t>
            </w:r>
          </w:p>
        </w:tc>
        <w:tc>
          <w:tcPr>
            <w:tcW w:w="17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customers include semiconductor integrated device manufacturers and test subcontractors. Repeat sales to existing customers represent a significant portion of our sales. During the last three years, the following customers comprised 10% or greater of our consolidated net sales: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2016</w:t>
            </w:r>
          </w:p>
        </w:tc>
        <w:tc>
          <w:tcPr>
            <w:tcW w:w="17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2015</w:t>
            </w:r>
          </w:p>
        </w:tc>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w:t>
            </w:r>
          </w:p>
        </w:tc>
        <w:tc>
          <w:tcPr>
            <w:tcW w:w="15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8"/>
                <w:szCs w:val="18"/>
                <w:color w:val="auto"/>
              </w:rPr>
            </w:pPr>
          </w:p>
        </w:tc>
      </w:tr>
      <w:tr>
        <w:trPr>
          <w:trHeight w:val="39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NXP Semiconductors N.V. </w:t>
            </w:r>
            <w:r>
              <w:rPr>
                <w:rFonts w:ascii="Times New Roman" w:cs="Times New Roman" w:eastAsia="Times New Roman" w:hAnsi="Times New Roman"/>
                <w:sz w:val="30"/>
                <w:szCs w:val="30"/>
                <w:color w:val="auto"/>
                <w:vertAlign w:val="superscript"/>
              </w:rPr>
              <w:t>(1)</w:t>
            </w:r>
          </w:p>
        </w:tc>
        <w:tc>
          <w:tcPr>
            <w:tcW w:w="1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13.7%</w:t>
            </w:r>
          </w:p>
        </w:tc>
        <w:tc>
          <w:tcPr>
            <w:tcW w:w="17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11.4%</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4"/>
                <w:szCs w:val="24"/>
                <w:color w:val="auto"/>
              </w:rPr>
            </w:pPr>
          </w:p>
        </w:tc>
      </w:tr>
    </w:tbl>
    <w:p>
      <w:pPr>
        <w:spacing w:after="0" w:line="85" w:lineRule="exact"/>
        <w:rPr>
          <w:sz w:val="20"/>
          <w:szCs w:val="20"/>
          <w:color w:val="auto"/>
        </w:rPr>
      </w:pPr>
    </w:p>
    <w:p>
      <w:pPr>
        <w:ind w:left="480" w:right="140" w:hanging="310"/>
        <w:spacing w:after="0" w:line="284" w:lineRule="auto"/>
        <w:tabs>
          <w:tab w:leader="none" w:pos="4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merger of NXP Semiconductors N.V. and Freescale Semiconductor, Ltd. was completed on December 7, 2015. Sales to these customers have been combined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-306070</wp:posOffset>
            </wp:positionV>
            <wp:extent cx="7143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14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 financial information on revenues from external customers by geographic area for each of the last three years is included in Note 8, “Segment and Geographic Information” in Part IV, Item 15(a) of this Form 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market our products worldwide through a combination of a direct sales force and independent sales representatives. In geographic areas where we believe there is sufficient sales potential, we generally employ our own personnel. Our U.S. sales office is located in Poway, California. The Europe sales offices are located in Kolbermoor, Germany and La Chaux-de-Fonds, Switzerland. We operate in Asia with offices in Singapore, Malaysia, Thailand, Philippines, Taiwan, China, Korea, and subsequent to the acquisition of Kita on January 4, 2017, 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The Japanese and Korean markets for test handling equipment are large and represent a significant percentage of the worldwide market. During each of the last three years our sales to Japanese and Korean customers, who have historically purchased test handling equipment from Asian suppliers, have represented less than 10% of our total sales. Some of our current and potential competitors are part of larger corporations that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backlog of unfilled orders for products, was $65.1 million at December 31, 2016 and $66.5 million at December 26, 2015.</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resulting in the inability to recognize revenue under accounting requirements. Furthermore, many orders are subject to cancellation or rescheduling by the customer with limited or no penalty. A reduction in backlog during any period could have a material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principal manufacturing operations are currently located in Malacca, Malaysia (handlers); Poway, California (thermal subsystems); Laguna, Philippines (kits and contactors); Kolbermoor, Germany (handlers); Osaka, Japan (contactors).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Many of the components and subassemblies we utilize are standard products, although some items are made to our specifications. Certain components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technology is protected by various intellectual property laws including patent, license, trademark, copyright and trade secret laws. In addition, we believe that, due to the rapid pace of technological change in the semiconductor equipment industry,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carried on in our various subsidiaries and are directed toward development of new products and equipment, as well as enhancements to existing products and equipment. Our total research and development expense was $34.8 million in 2016, $33.1 million in 2015 and $36.0 million in 2014.</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Laws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 with foreign, federal, state and local laws that have been enacted or adopted regulating the discharge of materials into the environment or otherwise relating to the protection of the environment and the prevention of climate change have not had a material effect and are not expected to have a material effect upon our capital expenditures, results of operations or our competitive position. However, future changes in regulations may require expenditures that could adversely impact earnings in future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sets forth the names, ages, positions and offices held by all executive officers of Cohu as of February 16, 2017. Executive Officers serve at the discretion of the Board of Directors, until their successors are appointed.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43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Luis A. Müller</w:t>
            </w: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shd w:val="clear" w:color="auto" w:fill="CCEEFF"/>
          </w:tcPr>
          <w:p>
            <w:pPr>
              <w:spacing w:after="0"/>
              <w:rPr>
                <w:sz w:val="18"/>
                <w:szCs w:val="18"/>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Jeffrey D. Jones</w:t>
            </w:r>
          </w:p>
        </w:tc>
        <w:tc>
          <w:tcPr>
            <w:tcW w:w="7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55</w:t>
            </w: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John H. Allen</w:t>
            </w:r>
          </w:p>
        </w:tc>
        <w:tc>
          <w:tcPr>
            <w:tcW w:w="7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65</w:t>
            </w:r>
          </w:p>
        </w:tc>
        <w:tc>
          <w:tcPr>
            <w:tcW w:w="6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Vice President, Administration</w:t>
            </w:r>
          </w:p>
        </w:tc>
      </w:tr>
      <w:tr>
        <w:trPr>
          <w:trHeight w:val="234"/>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Hock W. Chiang</w:t>
            </w:r>
          </w:p>
        </w:tc>
        <w:tc>
          <w:tcPr>
            <w:tcW w:w="7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59</w:t>
            </w: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Vice President, Global Sales &amp; Service</w:t>
            </w:r>
          </w:p>
        </w:tc>
      </w:tr>
    </w:tbl>
    <w:p>
      <w:pPr>
        <w:spacing w:after="0" w:line="20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Dr. Müller joined Delta in 2005 as Director of Engineering. In July 2008, Dr. Müller was promoted to the position of Vice President of the High Speed Handling Group for Delta and in January 2009 he was named Managing Director of Rasco. In January 2011, Dr. Müller was appointed President of Cohu’s Semiconductor Equipment Group. Effective December 28, 2014, Dr. Müller was promoted to President and Chief Executive Officer of Cohu and was appointed to Cohu’s Board of Directors.</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Mr. Jones joined Delta in 2005 as Vice President Finance and Controller. In November 2007, Mr. Jones was named Vice President, Finance and Chief Financial Officer of Cohu. Prior to joining Delta, Mr. Jones, was a consultant from 2004 to 2005 and Vice President and General Manager of the Systems Group at SBS Technologies, Inc., a designer and manufacturer of embedded computer products, from 1998 to 2003. Prior to SBS Technologies, Mr. Jones was an Audit Manager for Coopers &amp; Lybrand (now PriceWaterhouseCoopers).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Mr. Allen has been employed by Cohu since June 1995. He was Director of Finance until September 1995 when he was promoted to Vice President, Finance and he was then appointed Chief Financial Officer in October 1995. In November 2007, Mr. Allen was named Vice President, Administration. Prior to joining Cohu, Mr. Allen held various positions with Ernst &amp; Young LLP from 1976 until June 1995 and had been a partner with that firm since 1987.</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Mr. Chiang has been employed by Cohu since October 2012 as Vice President, Global Sales and Service. Prior to joining Cohu, Mr. Chiang served as a Director for AXElite Technology Corporation. Additionally, from 1995 through 2011, Mr. Chiang held a variety of positions at Teradyne, Inc. (“Teradyne”) including Director – Asia SOC Marketing &amp; New Business Development, Managing Director of Teradyne’s Singapore and China operations and Director of Worldwide Field Total Quality Management.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Including headcount additions arising from our acquisition of Kita, as of January 4, 2017, we had approximately 1,800 employees. Our employee headcount has fluctuated in the last five years primarily due to the volatile business conditions in the semiconductor equipment industry, the acquisitions of Ismeca and Kita, and the divestiture of Broadcast Microwave Services and Cohu Electronics. Our employees in the United States and most locations in Asia are not covered by collective bargaining agreements, however, certain employees at Rasco’s facility in Kolbermoor, Germany, are represented by a works council, employees at Ismeca’s facility La Chaux-de-Fonds, Switzerland are members of the micro-technology and Swiss watch trade union and certain employees in Ismeca’s China operation belong to local trade unions. We have not experienced any work stoppages and consider our relations with our employees to be good.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web 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is also posted on our web site at www.cohu.com/investors/corporategovernance. Information contained on our web site is not deemed part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acquisitions, investments and divestitures.</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have made, and may in the future make, acquisitions of, or significant investments in, businesses with complementary products, services and/or technologies such as our acquisition of Kita, which was completed on January 4, 2017. Acquisitions and investments involve numerous risks, including, but not limited to:</w:t>
      </w:r>
    </w:p>
    <w:p>
      <w:pPr>
        <w:spacing w:after="0" w:line="186" w:lineRule="exact"/>
        <w:rPr>
          <w:sz w:val="20"/>
          <w:szCs w:val="20"/>
          <w:color w:val="auto"/>
        </w:rPr>
      </w:pPr>
    </w:p>
    <w:p>
      <w:pPr>
        <w:ind w:left="480" w:hanging="24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costs in connection with integration of the personnel, operations, technologies and products of acquired businesses;</w:t>
      </w:r>
    </w:p>
    <w:p>
      <w:pPr>
        <w:spacing w:after="0" w:line="27"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business;</w:t>
      </w:r>
    </w:p>
    <w:p>
      <w:pPr>
        <w:spacing w:after="0" w:line="9"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operational matters;</w:t>
      </w:r>
    </w:p>
    <w:p>
      <w:pPr>
        <w:spacing w:after="0" w:line="9"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or customers of Cohu or acquired businesses;</w:t>
      </w:r>
    </w:p>
    <w:p>
      <w:pPr>
        <w:spacing w:after="0" w:line="9"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synergy, or the inability to realize expected synergies, resulting from the acquisition;</w:t>
      </w:r>
    </w:p>
    <w:p>
      <w:pPr>
        <w:spacing w:after="0" w:line="9"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commercialize purchased technology; and</w:t>
      </w:r>
    </w:p>
    <w:p>
      <w:pPr>
        <w:spacing w:after="0" w:line="9"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acquired intangible assets and goodwill that could result in significant charges to operating results in future periods.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may be required to finance future acquisitions and investments through a combination of borrowings, proceeds from equity or debt offerings and the use of cash, cash equivalents and short-term investments.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Mergers, acquisitions and investments are inherently risky and the inability to effectively manage these risks could materially and adversely affect our business, financial condition and results of operations. At December 31, 2016, we had goodwill and net purchased intangible assets balances of $58.8 million and $17.8 million, respectively. These amounts exclude the impact of our acquisition of Kita, which was completed subsequent to our fiscal year end. We expect our goodwill and purchased intangible asset balances will increase as a result of this transaction.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9" w:name="page10"/>
    <w:bookmarkEnd w:id="9"/>
    <w:p>
      <w:pPr>
        <w:ind w:right="6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making investments in new products to enter new markets, which may adversely affect our operating results; these investments may not be successful.</w:t>
      </w:r>
    </w:p>
    <w:p>
      <w:pPr>
        <w:spacing w:after="0" w:line="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Given the highly competitive and rapidly evolving technology environment in which we operate, we believe it is important to develop new product offerings to meet strategic opportunities as they evolve. This includes developing products that we believe are necessary to meet the future needs of the marketplace. We are currently investing in new product development programs to enable us to compete in the test contactor and wafer level package (WLP) probing markets. We expect to continue to make investments and we may at any time, based on product need or marketplace demand, decide to significantly increase our product development expenditures in these or other products. The cost of investments in new product offerings can have a negative impact on our operating results and there can be no assurance that any new products we develop will be accepted in the marketplace or generate material revenues for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risks of operating a global business.</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We are a global corporation with offices and subsidiaries in certain foreign locations to manufacture our products, support our sales and services to the global semiconductor industry and, as such, we face risks in doing business abroad. Certain aspects inherent in transacting business internationally could negatively impact our operating results, including:</w:t>
      </w:r>
    </w:p>
    <w:p>
      <w:pPr>
        <w:spacing w:after="0" w:line="186" w:lineRule="exact"/>
        <w:rPr>
          <w:sz w:val="20"/>
          <w:szCs w:val="20"/>
          <w:color w:val="auto"/>
        </w:rPr>
      </w:pPr>
    </w:p>
    <w:p>
      <w:pPr>
        <w:ind w:left="480" w:hanging="242"/>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 staffing and managing international operations;</w:t>
      </w:r>
    </w:p>
    <w:p>
      <w:pPr>
        <w:spacing w:after="0" w:line="27" w:lineRule="exact"/>
        <w:rPr>
          <w:rFonts w:ascii="Times New Roman" w:cs="Times New Roman" w:eastAsia="Times New Roman" w:hAnsi="Times New Roman"/>
          <w:sz w:val="18"/>
          <w:szCs w:val="18"/>
          <w:color w:val="auto"/>
        </w:rPr>
      </w:pPr>
    </w:p>
    <w:p>
      <w:pPr>
        <w:ind w:left="480" w:right="120" w:hanging="242"/>
        <w:spacing w:after="0" w:line="250"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requirements and potential changes in or interpretations of requirements in the United States and in the countries in which we manufacture or sell our products;</w:t>
      </w:r>
    </w:p>
    <w:p>
      <w:pPr>
        <w:ind w:left="480" w:hanging="242"/>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including treaty changes, sanctions and the suspension of export licenses;</w:t>
      </w:r>
    </w:p>
    <w:p>
      <w:pPr>
        <w:spacing w:after="0" w:line="9"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and changes in import/export tariffs and regulations;</w:t>
      </w:r>
    </w:p>
    <w:p>
      <w:pPr>
        <w:spacing w:after="0" w:line="9"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and intellectual property rights;</w:t>
      </w:r>
    </w:p>
    <w:p>
      <w:pPr>
        <w:spacing w:after="0" w:line="9"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9"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political and economic conditions;</w:t>
      </w:r>
    </w:p>
    <w:p>
      <w:pPr>
        <w:spacing w:after="0" w:line="9"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restrictions on repatriating earnings and the threat of “double taxation”; and</w:t>
      </w:r>
    </w:p>
    <w:p>
      <w:pPr>
        <w:spacing w:after="0" w:line="9" w:lineRule="exact"/>
        <w:rPr>
          <w:rFonts w:ascii="Times New Roman" w:cs="Times New Roman" w:eastAsia="Times New Roman" w:hAnsi="Times New Roman"/>
          <w:sz w:val="18"/>
          <w:szCs w:val="18"/>
          <w:color w:val="auto"/>
        </w:rPr>
      </w:pPr>
    </w:p>
    <w:p>
      <w:pPr>
        <w:ind w:left="480" w:hanging="242"/>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against the U.S. Dollar, which can affect demand for our products and increase our costs.</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7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in the process of transitioning our manufacturing to Asia. Our inability to manage multiple manufacturing sites during this transition and to secure raw materials meeting our quality, cost and other requirements, or failures by our suppliers to perform, could harm our sales, service levels and reputation.</w:t>
      </w:r>
    </w:p>
    <w:p>
      <w:pPr>
        <w:spacing w:after="0" w:line="252" w:lineRule="auto"/>
        <w:rPr>
          <w:sz w:val="20"/>
          <w:szCs w:val="20"/>
          <w:color w:val="auto"/>
        </w:rPr>
      </w:pPr>
      <w:r>
        <w:rPr>
          <w:rFonts w:ascii="Times New Roman" w:cs="Times New Roman" w:eastAsia="Times New Roman" w:hAnsi="Times New Roman"/>
          <w:sz w:val="18"/>
          <w:szCs w:val="18"/>
          <w:color w:val="auto"/>
        </w:rPr>
        <w:t>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Therefore, if we should fail to effectively manage overseas manufacturing operations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If our overseas manufacturing locations are unable to meet our manufacturing requirements in a timely manner, our ability to ship products and to realize the related revenues when anticipated could be materially affected.</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suppliers are subject to the fluctuations in general economic cycles, and the global economic conditions may impact their ability to operate their business. They may also be impacted by the increasing costs of raw materials, labor and distribution, resulting in demands for less attractive contract terms or an inability for them to meet our requirements or conduct their own businesses. The performance and financial condition of a supplier may cause us to alter our business terms or to cease doing business with a particular supplier, or change our sourcing practices generally, which could in turn adversely affect our own business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critical suppliers to deliver sufficient quantities of parts in a timely and cost-effective manner could adversely impact our operations.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industry we serve is highly volatile and unpredictable.</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Visibility into our markets is limited. The semiconductor equipment business is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2016, 2015 and 2014, we recorded pre-tax inventory-related charges of approximately $1.1 million, $2.4 million, and $2.6 million, respectively, primarily as a result of changes in customer forecasts.</w:t>
      </w:r>
    </w:p>
    <w:p>
      <w:pPr>
        <w:spacing w:after="0" w:line="19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believe that our existing sources of liquidity, including cash resources and cash provided by operating activities will provide sufficient resources to meet our working capital and cash requirements for at least the next twelve months. In the event we are required, or elect, to raise additional funds, we may be unable to do so on favorable terms, or at all, and may incur expenses in raising the additional funds and future indebtedness could adversely affect our operating results and severely limit our ability to plan for, or react to, changes in our business or industry. We could also be limited by financial and other restrictive covenants in credit arrangements, including limitations on our borrowing of additional funds and issuing dividends. If we choose to issue new equity securities, existing stockholders may experience dilution, or the new equity securities may have rights, preferences or privileges senior to those of existing holders of common stock.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equipment industry in general and the test handler market in particular, is highly competitive.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11" w:name="page12"/>
    <w:bookmarkEnd w:id="11"/>
    <w:p>
      <w:pPr>
        <w:ind w:right="2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exposure resulted in charges to operations during each of the years in the three-year period ended December 31, 2016. Future inventory write-offs and increased inventory reserve requirements could have a material adverse impact on our results of operations and financial condition.</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MEMS, system-level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19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have an impact on our business and financial condition in ways that we currently cannot predict.</w:t>
      </w:r>
    </w:p>
    <w:p>
      <w:pPr>
        <w:spacing w:after="0" w:line="3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operations and financial results depend on worldwide economic conditions and their impact on levels of business spending.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an economic slowdown or the timing or strength of a subsequent recovery.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 limited number of customers account for a substantial percentage of our net sales.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small number of customers have been responsible for a significant portion of our net sales. During the past five years, the percentage of our sales derived from these significant customers has varied greatly. Such variations are due to changes in the customers’ business, consolidation within the semiconductor industry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90" w:lineRule="exact"/>
        <w:rPr>
          <w:sz w:val="20"/>
          <w:szCs w:val="20"/>
          <w:color w:val="auto"/>
        </w:rPr>
      </w:pPr>
    </w:p>
    <w:p>
      <w:pPr>
        <w:ind w:right="5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seasonal nature of the semiconductor equipment industry places enormous demands on our employees, operations and infrastructure.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semiconductor equipment industry is characterized by dramatic and sometimes rapid changes in demand for its products. These are generally dictated by introduction of new consumer products, launch of new model vehicles, implementation of new communications infrastructure, or in response to an increase in industrial equipment and machinery that utilizes semiconductors. A number of other factors including changes in integrated circuit design and packaging may affect demand for our products. Sudden changes in demand for semiconductor equipment have a significant impact on our operations. We have in the past and may in the future experience difficulties, particularly in manufacturing, in training and recruiting the large number of additions to our workforce. The volatility in headcount and business levels, combined with the seasonal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adversely impact our business.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Kolbermoor, Germany and La Chaux-de-Fonds, Switzerland areas, where the majority of our development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violate our proprietary rights or accuse us of infringing upon their proprietary rights.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8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United States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or exposure to additional income tax liabilities could affect our profitability.</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subject to income and other taxes in the U.S. and numerous foreign jurisdictions. Our tax liabilities are affected by, among other things, the amounts our affiliated entities charge each other for intercompany transactions. We may be subject to ongoing tax examinations in various jurisdictions. Tax authorities may disagree with our intercompany charges or other matters and assess additional taxes. While we regularly assess the likely outcomes of these examinations in order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in October 2015, the Organization for Economic Co-operation and Development (OECD) issued its reports on the 15 focus areas identified in its Action Plan on Base Erosion and Profit Shifting (“BEPS”). Some BEPS measures will require treaty based or legislative action by countries. The final impact of BEPS on Cohu’s income tax provision and liability is currently not quantifiable and is likely to result in additional recordkeeping and administrative cost to implement certain of its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regulations may impact sales to foreign customers and impose costs.</w:t>
      </w:r>
    </w:p>
    <w:p>
      <w:pPr>
        <w:spacing w:after="0" w:line="3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Certain products and services that we offer require compliance with U.S.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14" w:name="page15"/>
    <w:bookmarkEnd w:id="14"/>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government regulations regarding sale and export, we are subject to other regulations regarding our products. For example, the U.S. Securities and Exchange Commission has adopted disclosure rules for companies that use conflict minerals in their products, with substantial supply chain verification requirements in the event that the materials come from, or could have come from, the Democratic Republic of the Congo or adjoining countries. These new rules and verification requirements will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security breaches.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73"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occurrence of natural disasters and geopolitical instability caused by terrorist attacks and other threats may adversely impact our operations and sales.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Corporate headquarters is located in San Diego, California, our Asian sales and service headquarters is located in Singapore and the majority of our sales are made to destinations in Asia. In addition, we have manufacturing plants in Malaysia, Philippines and Japan.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 presently have limited redundant, multiple site capacity in the event of a natural disaster. In the event of such disaster, our business would suffer.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and operating results may vary and may fall below analysts’ estimates, which may cause the price of our common stock to decline.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may fluctuate from quarter to quarter due to a variety of factors including, but not limited to:</w:t>
      </w:r>
    </w:p>
    <w:p>
      <w:pPr>
        <w:spacing w:after="0" w:line="20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the semiconductor equipment industry;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orders from customers and shipments to customers;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revenue due to accounting requirements;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writedowns;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deliver solutions as expected by our customers;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and deferred tax asset writedowns.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significant volatility in our stock price.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three-year period ended December 31, 2016 the price of our common stock has ranged from $14.43 to $9.14. The price of our stock may be more volatile than the stock of other companies due to, among other factors, the unpredictable and seasonal nature of the semiconductor industry, our significant customer concentration, intense 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concerning our principal properties at December 31, 2016,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1760" w:type="dxa"/>
            <w:vAlign w:val="bottom"/>
          </w:tcPr>
          <w:p>
            <w:pPr>
              <w:spacing w:after="0"/>
              <w:rPr>
                <w:sz w:val="18"/>
                <w:szCs w:val="18"/>
                <w:color w:val="auto"/>
              </w:rPr>
            </w:pPr>
          </w:p>
        </w:tc>
      </w:t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Sq. Footage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10"/>
        </w:trPr>
        <w:tc>
          <w:tcPr>
            <w:tcW w:w="68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Poway, California </w:t>
            </w:r>
            <w:r>
              <w:rPr>
                <w:rFonts w:ascii="Times New Roman" w:cs="Times New Roman" w:eastAsia="Times New Roman" w:hAnsi="Times New Roman"/>
                <w:sz w:val="24"/>
                <w:szCs w:val="24"/>
                <w:color w:val="auto"/>
                <w:vertAlign w:val="superscript"/>
              </w:rPr>
              <w:t>(1)</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147,000</w:t>
            </w:r>
          </w:p>
        </w:tc>
        <w:tc>
          <w:tcPr>
            <w:tcW w:w="8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Kolbermoor, Germany</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Malacca, Malaysia</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Calamba City, Laguna, Philippines</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 Chaux-de-Fonds, Switzerland</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r>
      <w:tr>
        <w:trPr>
          <w:trHeight w:val="216"/>
        </w:trPr>
        <w:tc>
          <w:tcPr>
            <w:tcW w:w="68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Osaka, Japan </w:t>
            </w:r>
            <w:r>
              <w:rPr>
                <w:rFonts w:ascii="Times New Roman" w:cs="Times New Roman" w:eastAsia="Times New Roman" w:hAnsi="Times New Roman"/>
                <w:sz w:val="25"/>
                <w:szCs w:val="25"/>
                <w:color w:val="auto"/>
                <w:vertAlign w:val="superscript"/>
              </w:rPr>
              <w:t>(2)</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6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Attleboro, Massachusetts </w:t>
            </w:r>
            <w:r>
              <w:rPr>
                <w:rFonts w:ascii="Times New Roman" w:cs="Times New Roman" w:eastAsia="Times New Roman" w:hAnsi="Times New Roman"/>
                <w:sz w:val="25"/>
                <w:szCs w:val="25"/>
                <w:color w:val="auto"/>
                <w:vertAlign w:val="superscript"/>
              </w:rPr>
              <w:t>(2)</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r>
    </w:tbl>
    <w:p>
      <w:pPr>
        <w:spacing w:after="0" w:line="238" w:lineRule="exact"/>
        <w:rPr>
          <w:sz w:val="20"/>
          <w:szCs w:val="20"/>
          <w:color w:val="auto"/>
        </w:rPr>
      </w:pPr>
    </w:p>
    <w:p>
      <w:pPr>
        <w:ind w:left="340" w:right="180" w:hanging="332"/>
        <w:spacing w:after="0" w:line="25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Cohu Corporate offices. On December 4, 2015, we completed the sale of our headquarters facility located in Poway, California. In December 2016, our leased space decreased to approximately 147,000 square feet of the Poway facility. Additional information related to the sale-leaseback of the Poway facility is included in Note 13, “Sale-leaseback of Poway Facility” in Part IV, Item 15(a) of this Form 10-K.</w:t>
      </w:r>
    </w:p>
    <w:p>
      <w:pPr>
        <w:spacing w:after="0" w:line="1"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Locations were acquired on January 4, 2017, in conjunction with the purchase of Kita, see Note 2, “Subsequent Event”, included in Part IV, Item 15(a)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to the locations listed above, we lease other properties primarily for sales and service offices in various locations. We believe our facilities are suitable for their respective uses and are adequate for our present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From time-to-time we are involved in various legal proceedings, examinations by various tax authorities and claims that have arisen in the ordinary course of our business.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outcome of any litigation, examinations and claims is inherently uncertain. While there can be no assurance, at the present time we do not believe that the resolution of the matters described above will have a material adverse effect on our assets, financial position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Cohu, Inc. stock is traded on the NASDAQ Global Select Market under the symbol "COHU". The following table sets forth the high and low sales prices as reported on the NASDAQ Global Select Market during the last two years.</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Fiscal 2016</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Fiscal 2015</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High</w:t>
            </w:r>
          </w:p>
        </w:tc>
        <w:tc>
          <w:tcPr>
            <w:tcW w:w="380" w:type="dxa"/>
            <w:vAlign w:val="bottom"/>
          </w:tcPr>
          <w:p>
            <w:pPr>
              <w:spacing w:after="0"/>
              <w:rPr>
                <w:sz w:val="18"/>
                <w:szCs w:val="18"/>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Low</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Low</w:t>
            </w:r>
          </w:p>
        </w:tc>
        <w:tc>
          <w:tcPr>
            <w:tcW w:w="10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12.60</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13.84</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10.01</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13.49</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14.43</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13.43</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16, 2017, Cohu had 440 stockholders of record.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paid consecutive quarterly dividends since 1977 and, as discussed below, expect to continue doing so. Cash dividends, per share, declared in 2016 and 2015 were as follows: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Fiscal 2016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Fiscal 2015</w:t>
            </w: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r>
      <w:tr>
        <w:trPr>
          <w:trHeight w:val="250"/>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research and development, investments and acquisitions, legal risks and stock repurchases.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summarizes information with respect to equity awards under Cohu’s equity compensation plans at December 31, 2016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except per share amounts)</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Number of securities</w:t>
            </w:r>
          </w:p>
        </w:tc>
        <w:tc>
          <w:tcPr>
            <w:tcW w:w="10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to be issued upon</w:t>
            </w:r>
          </w:p>
        </w:tc>
        <w:tc>
          <w:tcPr>
            <w:tcW w:w="10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exercise price of</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exercise of outstanding</w:t>
            </w:r>
          </w:p>
        </w:tc>
        <w:tc>
          <w:tcPr>
            <w:tcW w:w="10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plans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options, warrants and</w:t>
            </w:r>
          </w:p>
        </w:tc>
        <w:tc>
          <w:tcPr>
            <w:tcW w:w="10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reflected in column</w:t>
            </w:r>
          </w:p>
        </w:tc>
        <w:tc>
          <w:tcPr>
            <w:tcW w:w="0" w:type="dxa"/>
            <w:vAlign w:val="bottom"/>
          </w:tcPr>
          <w:p>
            <w:pPr>
              <w:spacing w:after="0"/>
              <w:rPr>
                <w:sz w:val="1"/>
                <w:szCs w:val="1"/>
                <w:color w:val="auto"/>
              </w:rPr>
            </w:pPr>
          </w:p>
        </w:tc>
      </w:tr>
      <w:tr>
        <w:trPr>
          <w:trHeight w:val="234"/>
        </w:trPr>
        <w:tc>
          <w:tcPr>
            <w:tcW w:w="5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Plan category</w:t>
            </w:r>
          </w:p>
        </w:tc>
        <w:tc>
          <w:tcPr>
            <w:tcW w:w="1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rights (a) (1)</w:t>
            </w: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(b) (2)</w:t>
            </w:r>
          </w:p>
        </w:tc>
        <w:tc>
          <w:tcPr>
            <w:tcW w:w="18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(a))(c)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 w:right="360" w:hanging="330"/>
        <w:spacing w:after="0" w:line="250"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restricted stock units (“RSUs”) and performance stock units (“PSUs”) outstanding under Cohu’s equity incentive plans. No stock warrants or other rights were outstanding as of December 31, 2016.</w:t>
      </w:r>
    </w:p>
    <w:p>
      <w:pPr>
        <w:ind w:left="500" w:right="120" w:hanging="330"/>
        <w:spacing w:after="0" w:line="250"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of outstanding options, warrants and rights does not take RSUs and PSUs into account as RSUs and PSUs have a de minimus purchase price.</w:t>
      </w:r>
    </w:p>
    <w:p>
      <w:pPr>
        <w:ind w:left="500" w:hanging="330"/>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700,484 shares of common stock reserved for future issuance under the Cohu 1997 Employee Stock Purchase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details regarding Cohu’s equity compensation plans, see Note 6, “Employee Benefit Plans”, included in Part IV, Item 15(a) of this Form 10-K.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 Graph</w:t>
      </w:r>
    </w:p>
    <w:p>
      <w:pPr>
        <w:spacing w:after="0" w:line="227"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the common stock of Cohu for the last five fiscal years with the cumulative total return on custom Peer Group Indexes and a NASDAQ Market Index over the same period (assuming the investment of $100 in Cohu’s common stock, Peer Group Index and NASDAQ Market Index on December 31, 2011 and reinvestment of all dividends). The custom Peer Group Index is comprised of the peer group companies associated with our performance stock units issued under our equity incentive plan. In 2016 the custom Peer Group Index was comprised of Advanced Energy Industries Inc., Advantest Corp, ASM Pacific Technology Ltd, Axcelis Technologies Inc., BE Semiconductor Industries NV, Brooks Automation Inc., Cabot Microelectronics Corp, Camtek Ltd, Electro Scientific Industries Inc., FormFactor Inc., Kulicke and Soffa Industries Inc., Micronics Japan Co Ltd, MKS Instruments Inc., Nanometrics Inc., Photronics Inc., Rudolph Technologies Inc., Teradyne Inc., Ultra Clean Holdings Inc., Ultratech Inc., Veeco Instruments Inc. and Xcerra Corp. In 2015 the custom Peer Group Index was comprised of Advanced Energy Industries Inc., Advantest Corp, ASM Pacific Technology Ltd, Axcelis Technologies Inc., BE Semiconductor Industries NV, Brooks Automation Inc., Cabot Microelectronics Corp, Camtek Ltd, Electro Scientific Industries Inc., FormFactor Inc., Kulicke and Soffa Industries Inc., MKS Instruments Inc., Nanometrics Inc., Photronics Inc., Rudolph</w:t>
      </w:r>
    </w:p>
    <w:p>
      <w:pPr>
        <w:spacing w:after="0" w:line="11"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8"/>
          <w:szCs w:val="18"/>
          <w:color w:val="auto"/>
        </w:rPr>
        <w:t>Technologies Inc., Teradyne Inc., Tessera Technologies Inc., Ultra Clean Holdings Inc., Ultratech Inc. and Xcerra Corp. This peer group is revised annually to reflect acquisitions and to include additional equivalent companies in the semiconductor equipment market to ensure a sufficiently large number of companies in the peer group composition to enable a meaningful comparison of our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118745</wp:posOffset>
            </wp:positionV>
            <wp:extent cx="4570730" cy="3507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70730" cy="350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Cohu, Inc.</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NASDAQ Index</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8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Peer Group</w:t>
            </w:r>
          </w:p>
        </w:tc>
        <w:tc>
          <w:tcPr>
            <w:tcW w:w="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8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2016 Peer Group</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860" w:type="dxa"/>
            <w:vAlign w:val="bottom"/>
          </w:tcPr>
          <w:p>
            <w:pPr>
              <w:spacing w:after="0"/>
              <w:rPr>
                <w:sz w:val="20"/>
                <w:szCs w:val="20"/>
                <w:color w:val="auto"/>
              </w:rPr>
            </w:pPr>
          </w:p>
        </w:tc>
      </w:tr>
      <w:tr>
        <w:trPr>
          <w:trHeight w:val="657"/>
        </w:trPr>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Cohu’s Consolidated Financial Statements and notes thereto included in Part IV, Item 15(a) and with management’s discussion and analysis of financial condition and results of operations, included in Part II, Item 7. In June 2015, we sold our mobile microwave communications equipment business and in June 2014, we sold our video camera business. The operating results of these businesses are being presented as discontinued operations for all periods presented. Additional information related to the sale of these businesses is included in Note 4, “Discontinued Operations” in Part IV, Item 15(a) of this Form 10-K. On December 31, 2012, we purchased Ismeca Semiconductor Holding SA (“Ismeca”) and the results of its operations have been included in our Consolidated Financial Statements since that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presented below exclude any impact from the acquisition of Kita, which was completed on January 4, 2017, subsequent to the end of fiscal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“Subsequent Event”, included in Part IV, Item 15(a) of this Form 10-K.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200" w:type="dxa"/>
            <w:vAlign w:val="bottom"/>
          </w:tcPr>
          <w:p>
            <w:pPr>
              <w:spacing w:after="0"/>
              <w:rPr>
                <w:sz w:val="17"/>
                <w:szCs w:val="17"/>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 31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 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 27</w:t>
            </w:r>
          </w:p>
        </w:tc>
        <w:tc>
          <w:tcPr>
            <w:tcW w:w="20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Dec. 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 29</w:t>
            </w:r>
          </w:p>
        </w:tc>
      </w:tr>
      <w:tr>
        <w:trPr>
          <w:trHeight w:val="258"/>
        </w:trPr>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line="258" w:lineRule="exact"/>
              <w:rPr>
                <w:sz w:val="20"/>
                <w:szCs w:val="20"/>
                <w:color w:val="auto"/>
              </w:rPr>
            </w:pPr>
            <w:r>
              <w:rPr>
                <w:rFonts w:ascii="Times New Roman" w:cs="Times New Roman" w:eastAsia="Times New Roman" w:hAnsi="Times New Roman"/>
                <w:sz w:val="18"/>
                <w:szCs w:val="18"/>
                <w:color w:val="auto"/>
              </w:rPr>
              <w:t>2016</w:t>
            </w:r>
            <w:r>
              <w:rPr>
                <w:rFonts w:ascii="Times New Roman" w:cs="Times New Roman" w:eastAsia="Times New Roman" w:hAnsi="Times New Roman"/>
                <w:sz w:val="29"/>
                <w:szCs w:val="29"/>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 of Operations Data:</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282,084</w:t>
            </w: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269,654</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316,629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214,511</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179,449</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ind w:left="160"/>
              <w:spacing w:after="0" w:line="197" w:lineRule="exact"/>
              <w:rPr>
                <w:sz w:val="20"/>
                <w:szCs w:val="20"/>
                <w:color w:val="auto"/>
              </w:rPr>
            </w:pPr>
            <w:r>
              <w:rPr>
                <w:rFonts w:ascii="Times New Roman" w:cs="Times New Roman" w:eastAsia="Times New Roman" w:hAnsi="Times New Roman"/>
                <w:sz w:val="14"/>
                <w:szCs w:val="14"/>
                <w:color w:val="auto"/>
              </w:rPr>
              <w:t xml:space="preserve">Income (loss) from continuing operations </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3,260</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14,780</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(28,548)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(11,255)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46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3,039</w:t>
            </w:r>
          </w:p>
        </w:tc>
        <w:tc>
          <w:tcPr>
            <w:tcW w:w="440" w:type="dxa"/>
            <w:vAlign w:val="bottom"/>
            <w:gridSpan w:val="2"/>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300" w:type="dxa"/>
            <w:vAlign w:val="bottom"/>
            <w:gridSpan w:val="2"/>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8,708</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(33,418)</w:t>
            </w:r>
          </w:p>
        </w:tc>
        <w:tc>
          <w:tcPr>
            <w:tcW w:w="260" w:type="dxa"/>
            <w:vAlign w:val="bottom"/>
            <w:gridSpan w:val="2"/>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(12,243)</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Income (loss) from continuing operations - basic</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Income (loss) from continuing operations - diluted</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440" w:type="dxa"/>
            <w:vAlign w:val="bottom"/>
            <w:gridSpan w:val="2"/>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300" w:type="dxa"/>
            <w:vAlign w:val="bottom"/>
            <w:gridSpan w:val="2"/>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260" w:type="dxa"/>
            <w:vAlign w:val="bottom"/>
            <w:gridSpan w:val="2"/>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(0.46)</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Net income (loss) - basic</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Net income (loss) - diluted</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440" w:type="dxa"/>
            <w:vAlign w:val="bottom"/>
            <w:gridSpan w:val="2"/>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300" w:type="dxa"/>
            <w:vAlign w:val="bottom"/>
            <w:gridSpan w:val="2"/>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260" w:type="dxa"/>
            <w:vAlign w:val="bottom"/>
            <w:gridSpan w:val="2"/>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(0.50)</w:t>
            </w:r>
          </w:p>
        </w:tc>
      </w:tr>
      <w:tr>
        <w:trPr>
          <w:trHeight w:val="20"/>
        </w:trPr>
        <w:tc>
          <w:tcPr>
            <w:tcW w:w="47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dividends per share, paid quarterly</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4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Consolidated Balance Sheet Data:</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Consolidated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345,512</w:t>
            </w:r>
          </w:p>
        </w:tc>
        <w:tc>
          <w:tcPr>
            <w:tcW w:w="4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345,346</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344,765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345,423</w:t>
            </w:r>
          </w:p>
        </w:tc>
        <w:tc>
          <w:tcPr>
            <w:tcW w:w="2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334,873</w:t>
            </w: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176,460</w:t>
            </w: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171,272</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142,194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125,837</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2016 consists of 53 weeks. All other years in the table above are comprised of 52 weeks.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continuing operations for the year ended December 26, 2015 includes a gain on the sale of facility totaling $3.2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Cohu is a leading supplier of semiconductor test and inspection handlers, micro-electro mechanical system (MEMS) test modules, test contactors and thermal sub-systems used by global semiconductor manufacturers and test subcontractors. Our business is significantly dependent on capital expenditures by semiconductor manufacturers and test subcontractors, which in turn is dependent on the current and anticipated market demand for semiconductors that is subject to seasonal trends. We expect that the semiconductor equipment industry will continue to be seasonal and volatile in part because consumer electronics, the principal end market for integrated circuits, is a highly dynamic industry and demand has traditionally fluctuated.</w:t>
      </w:r>
    </w:p>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Orders for semiconductor test and assembly equipment as reported by Semiconductor Equipment and Materials International (SEMI) increased sequentially each month from October 2015 through January 2016 followed by declining orders in February and March 2016. The downward order momentum within the back-end equipment segment ceased in March 2016 with global orders for equipment increasing during the second quarter reaching a peak in June and then declining throughout the second half of the year until rebounding in December. Our net sales in 2016 were up 4.6% from 2015 and benefitted from demand for equipment for testing devices used in mobile, automotive and computing applications. We monitor our customers’ test floors, and equipment utilization increased slightly at the end of the year. Looking ahead, we see momentum in the automotive and mobile markets and are optimistic about the long-term prospects for the semiconductor equipment industry due to the increasing technological functionality of mobile devices, growing integrated circuit and LED content in automobiles and consumer products, and expanding applications in industrial. We are focused on growing our market share in the mobility, automotive and solid state markets and expanding into the test contacting and wafer level package test markets.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 and Policies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investors’ understanding of our financial results and condition and require complex management judgment include:</w:t>
      </w:r>
    </w:p>
    <w:p>
      <w:pPr>
        <w:spacing w:after="0" w:line="189" w:lineRule="exact"/>
        <w:rPr>
          <w:sz w:val="20"/>
          <w:szCs w:val="20"/>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the deferral of revenue on sales to customers, which impacts our results of operations;</w:t>
      </w:r>
    </w:p>
    <w:p>
      <w:pPr>
        <w:spacing w:after="0" w:line="27" w:lineRule="exact"/>
        <w:rPr>
          <w:rFonts w:ascii="Times New Roman" w:cs="Times New Roman" w:eastAsia="Times New Roman" w:hAnsi="Times New Roman"/>
          <w:sz w:val="18"/>
          <w:szCs w:val="18"/>
          <w:color w:val="auto"/>
        </w:rPr>
      </w:pPr>
    </w:p>
    <w:p>
      <w:pPr>
        <w:ind w:left="500" w:right="60" w:hanging="330"/>
        <w:spacing w:after="0" w:line="250"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estimation of valuation allowances and accrued liabilities, specifically product warranty, inventory reserves and allowance for bad debts, which impact gross margin or operating expenses;</w:t>
      </w:r>
    </w:p>
    <w:p>
      <w:pPr>
        <w:ind w:left="500" w:right="280" w:hanging="330"/>
        <w:spacing w:after="0" w:line="250"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and measurement of current and deferred income tax assets and liabilities, unrecognized tax benefits and the valuation allowance on deferred tax assets, which impact our tax provision;</w:t>
      </w:r>
    </w:p>
    <w:p>
      <w:pPr>
        <w:ind w:left="500" w:right="80" w:hanging="330"/>
        <w:spacing w:after="0" w:line="250"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and</w:t>
      </w:r>
    </w:p>
    <w:p>
      <w:pPr>
        <w:ind w:left="500" w:right="180" w:hanging="330"/>
        <w:spacing w:after="0" w:line="261"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and recognition of share-based compensation, which impacts gross margin, research and development expense, and selling, general and administrative expense.</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generally recognize revenue upon shipment and title passage for established products (i.e., those that have previously satisfied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In certain instances, customer payment terms may provide that a minority portion (e.g. up to 20%) of the equipment purchase price be paid only upon customer acceptance. In those situations, the majority portion (e.g. 80%) of revenue where the contingent payment is tied to shipment and the entire product cost of sale are recognized upon shipment and passage of title and the minority portion of the purchase price related to customer acceptance is deferred and recognized upon receipt of customer acceptance.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 On shipments where sales are not recognized, gross profit is generally recorded as deferred profit in our consolidated balance sheet, representing the difference between the receivable recorded and the inventory shipped.</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We maintain an allowance for doubtful accounts for estimated losses resulting from the inability of our customers to make required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If the financial condition of our customers deteriorates, resulting in an impairment of their ability to make payments, additional allowances may be required.</w:t>
      </w:r>
    </w:p>
    <w:p>
      <w:pPr>
        <w:spacing w:after="0" w:line="1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We provide for the estimated costs of product warranties in the period sales are recognized. Our warranty obligation estimates are affected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0" w:name="page21"/>
    <w:bookmarkEnd w:id="20"/>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The valuation of inventory requires us to estimate obsolete or excess inventory as well as inventory that is not of saleable quality.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estimate our liability for income taxes based on the various jurisdictions where we conduct business. This requires us to estimate our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31, 2016 was approximately $47.3 million, with a valuation allowance of approximately $44.7 million. Our deferred tax assets consist primarily of reserves and accruals that are not yet deductible for tax and tax credit and net operating loss carry-forwards.</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Segment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applied the provisions of Accounting Standards Codification (“ASC”) Topic 280,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(“ASC 280”), which 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Based on the provisions of ASC 280, we have determined that our identified operating segments qualify for aggregation under ASC 280 due to similarities in their customers, their economic characteristics, and the nature of products and services provided. As a result, we report in one segment, semiconductor equipment.</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Purchased Intangible Assets and Other Long-lived Assets: </w:t>
      </w:r>
      <w:r>
        <w:rPr>
          <w:rFonts w:ascii="Times New Roman" w:cs="Times New Roman" w:eastAsia="Times New Roman" w:hAnsi="Times New Roman"/>
          <w:sz w:val="18"/>
          <w:szCs w:val="18"/>
          <w:color w:val="auto"/>
        </w:rPr>
        <w:t>We evaluate goodwill for impairment annually and when an event occurs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 our annual impairment test as of October 1st of each year, and have determined there is no impairment as of October 1, 2016 as we determined that the estimated fair values of our reporting units exceeded their carrying values on that date. Other events and changes in circumstances may also require goodwill to be tested for impairment between annual measurement dates. As of December 31, 2016 we do not believe there have been any events or circumstances that would require us to perform an interim goodwill impairment review. In the event we determine that an interim goodwill impairment review is required, in a future period, the review may result in an impairment charge, which would have a negative impact on our results of operations.</w:t>
      </w:r>
    </w:p>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1" w:name="page22"/>
    <w:bookmarkEnd w:id="21"/>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We are subject to certain contingencies that arise in the ordinary course of our businesses which require us to assess the likelihood that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7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Share-based compensation expense related to stock options is recorded based on the fair value of the award on its grant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which 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 Share-based compensation for the year ended December 31, 2016 was impacted by our adoption of Accounting Standards Update (“ASU”) No. 2016-09, Compensation - Stock Compensation (Topic 718):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w:t>
      </w:r>
    </w:p>
    <w:p>
      <w:pPr>
        <w:spacing w:after="0" w:line="4" w:lineRule="exact"/>
        <w:rPr>
          <w:sz w:val="20"/>
          <w:szCs w:val="20"/>
          <w:color w:val="auto"/>
        </w:rPr>
      </w:pPr>
    </w:p>
    <w:p>
      <w:pPr>
        <w:ind w:firstLine="8"/>
        <w:spacing w:after="0" w:line="261" w:lineRule="auto"/>
        <w:tabs>
          <w:tab w:leader="none" w:pos="2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2016. For further information regarding our adoption of ASU 2016-09 please see Note 1, “Recent Accounting Pronouncements” in Part IV, Item 15(a) of this Form 10-K.</w:t>
      </w:r>
    </w:p>
    <w:p>
      <w:pPr>
        <w:spacing w:after="0" w:line="17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For a description of accounting changes and recent accounting pronouncements, including the expected dates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adoption and estimated effects, if any, on our Consolidated Financial Statements, see Note 1, "Recent Accounting Pronouncements" in Part IV, Item 15(a) of this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June 2015, we sold our mobile microwave communications equipment business and in June 2014, we sold our video camera business. The operating results of these businesses are being presented as discontinued operations and all prior period amounts have been reclassified. Unless otherwise indicated, the discussion below covers the comparative results from continuing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certain operating data as a percentage of net sales: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50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4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24"/>
                <w:szCs w:val="24"/>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31"/>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(66.4)</w:t>
            </w:r>
          </w:p>
        </w:tc>
        <w:tc>
          <w:tcPr>
            <w:tcW w:w="10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(67.0)</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51764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Gross margin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sale of facility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Compared to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7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17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33.0</w:t>
            </w:r>
          </w:p>
        </w:tc>
        <w:tc>
          <w:tcPr>
            <w:tcW w:w="1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33.5</w:t>
            </w:r>
          </w:p>
        </w:tc>
      </w:tr>
      <w:tr>
        <w:trPr>
          <w:trHeight w:val="216"/>
        </w:trPr>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-445135</wp:posOffset>
            </wp:positionV>
            <wp:extent cx="65176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-162560</wp:posOffset>
            </wp:positionV>
            <wp:extent cx="651764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1086" w:lineRule="exact"/>
        <w:rPr>
          <w:sz w:val="20"/>
          <w:szCs w:val="20"/>
          <w:color w:val="auto"/>
        </w:rPr>
      </w:pPr>
    </w:p>
    <w:p>
      <w:pPr>
        <w:sectPr>
          <w:pgSz w:w="11900" w:h="16838" w:orient="portrait"/>
          <w:cols w:equalWidth="0" w:num="2">
            <w:col w:w="4340" w:space="720"/>
            <w:col w:w="6360"/>
          </w:cols>
          <w:pgMar w:left="240" w:top="603" w:right="239" w:bottom="1440" w:gutter="0" w:footer="0" w:header="0"/>
          <w:type w:val="continuous"/>
        </w:sectPr>
      </w:pPr>
    </w:p>
    <w:p>
      <w:pPr>
        <w:spacing w:after="0" w:line="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Cohu’s consolidated net sales increased 4.6% from $269.7 million in 2015 to $282.1 million in 2016. Our consolidated net sales in 2016 are up from 2015 and reflect the improving business conditions in the semiconductor industry and demand for equipment for testing devices used in mobile, automotive and computing applications.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Gross margin consists of net sales less cost of sales. Cost of sales consists primarily of the materials, assembly and test labor and overhead from operations. Our gross margin can fluctuate due to a number of factors, including, but not limited to, the mix of products sold, product support costs, increase to inventory reserves or the sale of previously reserved inventory and utilization of manufacturing capacity. Our gross margin, as a percentage of net sales, increased to 33.6% in 2016 from 33.0% in 2015.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type w:val="continuous"/>
        </w:sectPr>
      </w:pPr>
    </w:p>
    <w:bookmarkStart w:id="22" w:name="page23"/>
    <w:bookmarkEnd w:id="22"/>
    <w:p>
      <w:pPr>
        <w:ind w:right="120"/>
        <w:spacing w:after="0" w:line="258" w:lineRule="auto"/>
        <w:rPr>
          <w:sz w:val="20"/>
          <w:szCs w:val="20"/>
          <w:color w:val="auto"/>
        </w:rPr>
      </w:pPr>
      <w:r>
        <w:rPr>
          <w:rFonts w:ascii="Times New Roman" w:cs="Times New Roman" w:eastAsia="Times New Roman" w:hAnsi="Times New Roman"/>
          <w:sz w:val="18"/>
          <w:szCs w:val="18"/>
          <w:color w:val="auto"/>
        </w:rPr>
        <w:t>We compute the majority of our excess and obsolete inventory reserve requirements using a one-year inventory usage forecast. During 2016 and 2015, we recorded net charges to cost of sales of approximately $1.1 million and $2.4 million, respectively, for excess and obsolete inventory. While we believe our reserves for excess and obsolete inventory and lower of cost or market concerns are adequate to cover known exposures at December 31, 2016, reductions in customer forecasts or continued modifications to products, as a result of our failure to meet specifications or other customer requirements, may result in additional charges to operations that could negatively impact our gross margin in future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(“R&amp;D Expense”)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2016 was $34.8 million, or 12.4% of net sales, increasing from $33.1 million, or 12.3% of net sales in 2015. New product development programs resulted in higher R&amp;D labor and material expense being incurred in 2016. These increased costs were partially offset by $1.6 million of development cost reimbursements received under a cost-sharing arrangement entered into with a customer in the first quarter of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 (“SG&amp;A Expense”)</w:t>
      </w:r>
    </w:p>
    <w:p>
      <w:pPr>
        <w:spacing w:after="0" w:line="2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SG&amp;A expense consists primarily of salaries and benefit costs of employees, commission expense for independent sales representatives, product promotion and costs of professional services. SG&amp;A expense as a percentage of net sales increased to 19.3% in 2016, from 19.0% in 2015, increasing from $51.2 million in 2015 to $54.3 million in 2016. Our SG&amp;A expense in 2016 was higher as a result of increased business volume, and during the year we incurred</w:t>
      </w:r>
    </w:p>
    <w:p>
      <w:pPr>
        <w:spacing w:after="0" w:line="2"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8"/>
          <w:szCs w:val="18"/>
          <w:color w:val="auto"/>
        </w:rPr>
        <w:t>$1.8 million of costs associated with our acquisition of Kita. SG&amp;A expense in 2016 also includes $0.6 million of expense related to a reduction of an indemnification receivable related to an uncertain tax position recorded in the Ismeca acquisition. In connection with this reduction we also booked a corresponding amount as a credit to our income tax provision and, as a result, the impact of this reduction on net income was zero. Employee share based compensation expense was $0.4 million higher in 2016, driven primarily by the number of employee stock options and restricted and performance share awards subject to vesting during the period and the corresponding valuation that was established on the date of grant. Costs incurred in connection with transitioning our manufacturing to Asia and employee severance were $1.4 million and $1.0 million in 2016 and 2015, respectively.</w:t>
      </w:r>
    </w:p>
    <w:p>
      <w:pPr>
        <w:spacing w:after="0" w:line="19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Over the last two years our SG&amp;A expense has benefitted from the strengthening of the U.S. Dollar, which resulted in the recognition of $2.6 million and $1.4 million in foreign currency transaction gains in 2016 and 2015,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Facility</w:t>
      </w:r>
    </w:p>
    <w:p>
      <w:pPr>
        <w:spacing w:after="0" w:line="22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 xml:space="preserve">On December 4, 2015, we completed the sale of our headquarters facility located in Poway, California for $34.1 million. After payment of commissions and other fees associated with the sale we realized net cash proceeds of $33.3 million, which resulted in a total gain of $18.5 million. We accounted for this transaction in accordance with ASC subtopic 840-40, </w:t>
      </w:r>
      <w:r>
        <w:rPr>
          <w:rFonts w:ascii="Times New Roman" w:cs="Times New Roman" w:eastAsia="Times New Roman" w:hAnsi="Times New Roman"/>
          <w:sz w:val="17"/>
          <w:szCs w:val="17"/>
          <w:i w:val="1"/>
          <w:iCs w:val="1"/>
          <w:color w:val="auto"/>
        </w:rPr>
        <w:t>Sale-leaseback transactions</w:t>
      </w:r>
      <w:r>
        <w:rPr>
          <w:rFonts w:ascii="Times New Roman" w:cs="Times New Roman" w:eastAsia="Times New Roman" w:hAnsi="Times New Roman"/>
          <w:sz w:val="17"/>
          <w:szCs w:val="17"/>
          <w:color w:val="auto"/>
        </w:rPr>
        <w:t>, and recognized a gain on the completion of the sale totaling $3.2 million. The portion of the gain not recognized at the time the sale was completed has been deferred and is being recognized on a straight-line basis over the 10-year term of the lease in line with the recognition of rental expense related to the lease. During 2016, we amortized $2.0 million of the deferred gain to income.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income tax provision expressed as a percentage of pre-tax income in 2016 and 2015 was 45.7% and 27.6%, respectively. The income tax provision for the years ended December 31, 2016 and December 26, 2015 differs from the U.S. federal statutory rate primarily due to releases from statute expirations, non-deductible transaction costs, tax credits, changes in the valuation allowance on our deferred tax assets, foreign income taxed at different rates and other factors.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3" w:name="page24"/>
    <w:bookmarkEnd w:id="23"/>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2016.</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our cumulative, three-year U.S. GAAP pretax loss from continuing operations of approximately $17.6 million at the end of 2016, and our U.S. loss in 2016, we were unable to conclude at December 31, 2016 that it was “more likely than not” that our U.S. DTAs would be realized. We will evaluate the realizability of our DTAs at the end of each quarterly reporting period in 2017 and, should circumstances change, it is possible the remaining valuation allowance, or a portion thereof, will be reversed in a future period.</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valuation allowance on our DTAs at December 31, 2016 and December 26, 2015 was approximately $44.7 million and $42.3 million, respectively. The remaining gross DTAs for which a valuation allowance was not recorded are realizable primarily through future reversals of existing taxable temporary differences. As the realization of DTAs is determined by tax jurisdiction, the deferred tax liabilities recorded as part of the 2008 acquisition of Rasco, a German corporation, and the fiscal 2013 acquisition of Ismeca, a Swiss Corporation, were not a source of taxable income in assessing the realization of our DTAs in the U.S.</w:t>
      </w:r>
    </w:p>
    <w:p>
      <w:pPr>
        <w:spacing w:after="0" w:line="1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a full reconciliation of our effective tax rate to the U.S. federal statutory rate and further explanation of our provision for income taxes, see Note 7, “Income Taxes”, included in Part IV, Item 15(a) of this Form 10-K,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Continuing Operations and Net Income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a result of the factors set forth above, our income from continuing operations was $3.3 million in 2016, compared to $5.8 million in 2015. Including the results of our discontinued operations, our net income in 2016 was $3.0 million as compared to $0.3 million in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Compared to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Cohu’s consolidated net sales decreased 14.8% from $316.6 million in 2014 to $269.7 million in 2015 as a result of decreased global demand for back-end semiconductor test and assembly equipment, consistent with the broader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gross margin, as a percentage of net sales, decreased to 33.0% in 2015 from 33.5% in 2014. During 2015 and 2014, we recorded net charges to cost of sales of approximately $2.4 million and $2.6 million, respectively, for excess and obsolete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Expense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R&amp;D expense in 2015 was $33.1 million, or 12.3% of net sales, decreasing from $36.0 million, or 11.4% of net sales in 2014. The reduction in 2015 was a result of the completion of certain development programs, as planned, and headcount reductions.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SG&amp;A expense as a percentage of net sales increased to 19.0% in 2015, from 16.0% in 2014, increasing from $50.6 million in 2014 to $51.2 million in 2015. We have benefitted from the strengthening of the U.S. Dollar, which resulted in the recognition of $1.4 million and $2.0 million in foreign currency gains in 2015 and 2014 respectively. We incurred $1.0 million and $1.4 million of costs in connection with transitioning our manufacturing to Asia and employee severance, in 2015 and 2014, respectively. In 2015 we recognized an additional $1.1 million of employee share based compensation expense. This amount was driven primarily by the number of employee stock options and restricted and performance share awards subject to vesting during the period and the corresponding valuation that was established on the date of grant.</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Facility</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On December 4, 2015, we completed the sale of our headquarters facility located in Poway, California for $34.1 million. After payment of commissions and other fees associated with the sale we realized net cash proceeds of $33.3 million, which resulted in a total gain of $18.5 million. We accounted for this transaction in accordance with ASC subtopic 840-40, </w:t>
      </w:r>
      <w:r>
        <w:rPr>
          <w:rFonts w:ascii="Times New Roman" w:cs="Times New Roman" w:eastAsia="Times New Roman" w:hAnsi="Times New Roman"/>
          <w:sz w:val="18"/>
          <w:szCs w:val="18"/>
          <w:i w:val="1"/>
          <w:iCs w:val="1"/>
          <w:color w:val="auto"/>
        </w:rPr>
        <w:t>Sale-leaseback transactions</w:t>
      </w:r>
      <w:r>
        <w:rPr>
          <w:rFonts w:ascii="Times New Roman" w:cs="Times New Roman" w:eastAsia="Times New Roman" w:hAnsi="Times New Roman"/>
          <w:sz w:val="18"/>
          <w:szCs w:val="18"/>
          <w:color w:val="auto"/>
        </w:rPr>
        <w:t>, and recognized a gain on the completion of the sale totaling $3.2 million. The portion of the gain not recognized at the time the sale was completed has been deferred and is being recognized on a straight-line basis over the 10-year term of the lease in line with the recognition of rental expense related to the 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income tax provision expressed as a percentage of pre-tax income in 2015 and 2014 was 27.6% and 23.9%, respectively. The income tax provision for the years ended December 26, 2015 and December 27, 2014 differs from the U.S. federal statutory rate primarily due to tax credits, changes in the valuation allowance on our deferred tax assets, foreign income taxed at different rates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Continuing Operations and Net Income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 result of the factors set forth above, our income from continuing operations was $5.8 million in 2015, compared to $14.8 million in 2014. Including the results of our discontinued operations, our net income in 2015 was $0.3 million as compared to $8.7 million in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business is dependent on capital expenditures by semiconductor manufacturers and test subcontractors that are, in turn, dependent on the current and anticipated market demand for semiconductors. The seasonal and volatile nature of demand for semiconductor equipment, our primary industry, makes estimates of future revenues, results of operations and net cash flows difficult.</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our operations and we manage our business to maximize operating cash flows as our primary source of liquidity. We use cash to fund growth in our operating assets and to fund new products and product enhancements primarily through research and development. 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on terms favorable to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following summarizes our cash, cash equivalents, short-term investments and working capital at December 31, 2016 and December 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2015:</w:t>
      </w: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44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Increase</w:t>
            </w: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128,035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117,022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11,013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176,460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171,272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5,188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2016, $68.9 million of our cash and cash equivalents was held by our foreign subsidiaries. If these funds are needed for our operations in the U.S., we may be required to accrue and pay U.S. taxes or foreign withholding taxes if we repatriate these funds. U.S. income taxes have not been provided on approximately $49 million of accumulated undistributed earnings of certain foreign subsidiaries, as we currently intend to indefinitely reinvest these earnings in operations outside the U.S. We repatriated $17.4 million from our Singapore subsidiary in 2016 due to the reduction in business activity of that operation. Our intent is to continue to indefinitely reinvest the remaining funds in our foreign operations and we have no current plans that would require us to repatriate these funds to the U.S. It is not practicable to estimate the amount of tax that might be payable if some or all of such earnings were to be remitted.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Activities: </w:t>
      </w:r>
      <w:r>
        <w:rPr>
          <w:rFonts w:ascii="Times New Roman" w:cs="Times New Roman" w:eastAsia="Times New Roman" w:hAnsi="Times New Roman"/>
          <w:sz w:val="17"/>
          <w:szCs w:val="17"/>
          <w:color w:val="auto"/>
        </w:rPr>
        <w:t>Cash provided by operating activities consists of net income adjusted for non-cash expenses and changes in operating assets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liabilities. Adjustments include the loss from our divestiture of BMS, depreciation expense on property, plant and equipment, amortization of intangible assets, share-based compensation expense, and deferred income taxes. Our net cash flows provided by operating activities in 2016 totaled $24.5 million compared to $21.5 million in 2015. Cash provided by operating activities also was impacted by changes in current assets and liabilities which included increases in accounts receivable of $4.6 million, accounts payable of $5.7 million and deferred profit of $3.3 million and decreases in inventories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$4.6 million and income taxes payable of $2.0 million. The increase in accounts receivable resulted from increased business volume and a sequential increase in product shipments in the fourth quarter of 2016. The increase in accounts payable resulted from increased business volume in the fourth quarter of 2016 and the timing of payments made to our suppliers. Deferred profit increased as a result of the deferral of revenue related to equipment shipments in accordance with our revenue recognition policy. Inventories decreased as a result of product shipments and improved inventory and supply chain management and income taxes payable decreased as a result of payments made.</w:t>
      </w:r>
    </w:p>
    <w:p>
      <w:pPr>
        <w:spacing w:after="0" w:line="1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Investing cash flows consist primarily of cash used for capital expenditures in support of our business, purchases of investments,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from investment maturities, business acquisitions, asset disposals and business divestitures. Our net cash used in investing activities in 2016 totaled $32.9 million and was primarily the result of $50.6 million in cash used for purchases of short-term investments offset by $20.2 million in net proceeds from sales and maturities of short-term investments. We invest our excess cash, in an attempt to seek the highest available return while preserving capital, in short-term investments since excess cash may be required for a business-related purpose. Additions to property, plant and equipment in 2016 were $3.5 million and were made to support our operating and development activities.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Cash used in financing activities consisted of amounts distributed to our stockholders in the form of cash dividends. During 2016,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dividends totaling $6.4 million, or $0.24 per common share. On February 16, 2017 we announced a cash dividend of $0.06 per share on our common stock, payable on April 14, 2017 to stockholders of record as of February 28, 2017. We intend to continue to pay quarterly dividends subject to capital availability and periodic determinations by our Board of Directors that cash dividends are in the best interests of our stockholders. Partially offsetting cash used in the payment of dividends were the net proceeds from the issuance of our common stock under our equity incentive and employee stock purchase plans, which totaled $0.4 million during 2016. We issue stock options and maintain an employee stock purchase plan as components of our overall employee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standby letters of credit. As of December 31, 2016, no amounts were outstanding under standby letters of credit. Our wholly owned subsidiary Ismeca Semiconductor Holdings SA (“Ismeca”) has agreements with Credit Suisse and UBS (the “Ismeca Facility”) under which they administer lines of credit on behalf of Ismeca. Total borrowings available under the Ismeca Facility are 2.5 million Swiss Francs and at December 31, 2016 no amounts were outstanding.</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at December 31, 2016, and the effect such obligations are expected to have on our liquidity and cash flows in future periods. This table excludes amounts already recorded on our balance sheet as current liabilities at December 31, 2016. Amounts excluded include our liability for unrecognized tax benefits that totaled approximately $10.1 million at December 31, 2016. We are currently unable to provide a reasonably reliable estimate of the amount or period(s) the cash settlement of this liability may occur.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Thereafter</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Non-cancelable</w:t>
            </w: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2,259</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21,068</w:t>
            </w:r>
          </w:p>
        </w:tc>
      </w:tr>
    </w:tbl>
    <w:p>
      <w:pPr>
        <w:spacing w:after="0" w:line="17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10, “Guarantees” in Part IV, Item 15(a) of this Form 10-K.</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6" w:name="page27"/>
    <w:bookmarkEnd w:id="26"/>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to contract manufacturers and suppliers. </w:t>
      </w:r>
      <w:r>
        <w:rPr>
          <w:rFonts w:ascii="Times New Roman" w:cs="Times New Roman" w:eastAsia="Times New Roman" w:hAnsi="Times New Roman"/>
          <w:sz w:val="18"/>
          <w:szCs w:val="18"/>
          <w:color w:val="auto"/>
        </w:rPr>
        <w:t>From time to time, we enter into commitments with our vendors and outsourcing partners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During the ordinary course of business, we provide standby letters of credit instruments to certain parties as required.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December 31, 2016, no amounts were outstanding under standby letters of credit.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Interest Rate Risk.</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At December 31, 2016, our investment portfolio included short-term, fixed-income investment securities with a fair value of approximately $32.0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31, 2016, we had $26.6 million investments with loss positions. We evaluated the nature of these investments, credit worthiness of the issuer and the duration of these impairments and concluded that these losses were temporary and we have the ability and intent to hold these investments to maturity.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3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with the acquisition of Kita, the Japanese Yen. These fluctuations can impact our reported earnings.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 accounts are translated at an average exchange rate during the year which approximates the rates in effect at the transaction dates. The resulting translation adjustments are recorded in stockholders’ equity as a component of accumulated other comprehensive income. As a result of fluctuations in certain foreign currency exchange rates in relation to the U.S. Dollar as of December 31, 2016 compared to December 26, 2015, our stockholders’ equity decreased by $5.8 million as a result of the foreign currency translation.</w:t>
      </w:r>
    </w:p>
    <w:p>
      <w:pPr>
        <w:spacing w:after="0" w:line="18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Based upon the current levels of net foreign assets, a hypothetical 10% devaluation of the U.S. dollar as compared to these currencies as of December 31, 2016 would result in an approximate $16.2 million positive translation adjustment recorded in other comprehensive income within stockholders’ equity. Conversely, a hypothetical 10% appreciation of the U.S. dollar as compared to these currencies as of December 31, 2016 would result in an approximate $16.2 million negative translation adjustment recorded in other comprehensive income within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included in Part IV, Item 15(a).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Conclusion Regarding the Effectiveness of Disclosure Controls and Procedures - </w:t>
      </w:r>
      <w:r>
        <w:rPr>
          <w:rFonts w:ascii="Times New Roman" w:cs="Times New Roman" w:eastAsia="Times New Roman" w:hAnsi="Times New Roman"/>
          <w:sz w:val="18"/>
          <w:szCs w:val="18"/>
          <w:color w:val="auto"/>
        </w:rPr>
        <w:t>Under the supervision and with the participation of our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31, 2016, the end of the period covered by this annual report.</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Management’s Annual Report on Internal Control Over Financial Reporting - </w:t>
      </w:r>
      <w:r>
        <w:rPr>
          <w:rFonts w:ascii="Times New Roman" w:cs="Times New Roman" w:eastAsia="Times New Roman" w:hAnsi="Times New Roman"/>
          <w:sz w:val="18"/>
          <w:szCs w:val="18"/>
          <w:color w:val="auto"/>
        </w:rPr>
        <w:t>Our management is responsible for establishing and maintaining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our evaluation under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December 31, 2016.</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31, 2016, as stated in their report which is included herein.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audited Cohu, Inc.’s internal control over financial reporting as of December 31, 2016, based on criteria established in Internal Control—Integrated Framework issued by the Committee of Sponsoring Organizations of the Treadway Commission (2013 framework) (the COSO criteria). Cohu,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our opinion, Cohu, Inc. maintained, in all material respects, effective internal control over financial reporting as of December 31, 2016, based on the COSO criteria.</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Cohu, Inc. as of December 31, 2016 and December 26, 2015, and the related consolidated statements of income, comprehensive loss, stockholders’ equity, and cash flows for each of the three years in the period ended December 31, 2016 of Cohu, Inc. and our report dated March 2, 2017 expressed an unqualified opinion thereon.</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2017</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9" w:name="page30"/>
    <w:bookmarkEnd w:id="29"/>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 There have been no changes in our internal control over financial reporting that occurred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fourth quarter of 2016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the heading “Executive Officers of the Registrant” in Part I, Item 1 of this Form 10-K is incorporated by reference in this section. The other information required by this item is hereby incorporated by reference to the Company’s definitive proxy statement, which will be filed with the Securities and Exchange Commission ("SEC") within 120 days after the close of fiscal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Code of Ethics</w:t>
      </w:r>
    </w:p>
    <w:p>
      <w:pPr>
        <w:spacing w:after="0" w:line="31"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7"/>
          <w:szCs w:val="17"/>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 and Certain Committee Charters</w:t>
      </w:r>
    </w:p>
    <w:p>
      <w:pPr>
        <w:spacing w:after="0" w:line="3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on our website is not incorporated by reference in or considered to be a part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regarding Executive Compensation is hereby incorporated by reference to the Company’s definitive proxy statement, which will be filed with the SEC within 120 days after the close of fiscal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is hereby incorporated by reference to the Company’s definitive proxy statement, which will be filed with the SEC within 120 days after the close of fiscal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regarding the Principal Accounting Fees and Services is hereby incorporated by reference to the Company’s definitive proxy statement, which will be filed with the SEC within 120 days after the close of fiscal 2016.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30" w:name="page31"/>
    <w:bookmarkEnd w:id="3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or incorporated by reference into, this Annual Report on Form 10-K.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660" w:firstLine="324"/>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Cohu, Inc., including the report thereon of Ernst &amp; Young LLP, are included in this Annual Report on Form 10-K beginning on page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Form 10-K</w:t>
            </w:r>
          </w:p>
        </w:tc>
        <w:tc>
          <w:tcPr>
            <w:tcW w:w="0" w:type="dxa"/>
            <w:vAlign w:val="bottom"/>
          </w:tcPr>
          <w:p>
            <w:pPr>
              <w:spacing w:after="0"/>
              <w:rPr>
                <w:sz w:val="1"/>
                <w:szCs w:val="1"/>
                <w:color w:val="auto"/>
              </w:rPr>
            </w:pPr>
          </w:p>
        </w:tc>
      </w:tr>
      <w:tr>
        <w:trPr>
          <w:trHeight w:val="194"/>
        </w:trPr>
        <w:tc>
          <w:tcPr>
            <w:tcW w:w="9860" w:type="dxa"/>
            <w:vAlign w:val="bottom"/>
            <w:gridSpan w:val="3"/>
          </w:tcPr>
          <w:p>
            <w:pPr>
              <w:ind w:left="640"/>
              <w:spacing w:after="0" w:line="194" w:lineRule="exact"/>
              <w:rPr>
                <w:sz w:val="20"/>
                <w:szCs w:val="20"/>
                <w:color w:val="auto"/>
              </w:rPr>
            </w:pPr>
            <w:r>
              <w:rPr>
                <w:rFonts w:ascii="Times New Roman" w:cs="Times New Roman" w:eastAsia="Times New Roman" w:hAnsi="Times New Roman"/>
                <w:sz w:val="18"/>
                <w:szCs w:val="18"/>
                <w:color w:val="auto"/>
              </w:rPr>
              <w:t>Description</w:t>
            </w:r>
          </w:p>
        </w:tc>
        <w:tc>
          <w:tcPr>
            <w:tcW w:w="104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rPr>
              <w:t>Page Number</w:t>
            </w:r>
          </w:p>
        </w:tc>
        <w:tc>
          <w:tcPr>
            <w:tcW w:w="0" w:type="dxa"/>
            <w:vAlign w:val="bottom"/>
          </w:tcPr>
          <w:p>
            <w:pPr>
              <w:spacing w:after="0"/>
              <w:rPr>
                <w:sz w:val="1"/>
                <w:szCs w:val="1"/>
                <w:color w:val="auto"/>
              </w:rPr>
            </w:pPr>
          </w:p>
        </w:tc>
      </w:tr>
      <w:tr>
        <w:trPr>
          <w:trHeight w:val="237"/>
        </w:trPr>
        <w:tc>
          <w:tcPr>
            <w:tcW w:w="640" w:type="dxa"/>
            <w:vAlign w:val="bottom"/>
            <w:vMerge w:val="restart"/>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3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at December 31, 2016 and December 26, 2015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Income for each of the three years in the period ended December 31, 2016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Comprehensive Loss for each of the three years in the period ended December 31, 2016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for each of the three years in the period ended December 31, 2016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each of the three years in the period ended December 31, 2016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  Financial Statement Schedule</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vMerge w:val="restart"/>
          </w:tcPr>
          <w:p>
            <w:pPr>
              <w:spacing w:after="0"/>
              <w:rPr>
                <w:sz w:val="23"/>
                <w:szCs w:val="23"/>
                <w:color w:val="auto"/>
              </w:rPr>
            </w:pPr>
          </w:p>
        </w:tc>
        <w:tc>
          <w:tcPr>
            <w:tcW w:w="840" w:type="dxa"/>
            <w:vAlign w:val="bottom"/>
          </w:tcPr>
          <w:p>
            <w:pPr>
              <w:spacing w:after="0"/>
              <w:rPr>
                <w:sz w:val="23"/>
                <w:szCs w:val="23"/>
                <w:color w:val="auto"/>
              </w:rPr>
            </w:pPr>
          </w:p>
        </w:tc>
        <w:tc>
          <w:tcPr>
            <w:tcW w:w="8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340" w:firstLine="414"/>
        <w:spacing w:after="0" w:line="266" w:lineRule="auto"/>
        <w:rPr>
          <w:sz w:val="20"/>
          <w:szCs w:val="20"/>
          <w:color w:val="auto"/>
        </w:rPr>
      </w:pPr>
      <w:r>
        <w:rPr>
          <w:rFonts w:ascii="Times New Roman" w:cs="Times New Roman" w:eastAsia="Times New Roman" w:hAnsi="Times New Roman"/>
          <w:sz w:val="18"/>
          <w:szCs w:val="18"/>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exhibits listed under Item 15(b) hereof are filed with, or incorporated by reference into, this Annual Report on Form 10-K.</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30" w:right="319" w:bottom="1440" w:gutter="0" w:footer="0" w:header="0"/>
        </w:sectPr>
      </w:pPr>
    </w:p>
    <w:bookmarkStart w:id="31" w:name="page32"/>
    <w:bookmarkEnd w:id="31"/>
    <w:p>
      <w:pPr>
        <w:ind w:left="18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96,045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234,463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345,512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345,346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profit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68,689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gain on sale of facility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income tax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$1 par value; 1,000 shares authorized, none issued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$1 par value; 60,000 shares authorized, 26,842 shares issued and outstanding in 2016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26,240 shares in 2015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111,950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235,469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238,137</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345,512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345,346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0"/>
        </w:trPr>
        <w:tc>
          <w:tcPr>
            <w:tcW w:w="796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9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Years ended</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40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December 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December 27,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316,629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180,616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51,170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sale of facility</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276,419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297,226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income (loss) per share: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26,057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27,480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26,788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26,006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2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33" w:name="page34"/>
    <w:bookmarkEnd w:id="33"/>
    <w:p>
      <w:pPr>
        <w:ind w:left="18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-19050</wp:posOffset>
            </wp:positionV>
            <wp:extent cx="285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Years ended</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50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6"/>
                <w:szCs w:val="16"/>
                <w:color w:val="auto"/>
              </w:rPr>
            </w:pPr>
          </w:p>
        </w:tc>
        <w:tc>
          <w:tcPr>
            <w:tcW w:w="1520" w:type="dxa"/>
            <w:vAlign w:val="bottom"/>
            <w:gridSpan w:val="2"/>
          </w:tcPr>
          <w:p>
            <w:pPr>
              <w:jc w:val="right"/>
              <w:ind w:right="440"/>
              <w:spacing w:after="0" w:line="191" w:lineRule="exact"/>
              <w:rPr>
                <w:sz w:val="20"/>
                <w:szCs w:val="20"/>
                <w:color w:val="auto"/>
              </w:rPr>
            </w:pPr>
            <w:r>
              <w:rPr>
                <w:rFonts w:ascii="Times New Roman" w:cs="Times New Roman" w:eastAsia="Times New Roman" w:hAnsi="Times New Roman"/>
                <w:sz w:val="18"/>
                <w:szCs w:val="18"/>
                <w:color w:val="auto"/>
              </w:rPr>
              <w:t>December 26,</w:t>
            </w:r>
          </w:p>
        </w:tc>
        <w:tc>
          <w:tcPr>
            <w:tcW w:w="160" w:type="dxa"/>
            <w:vAlign w:val="bottom"/>
          </w:tcPr>
          <w:p>
            <w:pPr>
              <w:spacing w:after="0"/>
              <w:rPr>
                <w:sz w:val="16"/>
                <w:szCs w:val="16"/>
                <w:color w:val="auto"/>
              </w:rPr>
            </w:pPr>
          </w:p>
        </w:tc>
        <w:tc>
          <w:tcPr>
            <w:tcW w:w="132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December 27,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(5,789)</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(6,110)</w:t>
            </w:r>
          </w:p>
        </w:tc>
        <w:tc>
          <w:tcPr>
            <w:tcW w:w="1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(11,058)</w:t>
            </w: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54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3" w:right="199" w:bottom="1440" w:gutter="0" w:footer="0" w:header="0"/>
        </w:sectPr>
      </w:pPr>
    </w:p>
    <w:bookmarkStart w:id="34" w:name="page35"/>
    <w:bookmarkEnd w:id="34"/>
    <w:p>
      <w:pPr>
        <w:ind w:left="18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 thousands, except par value and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Accumulated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Common</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stock</w:t>
            </w:r>
          </w:p>
        </w:tc>
        <w:tc>
          <w:tcPr>
            <w:tcW w:w="24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Paid-in</w:t>
            </w:r>
          </w:p>
        </w:tc>
        <w:tc>
          <w:tcPr>
            <w:tcW w:w="20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Retained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comprehensive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 par value</w:t>
            </w:r>
          </w:p>
        </w:tc>
        <w:tc>
          <w:tcPr>
            <w:tcW w:w="2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28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28, 2013</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89,883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253,160</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(14,107)</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related to postretirement benefits, net of 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(3,258)</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 $0.24 per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(6,102)</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restricted stock units vested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6,776</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20" w:type="dxa"/>
            <w:vAlign w:val="bottom"/>
          </w:tcPr>
          <w:p>
            <w:pPr>
              <w:spacing w:after="0"/>
              <w:rPr>
                <w:sz w:val="18"/>
                <w:szCs w:val="18"/>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27, 2014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97,938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134,152</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247,068</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(11,000)</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related to postretirement benefits, net of tax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 $0.24 per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(6,249)</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restricted stock units vested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(1,377)</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6,893</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20" w:type="dxa"/>
            <w:vAlign w:val="bottom"/>
          </w:tcPr>
          <w:p>
            <w:pPr>
              <w:spacing w:after="0"/>
              <w:rPr>
                <w:sz w:val="18"/>
                <w:szCs w:val="18"/>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26, 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105,516</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238,137</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Cumulative effect of accounting change </w:t>
            </w:r>
            <w:r>
              <w:rPr>
                <w:rFonts w:ascii="Times New Roman" w:cs="Times New Roman" w:eastAsia="Times New Roman" w:hAnsi="Times New Roman"/>
                <w:sz w:val="25"/>
                <w:szCs w:val="25"/>
                <w:color w:val="auto"/>
                <w:vertAlign w:val="superscript"/>
              </w:rPr>
              <w: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(5,789)</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related to postretirement benefits, net of tax</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r>
      <w:tr>
        <w:trPr>
          <w:trHeight w:val="198"/>
        </w:trPr>
        <w:tc>
          <w:tcPr>
            <w:tcW w:w="4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Changes in unrealized gains and losses on investments, net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 $0.24 per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(6,384)</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restricted stock units vested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(2,221)</w:t>
            </w: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7,143</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Pr>
          <w:p>
            <w:pPr>
              <w:spacing w:after="0"/>
              <w:rPr>
                <w:sz w:val="18"/>
                <w:szCs w:val="18"/>
                <w:color w:val="auto"/>
              </w:rPr>
            </w:pPr>
          </w:p>
        </w:tc>
      </w:tr>
      <w:tr>
        <w:trPr>
          <w:trHeight w:val="29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111,950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235,469</w:t>
            </w:r>
          </w:p>
        </w:tc>
        <w:tc>
          <w:tcPr>
            <w:tcW w:w="120" w:type="dxa"/>
            <w:vAlign w:val="bottom"/>
            <w:tcBorders>
              <w:bottom w:val="single" w:sz="8" w:color="CCEEFF"/>
            </w:tcBorders>
            <w:shd w:val="clear" w:color="auto" w:fill="CCEEFF"/>
          </w:tcPr>
          <w:p>
            <w:pPr>
              <w:spacing w:after="0"/>
              <w:rPr>
                <w:sz w:val="24"/>
                <w:szCs w:val="24"/>
                <w:color w:val="auto"/>
              </w:rPr>
            </w:pPr>
          </w:p>
        </w:tc>
      </w:tr>
    </w:tbl>
    <w:p>
      <w:pPr>
        <w:spacing w:after="0" w:line="252" w:lineRule="exact"/>
        <w:rPr>
          <w:sz w:val="20"/>
          <w:szCs w:val="20"/>
          <w:color w:val="auto"/>
        </w:rPr>
      </w:pPr>
    </w:p>
    <w:p>
      <w:pPr>
        <w:ind w:left="440" w:right="300" w:hanging="248"/>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effect of accounting change relates to our adoption of ASU 2016-09. Please refer to Note 1 of the Consolidated Financial Statements for further detail on the adoption of this accounting standard.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5" w:name="page36"/>
    <w:bookmarkEnd w:id="35"/>
    <w:p>
      <w:pPr>
        <w:ind w:left="18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Years ended</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40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December 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December 27,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disposal of microwave equipment segment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sale of facility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disposal of video camera segment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cash flows of discontinued operations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retiree benefits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disposal and impairment of fixed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Changes in current assets and liabilities, excluding effects from acquisitions and</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divestitures:</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compensation, warranty and other liabilities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profit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flows from investing activities, excluding effects from acquisitions and</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divestitures: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maturities of short-term investments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received from sale of facility and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received from disposition of microwave equipment segment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cash received from sale of video camera segment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cash flows of discontinued operations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dividends paid</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cash provided by (used in) issuance of common stock through employee equity</w:t>
            </w:r>
          </w:p>
        </w:tc>
        <w:tc>
          <w:tcPr>
            <w:tcW w:w="18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incentive plans</w:t>
            </w:r>
          </w:p>
        </w:tc>
        <w:tc>
          <w:tcPr>
            <w:tcW w:w="180" w:type="dxa"/>
            <w:vAlign w:val="bottom"/>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70,885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96,045</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115,370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(refunded) during the year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capitalized as capital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declared but not yet paid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Capitalized facility under build-to-suit lease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64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3" w:right="1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340" w:right="1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Cohu, Inc. (“Cohu”, “we”, “our” and “us”), through our wholly owned subsidiaries, is a provider of semiconductor 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Our Consolidated Financial Statements include the accounts of Cohu and our wholly owned subsidiaries. All intercompany balances and transactions have been eliminated in consolidation. 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183" w:lineRule="exact"/>
        <w:rPr>
          <w:rFonts w:ascii="Times New Roman" w:cs="Times New Roman" w:eastAsia="Times New Roman" w:hAnsi="Times New Roman"/>
          <w:sz w:val="18"/>
          <w:szCs w:val="18"/>
          <w:b w:val="1"/>
          <w:bCs w:val="1"/>
          <w:color w:val="auto"/>
        </w:rPr>
      </w:pPr>
    </w:p>
    <w:p>
      <w:pPr>
        <w:ind w:left="34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fiscal years are based on a 52- or 53-week period ending on the last Saturday in December. Our current fiscal year which ended on December 31, 2016 consisted of 53 weeks. Our fiscal years ending on December 26, 2015 and December 27, 2014 each consisted of 52 weeks.</w:t>
      </w:r>
    </w:p>
    <w:p>
      <w:pPr>
        <w:spacing w:after="0" w:line="157" w:lineRule="exact"/>
        <w:rPr>
          <w:rFonts w:ascii="Times New Roman" w:cs="Times New Roman" w:eastAsia="Times New Roman" w:hAnsi="Times New Roman"/>
          <w:sz w:val="18"/>
          <w:szCs w:val="18"/>
          <w:b w:val="1"/>
          <w:bCs w:val="1"/>
          <w:color w:val="auto"/>
        </w:rPr>
      </w:pPr>
    </w:p>
    <w:p>
      <w:pPr>
        <w:ind w:left="3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Discontinued Operations </w:t>
      </w:r>
      <w:r>
        <w:rPr>
          <w:rFonts w:ascii="Times New Roman" w:cs="Times New Roman" w:eastAsia="Times New Roman" w:hAnsi="Times New Roman"/>
          <w:sz w:val="18"/>
          <w:szCs w:val="18"/>
          <w:color w:val="auto"/>
        </w:rPr>
        <w:t>– On June 10, 2015, we sold our mobile microwave communications equipment business, Broadcast Microwave Services,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(“BMS”) and on June 6, 2014, we completed the sale of our video camera business, Cohu Electronics. The operating results of BMS and Cohu Electronics are being presented as discontinued operations and all prior period amounts have been reclassified accordingly. See Note 4, “Discontinued Operations” for additional information. Unless otherwise indicated, all amounts herein relate to continuing operations.</w:t>
      </w:r>
    </w:p>
    <w:p>
      <w:pPr>
        <w:spacing w:after="0" w:line="176" w:lineRule="exact"/>
        <w:rPr>
          <w:rFonts w:ascii="Times New Roman" w:cs="Times New Roman" w:eastAsia="Times New Roman" w:hAnsi="Times New Roman"/>
          <w:sz w:val="18"/>
          <w:szCs w:val="18"/>
          <w:b w:val="1"/>
          <w:bCs w:val="1"/>
          <w:color w:val="auto"/>
        </w:rPr>
      </w:pPr>
    </w:p>
    <w:p>
      <w:pPr>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(Loss) Per Share </w:t>
      </w:r>
      <w:r>
        <w:rPr>
          <w:rFonts w:ascii="Times New Roman" w:cs="Times New Roman" w:eastAsia="Times New Roman" w:hAnsi="Times New Roman"/>
          <w:sz w:val="18"/>
          <w:szCs w:val="18"/>
          <w:color w:val="auto"/>
        </w:rPr>
        <w:t>– Basic income (loss) per common share is computed by dividing net income (loss) by the weighted-average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outstanding during the reporting period. Diluted income per share includes the dilutive effect of common shares potentially issuable upon the exercise of stock options, vesting of outstanding restricted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stock options with exercise prices that exceed the average fair market value of our common stock for the period are excluded. For the years ended December 31, 2016, December 26, 2015 and December 27, 2014 approximately 697,000, 875,000 and 1,771,000 shares of our common stock were excluded from the computation, respectively.</w:t>
      </w:r>
    </w:p>
    <w:p>
      <w:pPr>
        <w:spacing w:after="0" w:line="18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reconciles the denominators used in computing basic and diluted income (loss) per share:</w:t>
      </w:r>
    </w:p>
    <w:p>
      <w:pPr>
        <w:spacing w:after="0" w:line="277"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26,659</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26,057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731</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r>
      <w:tr>
        <w:trPr>
          <w:trHeight w:val="250"/>
        </w:trPr>
        <w:tc>
          <w:tcPr>
            <w:tcW w:w="5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27,480</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340" w:right="140"/>
        <w:spacing w:after="0" w:line="261" w:lineRule="auto"/>
        <w:rPr>
          <w:sz w:val="20"/>
          <w:szCs w:val="20"/>
          <w:color w:val="auto"/>
        </w:rPr>
      </w:pPr>
      <w:r>
        <w:rPr>
          <w:rFonts w:ascii="Times New Roman" w:cs="Times New Roman" w:eastAsia="Times New Roman" w:hAnsi="Times New Roman"/>
          <w:sz w:val="18"/>
          <w:szCs w:val="18"/>
          <w:color w:val="auto"/>
        </w:rPr>
        <w:t>Cohu has utilized the “control number” concept in the computation of diluted earnings per share to determine whether potential common stock instruments are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176"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Short-term Investments </w:t>
      </w:r>
      <w:r>
        <w:rPr>
          <w:rFonts w:ascii="Times New Roman" w:cs="Times New Roman" w:eastAsia="Times New Roman" w:hAnsi="Times New Roman"/>
          <w:sz w:val="18"/>
          <w:szCs w:val="18"/>
          <w:color w:val="auto"/>
        </w:rPr>
        <w:t>– Highly liquid investments with insignificant interest rate risk and original maturities of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or less are classified as cash and cash equivalents. Investments with maturities greater than three months are classified as short-term investments. All of our short-term investments are classified as available-for-sale and are reported at fair value, with any unrealized gains and losses, net of tax, recorded in the statement of comprehensive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have been classified as current assets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The carrying amounts of our financial instruments, including cash and cash equivalents, accounts receivable,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payable and accrued expenses, approximate fair value due to the short maturities of these financial instruments.</w:t>
      </w:r>
    </w:p>
    <w:p>
      <w:pPr>
        <w:spacing w:after="0" w:line="155" w:lineRule="exact"/>
        <w:rPr>
          <w:sz w:val="20"/>
          <w:szCs w:val="20"/>
          <w:color w:val="auto"/>
        </w:rPr>
      </w:pPr>
    </w:p>
    <w:p>
      <w:pPr>
        <w:jc w:val="both"/>
        <w:ind w:left="340"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75" w:lineRule="exact"/>
        <w:rPr>
          <w:sz w:val="20"/>
          <w:szCs w:val="20"/>
          <w:color w:val="auto"/>
        </w:rPr>
      </w:pPr>
    </w:p>
    <w:p>
      <w:pPr>
        <w:ind w:left="340" w:right="60"/>
        <w:spacing w:after="0" w:line="281" w:lineRule="auto"/>
        <w:rPr>
          <w:sz w:val="20"/>
          <w:szCs w:val="20"/>
          <w:color w:val="auto"/>
        </w:rPr>
      </w:pPr>
      <w:r>
        <w:rPr>
          <w:rFonts w:ascii="Times New Roman" w:cs="Times New Roman" w:eastAsia="Times New Roman" w:hAnsi="Times New Roman"/>
          <w:sz w:val="17"/>
          <w:szCs w:val="17"/>
          <w:color w:val="auto"/>
        </w:rPr>
        <w:t>Trade accounts receivable are presented net of allowance for doubtful accounts of $0.1 million at December 31, 2016 and $0.1 million at December 26, 2015. Our customers primarily include semiconductor manufacturers and semiconductor test subcontractors located throughout many areas of the world. While we believe that our allowance for doubtful accounts is adequate and represents our best estimate of potential loss exposure at December 31, 2016, we will continue to monitor customer liquidity and other economic conditions, which may result in changes to our estimates regarding collectability.</w:t>
      </w:r>
    </w:p>
    <w:p>
      <w:pPr>
        <w:spacing w:after="0" w:line="161" w:lineRule="exact"/>
        <w:rPr>
          <w:sz w:val="20"/>
          <w:szCs w:val="20"/>
          <w:color w:val="auto"/>
        </w:rPr>
      </w:pPr>
    </w:p>
    <w:p>
      <w:pPr>
        <w:ind w:left="3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are stated at the lower of cost, determined on a first-in, first-out basis, or market. Cost includes labor, material and overhead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market values are below our costs. Charges to cost of sales for excess and obsolete inventories aggregated $1.1 million, $2.4 million, and $2.6 million in 2016, 2015 and 2014, respectively.</w:t>
      </w:r>
    </w:p>
    <w:p>
      <w:pPr>
        <w:spacing w:after="0" w:line="180" w:lineRule="exact"/>
        <w:rPr>
          <w:sz w:val="20"/>
          <w:szCs w:val="20"/>
          <w:color w:val="auto"/>
        </w:rPr>
      </w:pPr>
    </w:p>
    <w:p>
      <w:pPr>
        <w:jc w:val="both"/>
        <w:ind w:left="340"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 Depreciation and amortization of property, plant and equipment is calculated principally on the straight-line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estimated useful lives of thirty to forty years for buildings, five to fifteen years for building improvements and three to ten years for machinery, equipment and software. Land is not depreciated.</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Property, plant and equipment, at cost,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26,</w:t>
            </w:r>
          </w:p>
        </w:tc>
      </w:tr>
      <w:tr>
        <w:trPr>
          <w:trHeight w:val="234"/>
        </w:trPr>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8,971</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35,157</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31,888</w:t>
            </w:r>
          </w:p>
        </w:tc>
      </w:tr>
      <w:tr>
        <w:trPr>
          <w:trHeight w:val="20"/>
        </w:trPr>
        <w:tc>
          <w:tcPr>
            <w:tcW w:w="57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45,466</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(28,969)</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(26,466)</w:t>
            </w:r>
          </w:p>
        </w:tc>
      </w:tr>
      <w:tr>
        <w:trPr>
          <w:trHeight w:val="20"/>
        </w:trPr>
        <w:tc>
          <w:tcPr>
            <w:tcW w:w="57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19,000</w:t>
            </w:r>
          </w:p>
        </w:tc>
      </w:tr>
      <w:tr>
        <w:trPr>
          <w:trHeight w:val="20"/>
        </w:trPr>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$3.5 million in 2016, $4.2 million in 2015 and $4.8 million 2014.</w:t>
      </w:r>
    </w:p>
    <w:p>
      <w:pPr>
        <w:spacing w:after="0" w:line="221"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We applied the provisions of ASC Topic 280,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(“ASC 280”), which sets forth a management approach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Based on the provisions of ASC 280, we have determined that our identified operating segments qualify for aggregation under ASC 280 due to similarities in their customers, their economic characteristics, and the nature of products and services provided. As a result, we report in one segment, semiconductor equipment.</w:t>
      </w:r>
    </w:p>
    <w:p>
      <w:pPr>
        <w:spacing w:after="0" w:line="183"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Goodwill, Purchased Intangible Assets and Other Long-lived Assets </w:t>
      </w:r>
      <w:r>
        <w:rPr>
          <w:rFonts w:ascii="Times New Roman" w:cs="Times New Roman" w:eastAsia="Times New Roman" w:hAnsi="Times New Roman"/>
          <w:sz w:val="18"/>
          <w:szCs w:val="18"/>
          <w:color w:val="auto"/>
        </w:rPr>
        <w:t>– We evaluate goodwill for impairment annually and when an event occurs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40"/>
        <w:spacing w:after="0" w:line="277" w:lineRule="auto"/>
        <w:rPr>
          <w:sz w:val="20"/>
          <w:szCs w:val="20"/>
          <w:color w:val="auto"/>
        </w:rPr>
      </w:pPr>
      <w:r>
        <w:rPr>
          <w:rFonts w:ascii="Times New Roman" w:cs="Times New Roman" w:eastAsia="Times New Roman" w:hAnsi="Times New Roman"/>
          <w:sz w:val="17"/>
          <w:szCs w:val="17"/>
          <w:color w:val="auto"/>
        </w:rPr>
        <w:t>We conduct our annual impairment test as of October 1st of each year, and determined there was no impairment as of October 1, 2016 as we determined that the estimated fair values of our reporting units exceeded their carrying values on that date. Other events and changes in circumstances may also require goodwill to be tested for impairment between annual measurement dates. As of December 31, 2016 we do not believe there have been any events or circumstances that would require us to perform an interim goodwill impairment review. In the event we determine that an interim goodwill impairment review is required, in a future period, the review may result in an impairment charge, which would have a negative impact on our results of operations.</w:t>
      </w:r>
    </w:p>
    <w:p>
      <w:pPr>
        <w:spacing w:after="0" w:line="168" w:lineRule="exact"/>
        <w:rPr>
          <w:sz w:val="20"/>
          <w:szCs w:val="20"/>
          <w:color w:val="auto"/>
        </w:rPr>
      </w:pPr>
    </w:p>
    <w:p>
      <w:pPr>
        <w:ind w:left="340" w:right="160"/>
        <w:spacing w:after="0" w:line="256" w:lineRule="auto"/>
        <w:rPr>
          <w:sz w:val="20"/>
          <w:szCs w:val="20"/>
          <w:color w:val="auto"/>
        </w:rPr>
      </w:pPr>
      <w:r>
        <w:rPr>
          <w:rFonts w:ascii="Times New Roman" w:cs="Times New Roman" w:eastAsia="Times New Roman" w:hAnsi="Times New Roman"/>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84" w:lineRule="exact"/>
        <w:rPr>
          <w:sz w:val="20"/>
          <w:szCs w:val="20"/>
          <w:color w:val="auto"/>
        </w:rPr>
      </w:pPr>
    </w:p>
    <w:p>
      <w:pPr>
        <w:ind w:left="340" w:right="2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Product Warranty </w:t>
      </w:r>
      <w:r>
        <w:rPr>
          <w:rFonts w:ascii="Times New Roman" w:cs="Times New Roman" w:eastAsia="Times New Roman" w:hAnsi="Times New Roman"/>
          <w:sz w:val="17"/>
          <w:szCs w:val="17"/>
          <w:color w:val="auto"/>
        </w:rPr>
        <w:t>– Product warranty costs are accrued in the period sales are recognized. Our products are generally sold with standard warranty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periods, 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164" w:lineRule="exact"/>
        <w:rPr>
          <w:sz w:val="20"/>
          <w:szCs w:val="20"/>
          <w:color w:val="auto"/>
        </w:rPr>
      </w:pPr>
    </w:p>
    <w:p>
      <w:pPr>
        <w:ind w:left="340"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We assess our income tax positions and record tax benefits for all years subject to examination based upon management’s evaluation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183"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Contingencies and Litigation </w:t>
      </w:r>
      <w:r>
        <w:rPr>
          <w:rFonts w:ascii="Times New Roman" w:cs="Times New Roman" w:eastAsia="Times New Roman" w:hAnsi="Times New Roman"/>
          <w:sz w:val="18"/>
          <w:szCs w:val="18"/>
          <w:color w:val="auto"/>
        </w:rPr>
        <w:t>– We assess the probability of adverse judgments in connection with current and threatened litigation. We would accrue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cost of an adverse judgment if, in our estimation, the adverse outcome is probable and we can reasonably estimate the ultimate cost.</w:t>
      </w:r>
    </w:p>
    <w:p>
      <w:pPr>
        <w:spacing w:after="0" w:line="155" w:lineRule="exact"/>
        <w:rPr>
          <w:sz w:val="20"/>
          <w:szCs w:val="20"/>
          <w:color w:val="auto"/>
        </w:rPr>
      </w:pPr>
    </w:p>
    <w:p>
      <w:pPr>
        <w:ind w:left="340"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Our net sales are derived from the sale of products and services and are adjusted for estimated returns and allowances,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historically have been insignificant. We recognize revenue 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184" w:lineRule="exact"/>
        <w:rPr>
          <w:sz w:val="20"/>
          <w:szCs w:val="20"/>
          <w:color w:val="auto"/>
        </w:rPr>
      </w:pPr>
    </w:p>
    <w:p>
      <w:pPr>
        <w:ind w:left="340" w:right="20"/>
        <w:spacing w:after="0" w:line="254" w:lineRule="auto"/>
        <w:rPr>
          <w:sz w:val="20"/>
          <w:szCs w:val="20"/>
          <w:color w:val="auto"/>
        </w:rPr>
      </w:pPr>
      <w:r>
        <w:rPr>
          <w:rFonts w:ascii="Times New Roman" w:cs="Times New Roman" w:eastAsia="Times New Roman" w:hAnsi="Times New Roman"/>
          <w:sz w:val="18"/>
          <w:szCs w:val="18"/>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up to 20%) of the equipment purchase price be paid only upon customer acceptance. In those situations, the majority portion (e.g. 80%) of revenue where the contingent payment is tied to shipment and the entire product cost of sale are recognized upon shipment and passage of title and the minority portion of the purchase price related to customer acceptance is deferred and recognized upon receipt of customer acceptance. 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ratably over the period of the related contract or upon completion of the services if they are short-term in nature. Spares and kit revenue is generally recognized upon shipment.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188" w:lineRule="exact"/>
        <w:rPr>
          <w:sz w:val="20"/>
          <w:szCs w:val="20"/>
          <w:color w:val="auto"/>
        </w:rPr>
      </w:pPr>
    </w:p>
    <w:p>
      <w:pPr>
        <w:ind w:left="340" w:right="440"/>
        <w:spacing w:after="0" w:line="272" w:lineRule="auto"/>
        <w:rPr>
          <w:sz w:val="20"/>
          <w:szCs w:val="20"/>
          <w:color w:val="auto"/>
        </w:rPr>
      </w:pPr>
      <w:r>
        <w:rPr>
          <w:rFonts w:ascii="Times New Roman" w:cs="Times New Roman" w:eastAsia="Times New Roman" w:hAnsi="Times New Roman"/>
          <w:sz w:val="17"/>
          <w:szCs w:val="17"/>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At December 31, 2016, we had total deferred revenue of approximately</w:t>
      </w:r>
    </w:p>
    <w:p>
      <w:pPr>
        <w:spacing w:after="0" w:line="2" w:lineRule="exact"/>
        <w:rPr>
          <w:sz w:val="20"/>
          <w:szCs w:val="20"/>
          <w:color w:val="auto"/>
        </w:rPr>
      </w:pPr>
    </w:p>
    <w:p>
      <w:pPr>
        <w:ind w:left="340" w:right="120"/>
        <w:spacing w:after="0" w:line="261" w:lineRule="auto"/>
        <w:rPr>
          <w:sz w:val="20"/>
          <w:szCs w:val="20"/>
          <w:color w:val="auto"/>
        </w:rPr>
      </w:pPr>
      <w:r>
        <w:rPr>
          <w:rFonts w:ascii="Times New Roman" w:cs="Times New Roman" w:eastAsia="Times New Roman" w:hAnsi="Times New Roman"/>
          <w:sz w:val="18"/>
          <w:szCs w:val="18"/>
          <w:color w:val="auto"/>
        </w:rPr>
        <w:t>$9.3 million and deferred profit of $6.9 million. At December 26, 2015, we had total deferred revenue of approximately $5.0 million and deferred profit of $3.7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Advertising Costs </w:t>
      </w:r>
      <w:r>
        <w:rPr>
          <w:rFonts w:ascii="Times New Roman" w:cs="Times New Roman" w:eastAsia="Times New Roman" w:hAnsi="Times New Roman"/>
          <w:sz w:val="18"/>
          <w:szCs w:val="18"/>
          <w:color w:val="auto"/>
        </w:rPr>
        <w:t>– Advertising costs are expensed as incurred and were not material for all periods presented.</w:t>
      </w:r>
    </w:p>
    <w:p>
      <w:pPr>
        <w:spacing w:after="0" w:line="225" w:lineRule="exact"/>
        <w:rPr>
          <w:sz w:val="20"/>
          <w:szCs w:val="20"/>
          <w:color w:val="auto"/>
        </w:rPr>
      </w:pPr>
    </w:p>
    <w:p>
      <w:pPr>
        <w:ind w:left="3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We measure and recognize all share-based compensation under the fair value method. Our estimate of share-based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expense requires a number of complex and subjective assumptions including our stock price volatility, employee exercise patterns (expected life of the options), future forfeitures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80"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Foreign Currency Translation </w:t>
      </w:r>
      <w:r>
        <w:rPr>
          <w:rFonts w:ascii="Times New Roman" w:cs="Times New Roman" w:eastAsia="Times New Roman" w:hAnsi="Times New Roman"/>
          <w:sz w:val="17"/>
          <w:szCs w:val="17"/>
          <w:color w:val="auto"/>
        </w:rPr>
        <w:t>– Assets and liabilities of our wholly owned foreign subsidiaries that use the U.S. Dollar as their functional currency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During the years ended December 31, 2016, December 26, 2015 and December 27, 2014 we recognized approximately $2.6 million $1.4 million and $2.0 million, respectively, of foreign exchange gains that are included in our consolidated statement of income. Cumulative translation adjustments resulting from the translation of the financial statements are included as a separate component of stockholders’ equity.</w:t>
      </w:r>
    </w:p>
    <w:p>
      <w:pPr>
        <w:spacing w:after="0" w:line="174"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Comprehensive Loss </w:t>
      </w:r>
      <w:r>
        <w:rPr>
          <w:rFonts w:ascii="Times New Roman" w:cs="Times New Roman" w:eastAsia="Times New Roman" w:hAnsi="Times New Roman"/>
          <w:sz w:val="18"/>
          <w:szCs w:val="18"/>
          <w:color w:val="auto"/>
        </w:rPr>
        <w:t>– Our accumulated other comprehensive loss totaled approximately $27.9 million at December 31, 2016 and $21.8 million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26, 2015 and was attributed to, net of income taxes where applicable: foreign currency adjustments resulting from the translation of certain accounts into U.S. Dollars, unrealized losses and gains on investments and adjustments to accumulated postretirement benefit obligations. The U.S. Dollar strengthened relative to certain foreign currencies in countries where we have operations as of December 31, 2016 compared to December 26, 2015. Consequently, our comprehensive loss increased by $5.8 million as a result of the foreign currency translation. In the previous year, strengthening of the U.S. Dollar led to an increase in our comprehensive loss of $11.0 million. Additional information related to accumulated other comprehensive loss, on an after-tax basis is included in Note 11.</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ind w:left="340" w:right="8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Recently Adopted Accounting Pronouncements – </w:t>
      </w:r>
      <w:r>
        <w:rPr>
          <w:rFonts w:ascii="Times New Roman" w:cs="Times New Roman" w:eastAsia="Times New Roman" w:hAnsi="Times New Roman"/>
          <w:sz w:val="17"/>
          <w:szCs w:val="17"/>
          <w:color w:val="auto"/>
        </w:rPr>
        <w:t>In March 2016, the Financial Accounting Standards Board (“FASB”) issued Accounting Standards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Update (“ASU”) No. 2016-09, Compensation - Stock Compensation (Topic 718): </w:t>
      </w:r>
      <w:r>
        <w:rPr>
          <w:rFonts w:ascii="Times New Roman" w:cs="Times New Roman" w:eastAsia="Times New Roman" w:hAnsi="Times New Roman"/>
          <w:sz w:val="17"/>
          <w:szCs w:val="17"/>
          <w:i w:val="1"/>
          <w:iCs w:val="1"/>
          <w:color w:val="auto"/>
        </w:rPr>
        <w:t>Improvements to Employee Share-Based Payment Accounting</w:t>
      </w:r>
      <w:r>
        <w:rPr>
          <w:rFonts w:ascii="Times New Roman" w:cs="Times New Roman" w:eastAsia="Times New Roman" w:hAnsi="Times New Roman"/>
          <w:sz w:val="17"/>
          <w:szCs w:val="17"/>
          <w:color w:val="auto"/>
        </w:rPr>
        <w:t xml:space="preserve"> (ASU 2016-09). While the effective date of ASU 2016-09 is for fiscal years beginning after December 15, 2016, earlier adoption is permitted and we adopted the amendments in ASU 2016-09 during the fourth quarter of fiscal 2016. This standard simplifies or clarifies several aspects of the accounting for equity-based payment awards, including the income tax consequences, classification of awards as either equity or liabilities, and classification on the statement of cash flows. Certain of these changes are required to be applied retrospectively, while other changes are required to be applied prospectively.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impact of the adoption of ASU 2016-09 resulted in the following:</w:t>
      </w:r>
    </w:p>
    <w:p>
      <w:pPr>
        <w:spacing w:after="0" w:line="225" w:lineRule="exact"/>
        <w:rPr>
          <w:sz w:val="20"/>
          <w:szCs w:val="20"/>
          <w:color w:val="auto"/>
        </w:rPr>
      </w:pPr>
    </w:p>
    <w:p>
      <w:pPr>
        <w:ind w:left="980" w:right="22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elected to eliminate the use of an estimated forfeiture rate and recognize actual forfeitures as they occur. We adopted this amendment on a modified retrospective basis and, as a result, we recorded a $0.2 million cumulative effect adjustment to retained earnings at December 27, 2015, the first day of our fiscal 2016.</w:t>
      </w:r>
    </w:p>
    <w:p>
      <w:pPr>
        <w:spacing w:after="0" w:line="176"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excluded the excess tax benefits from the assumed proceeds available to repurchase shares in the computation of our diluted earnings per share for the year ended December 31, 2016. The effect of this change on our diluted earnings per share was not significant.</w:t>
      </w:r>
    </w:p>
    <w:p>
      <w:pPr>
        <w:spacing w:after="0" w:line="158" w:lineRule="exact"/>
        <w:rPr>
          <w:sz w:val="20"/>
          <w:szCs w:val="20"/>
          <w:color w:val="auto"/>
        </w:rPr>
      </w:pPr>
    </w:p>
    <w:p>
      <w:pPr>
        <w:ind w:left="340"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Issued Accounting Pronouncements </w:t>
      </w:r>
      <w:r>
        <w:rPr>
          <w:rFonts w:ascii="Times New Roman" w:cs="Times New Roman" w:eastAsia="Times New Roman" w:hAnsi="Times New Roman"/>
          <w:sz w:val="18"/>
          <w:szCs w:val="18"/>
          <w:color w:val="auto"/>
        </w:rPr>
        <w:t>– In January 2017, the FASB issued ASU No. 2017-04,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eliminates Step 2 from the goodwill impairment test and an entity should recognize an impairment charge for the amount by which the carrying amount of goodwill exceeds the reporting unit's fair value, not to exceed the carrying amount of goodwill. This guidance is effective for annual and any interim impairment tests in fiscal years beginning after December 15, 2019. We do not expect this guidance to have any impact on our Consolidated Financial Statements.</w:t>
      </w:r>
    </w:p>
    <w:p>
      <w:pPr>
        <w:spacing w:after="0" w:line="182" w:lineRule="exact"/>
        <w:rPr>
          <w:sz w:val="20"/>
          <w:szCs w:val="20"/>
          <w:color w:val="auto"/>
        </w:rPr>
      </w:pPr>
    </w:p>
    <w:p>
      <w:pPr>
        <w:ind w:left="340" w:right="240"/>
        <w:spacing w:after="0" w:line="26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xml:space="preserve"> It revises the definition of a business and provides a framework to evaluate when an input and a substantive process are present in an acquisition to be considered a business. This guidance is effective for annual periods beginning after December 15, 2017. We do not expect this guidance to have any impact on our Consolidated Financial Statements.</w:t>
      </w:r>
    </w:p>
    <w:p>
      <w:pPr>
        <w:spacing w:after="0" w:line="174"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It requires that amounts generally described as restricted cash and restricted cash equivalents should be included with cash and cash equivalents when reconciling the beginning-of-period and end-of-period total amounts shown on the statement of cash flows. This guidance is effective for interim and annual reporting periods beginning after December 15, 2017. We do not expect this guidance to have a material impact on our Consolidated Financial Statements.</w:t>
      </w:r>
    </w:p>
    <w:p>
      <w:pPr>
        <w:spacing w:after="0" w:line="180"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xml:space="preserve"> It provides guidance on eight specific cash flow issues with the objective of reducing the existing diversity in practice in how they are classified in the statement of cash flows. This guidance is effective for interim and annual reporting periods beginning after December 15, 2017. Early adoption is permitted, provided that all of the amendments are adopted in the same period. We do not expect this guidance to have a material impact on our Consolidated Financial Statements.</w:t>
      </w:r>
    </w:p>
    <w:p>
      <w:pPr>
        <w:spacing w:after="0" w:line="180" w:lineRule="exact"/>
        <w:rPr>
          <w:sz w:val="20"/>
          <w:szCs w:val="20"/>
          <w:color w:val="auto"/>
        </w:rPr>
      </w:pPr>
    </w:p>
    <w:p>
      <w:pPr>
        <w:jc w:val="both"/>
        <w:ind w:left="340" w:right="4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Under this guidance, lessees will be required to recognize a right-of-use asset and a lease liability for all operating leases defined under previous GAAP. This guidance is effective for interim and annual reporting periods beginning after December 15, 2018. The new guidance must be adopted using a modified retrospective transition, and provides for certain practical expedients. We are currently evaluating the impact of this new standard on our financial reporting, but recognizing the lease liabilities and related right-of-use assets will impact our balance sheet.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40" w:right="240"/>
        <w:spacing w:after="0" w:line="261"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Under this guidance, inventory should be measured at the lower of cost and net realizable value. Subsequent measurement is unchanged for inventory measured using LIFO or the retail inventory method. This guidance is effective for interim and annual reporting periods beginning after December 15, 2016. We do not expect this guidance to have a material impact on our Consolidated Financial Statements.</w:t>
      </w:r>
    </w:p>
    <w:p>
      <w:pPr>
        <w:spacing w:after="0" w:line="180" w:lineRule="exact"/>
        <w:rPr>
          <w:sz w:val="20"/>
          <w:szCs w:val="20"/>
          <w:color w:val="auto"/>
        </w:rPr>
      </w:pPr>
    </w:p>
    <w:p>
      <w:pPr>
        <w:ind w:left="340" w:right="80"/>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which amends the existing accounting standards for revenue recognition. In August 2015, the FASB issued ASU No. 2015-14,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 Deferral of the Effective Date</w:t>
      </w:r>
      <w:r>
        <w:rPr>
          <w:rFonts w:ascii="Times New Roman" w:cs="Times New Roman" w:eastAsia="Times New Roman" w:hAnsi="Times New Roman"/>
          <w:sz w:val="18"/>
          <w:szCs w:val="18"/>
          <w:color w:val="auto"/>
        </w:rPr>
        <w:t>, which delays the effective date of ASU 2014-09 by one year. The FASB also agreed to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entities to choose to adopt the standard as of the original effective date. In March 2016, the FASB issued Accounting Standards Update No. 2016-08, </w:t>
      </w:r>
      <w:r>
        <w:rPr>
          <w:rFonts w:ascii="Times New Roman" w:cs="Times New Roman" w:eastAsia="Times New Roman" w:hAnsi="Times New Roman"/>
          <w:sz w:val="18"/>
          <w:szCs w:val="18"/>
          <w:i w:val="1"/>
          <w:iCs w:val="1"/>
          <w:color w:val="auto"/>
        </w:rPr>
        <w:t xml:space="preserve">Revenue from Contracts with Customers (Topic 606): Principal versus Agent Considerations (Reporting Revenue Gross versus Net) </w:t>
      </w:r>
      <w:r>
        <w:rPr>
          <w:rFonts w:ascii="Times New Roman" w:cs="Times New Roman" w:eastAsia="Times New Roman" w:hAnsi="Times New Roman"/>
          <w:sz w:val="18"/>
          <w:szCs w:val="18"/>
          <w:color w:val="auto"/>
        </w:rPr>
        <w:t>(ASU 2016-08)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clarifies the implementation guidance on principal versus agent considerations. The guidance includes indicators to assist an entity in determining whether it controls a specified good or service before it is transferred to the customers. The new revenue recognition standard will be effective for us in the first quarter of 2018, with the option to adopt it in the first quarter of 2017. We will adopt the new standard effective December 31, 2017, which is the first day of our 2018 fiscal year. The new standard also permits two methods of adoption: retrospectively to each prior reporting period presented (full retrospective method), or retrospectively with the cumulative effect of initially applying the guidance recognized at the date of initial application (the modified retrospective method). We currently anticipate adopting the standard using the modified retrospective method. We are still in the process of completing our analysis on the impact this guidance will have on our Consolidated Financial Statements and related disclosures.</w:t>
      </w:r>
    </w:p>
    <w:p>
      <w:pPr>
        <w:spacing w:after="0" w:line="364"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340"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4, 2017, we completed the acquisition of all of the outstanding share capital of Kita Manufacturing Co., LTD. and Kita USA, Inc. (together “Kita”) (the “Acquisition”), pursuant to a Share Purchase Agreement dated November 15, 2016, by and among Kita and its shareholders, Rasco GmbH, a wholly owned subsidiary of the Company and Cohu (the “Purchase Agreement”). Kita, headquartered in Osaka, Japan, and with operations in Attleboro, Massachusetts and Kyoto, Japan, designs, manufactures and sells spring probe contacts used in final test contactors, probe cards, PCB test boards and connectors sold to customers worldwide. The aggregate purchase price was approximately $21.1 million, comprised of an initial cash payment of $15.0 million and the assumption of operating and expansion debt totaling approximately $6.1 million, net of cash acquired. To the extent actual working capital and net debt as of the closing is later determined to be different than the estimates, the purchase price will be adjusted accordingly. The Purchase Agreement also provides for up to $3.0 million of contingent earn-out cash payments based on certain growth targets for revenue and profitability. In connection with the Acquisition, we incurred approximately $1.8 million in acquisition related costs, which were expensed as selling, general and administrative costs during the year ended December 31, 2016.</w:t>
      </w:r>
    </w:p>
    <w:p>
      <w:pPr>
        <w:spacing w:after="0" w:line="3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Purchased Intangible Assets</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carrying value of goodwill during the years ended December 31, 2016 and December 26, 2015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Goodwill</w:t>
            </w:r>
          </w:p>
        </w:tc>
        <w:tc>
          <w:tcPr>
            <w:tcW w:w="20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27, 2014</w:t>
            </w:r>
          </w:p>
        </w:tc>
        <w:tc>
          <w:tcPr>
            <w:tcW w:w="37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63,132</w:t>
            </w:r>
          </w:p>
        </w:tc>
        <w:tc>
          <w:tcPr>
            <w:tcW w:w="80" w:type="dxa"/>
            <w:vAlign w:val="bottom"/>
            <w:shd w:val="clear" w:color="auto" w:fill="CCEEFF"/>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(2,868)</w:t>
            </w:r>
          </w:p>
        </w:tc>
        <w:tc>
          <w:tcPr>
            <w:tcW w:w="20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26, 2015</w:t>
            </w:r>
          </w:p>
        </w:tc>
        <w:tc>
          <w:tcPr>
            <w:tcW w:w="37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60,264</w:t>
            </w:r>
          </w:p>
        </w:tc>
        <w:tc>
          <w:tcPr>
            <w:tcW w:w="80" w:type="dxa"/>
            <w:vAlign w:val="bottom"/>
            <w:shd w:val="clear" w:color="auto" w:fill="CCEEFF"/>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(1,415)</w:t>
            </w:r>
          </w:p>
        </w:tc>
        <w:tc>
          <w:tcPr>
            <w:tcW w:w="200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2016</w:t>
            </w:r>
          </w:p>
        </w:tc>
        <w:tc>
          <w:tcPr>
            <w:tcW w:w="3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58,849</w:t>
            </w:r>
          </w:p>
        </w:tc>
        <w:tc>
          <w:tcPr>
            <w:tcW w:w="80" w:type="dxa"/>
            <w:vAlign w:val="bottom"/>
            <w:tcBorders>
              <w:bottom w:val="single" w:sz="8" w:color="CCEEFF"/>
            </w:tcBorders>
            <w:shd w:val="clear" w:color="auto" w:fill="CCEEFF"/>
          </w:tcPr>
          <w:p>
            <w:pPr>
              <w:spacing w:after="0"/>
              <w:rPr>
                <w:sz w:val="21"/>
                <w:szCs w:val="21"/>
                <w:color w:val="auto"/>
              </w:rPr>
            </w:pPr>
          </w:p>
        </w:tc>
        <w:tc>
          <w:tcPr>
            <w:tcW w:w="2000" w:type="dxa"/>
            <w:vAlign w:val="bottom"/>
          </w:tcPr>
          <w:p>
            <w:pPr>
              <w:spacing w:after="0"/>
              <w:rPr>
                <w:sz w:val="21"/>
                <w:szCs w:val="21"/>
                <w:color w:val="auto"/>
              </w:rPr>
            </w:pPr>
          </w:p>
        </w:tc>
      </w:tr>
      <w:tr>
        <w:trPr>
          <w:trHeight w:val="656"/>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05"/>
        </w:trPr>
        <w:tc>
          <w:tcPr>
            <w:tcW w:w="3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tcPr>
          <w:p>
            <w:pPr>
              <w:spacing w:after="0"/>
              <w:rPr>
                <w:sz w:val="9"/>
                <w:szCs w:val="9"/>
                <w:color w:val="auto"/>
              </w:rPr>
            </w:pPr>
          </w:p>
        </w:tc>
      </w:tr>
      <w:tr>
        <w:trPr>
          <w:trHeight w:val="61"/>
        </w:trPr>
        <w:tc>
          <w:tcPr>
            <w:tcW w:w="340" w:type="dxa"/>
            <w:vAlign w:val="bottom"/>
            <w:shd w:val="clear" w:color="auto" w:fill="808080"/>
          </w:tcPr>
          <w:p>
            <w:pPr>
              <w:spacing w:after="0"/>
              <w:rPr>
                <w:sz w:val="5"/>
                <w:szCs w:val="5"/>
                <w:color w:val="auto"/>
              </w:rPr>
            </w:pPr>
          </w:p>
        </w:tc>
        <w:tc>
          <w:tcPr>
            <w:tcW w:w="3760" w:type="dxa"/>
            <w:vAlign w:val="bottom"/>
            <w:shd w:val="clear" w:color="auto" w:fill="808080"/>
          </w:tcPr>
          <w:p>
            <w:pPr>
              <w:spacing w:after="0"/>
              <w:rPr>
                <w:sz w:val="5"/>
                <w:szCs w:val="5"/>
                <w:color w:val="auto"/>
              </w:rPr>
            </w:pPr>
          </w:p>
        </w:tc>
        <w:tc>
          <w:tcPr>
            <w:tcW w:w="37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30" w:right="1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Purchased intangible assets, subject to amortization,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December 31, 2016</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December 26, 2015</w:t>
            </w:r>
          </w:p>
        </w:tc>
      </w:tr>
      <w:tr>
        <w:trPr>
          <w:trHeight w:val="191"/>
        </w:trPr>
        <w:tc>
          <w:tcPr>
            <w:tcW w:w="3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Remaining</w:t>
            </w: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Accumulated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18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Gross Carrying</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Accumulated</w:t>
            </w:r>
          </w:p>
        </w:tc>
      </w:tr>
      <w:tr>
        <w:trPr>
          <w:trHeight w:val="234"/>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Amortization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Rasco technology</w:t>
            </w: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25,785</w:t>
            </w:r>
          </w:p>
        </w:tc>
        <w:tc>
          <w:tcPr>
            <w:tcW w:w="3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25,785</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26,904</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23,776</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Ismeca technology</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13,241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27,043</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10,329</w:t>
            </w:r>
          </w:p>
        </w:tc>
      </w:tr>
      <w:tr>
        <w:trPr>
          <w:trHeight w:val="216"/>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39,494</w:t>
            </w:r>
          </w:p>
        </w:tc>
        <w:tc>
          <w:tcPr>
            <w:tcW w:w="120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59,494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34,197</w:t>
            </w:r>
          </w:p>
        </w:tc>
      </w:tr>
      <w:tr>
        <w:trPr>
          <w:trHeight w:val="20"/>
        </w:trPr>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values of purchased intangible assets presented above are a result of the impact of fluctuation in currency exchange rates.</w:t>
      </w:r>
    </w:p>
    <w:p>
      <w:pPr>
        <w:spacing w:after="0" w:line="225" w:lineRule="exact"/>
        <w:rPr>
          <w:sz w:val="20"/>
          <w:szCs w:val="20"/>
          <w:color w:val="auto"/>
        </w:rPr>
      </w:pPr>
    </w:p>
    <w:p>
      <w:pPr>
        <w:jc w:val="both"/>
        <w:ind w:left="340" w:right="200"/>
        <w:spacing w:after="0" w:line="266" w:lineRule="auto"/>
        <w:rPr>
          <w:sz w:val="20"/>
          <w:szCs w:val="20"/>
          <w:color w:val="auto"/>
        </w:rPr>
      </w:pPr>
      <w:r>
        <w:rPr>
          <w:rFonts w:ascii="Times New Roman" w:cs="Times New Roman" w:eastAsia="Times New Roman" w:hAnsi="Times New Roman"/>
          <w:sz w:val="18"/>
          <w:szCs w:val="18"/>
          <w:color w:val="auto"/>
        </w:rPr>
        <w:t>Amortization expense related to purchased intangible assets was approximately $6.9 million in 2016, $7.0 million in 2015 and $7.8 million in 2014. As of December 31, 2016, we expect amortization expense in future periods to be as follows: 2017 - $3.6 million; 2018 - $3.6 million; 2019 - $3.6 million; 2020 - $3.5 million 2021 - $0.4 million; and thereafter $3.1 million.</w:t>
      </w:r>
    </w:p>
    <w:p>
      <w:pPr>
        <w:spacing w:after="0" w:line="172"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rFonts w:ascii="Times New Roman" w:cs="Times New Roman" w:eastAsia="Times New Roman" w:hAnsi="Times New Roman"/>
          <w:sz w:val="18"/>
          <w:szCs w:val="18"/>
          <w:b w:val="1"/>
          <w:bCs w:val="1"/>
          <w:color w:val="auto"/>
        </w:rPr>
      </w:pPr>
    </w:p>
    <w:p>
      <w:pPr>
        <w:ind w:left="34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2015, we sold all of the outstanding stock of BMS for $4.9 million in cash and up to $2.5 million of contingent cash consideration. In 2014, we sold substantially all the assets of our video camera business, Cohu Electronics for $10.3 million comprised of $9.5 million in cash, $0.5 million in contingent consideration and a working capital adjustment. Our decision to sell these two non-core businesses resulted from management’s determination that they were no longer a strategic fit within our organization.</w:t>
      </w:r>
    </w:p>
    <w:p>
      <w:pPr>
        <w:spacing w:after="0" w:line="180" w:lineRule="exact"/>
        <w:rPr>
          <w:rFonts w:ascii="Times New Roman" w:cs="Times New Roman" w:eastAsia="Times New Roman" w:hAnsi="Times New Roman"/>
          <w:sz w:val="18"/>
          <w:szCs w:val="18"/>
          <w:b w:val="1"/>
          <w:bCs w:val="1"/>
          <w:color w:val="auto"/>
        </w:rPr>
      </w:pPr>
    </w:p>
    <w:p>
      <w:pPr>
        <w:ind w:left="340" w:right="2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divestiture of BMS we recorded a long-term contingent consideration receivable that has been classified as Level 3 in the fair value hierarchy. See Note 5, “Financial Instruments Measured at Fair Value” for additional information on the three-tier fair value hierarchy. The contingent consideration represents the estimated fair value of future payments we are due based on BMS achieving annual revenue targets in certain years as specified in the sale agreement. We determine the value of the contingent consideration using a Monte Carlo simulation model with changes to the fair value of the contingent consideration being recognized in discontinued operations. At December 31, 2016 and December 26, 2015, the fair value of the receivable totaled $0.3 million and $0.5 million, respectively.</w:t>
      </w:r>
    </w:p>
    <w:p>
      <w:pPr>
        <w:spacing w:after="0" w:line="18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Operating results of our discontinued operations are summarized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December 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December 27,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Microwave equipment segment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Video camera segment</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22,154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before income taxes:</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Microwave equipment segment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(10,305)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Video camera segment</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Loss from sale of BMS</w:t>
            </w: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sale of Cohu Electronics</w:t>
            </w: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net of tax</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88"/>
              </w:rPr>
              <w:t>41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0" w:type="dxa"/>
            <w:vAlign w:val="bottom"/>
            <w:shd w:val="clear" w:color="auto" w:fill="808080"/>
          </w:tcPr>
          <w:p>
            <w:pPr>
              <w:spacing w:after="0"/>
              <w:rPr>
                <w:sz w:val="5"/>
                <w:szCs w:val="5"/>
                <w:color w:val="auto"/>
              </w:rPr>
            </w:pPr>
          </w:p>
        </w:tc>
        <w:tc>
          <w:tcPr>
            <w:tcW w:w="4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b w:val="1"/>
          <w:bCs w:val="1"/>
          <w:color w:val="auto"/>
        </w:rPr>
        <w:t>COHU,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Measured at Fair Value</w:t>
      </w:r>
    </w:p>
    <w:p>
      <w:pPr>
        <w:spacing w:after="0" w:line="229" w:lineRule="exact"/>
        <w:rPr>
          <w:rFonts w:ascii="Times New Roman" w:cs="Times New Roman" w:eastAsia="Times New Roman" w:hAnsi="Times New Roman"/>
          <w:sz w:val="18"/>
          <w:szCs w:val="18"/>
          <w:b w:val="1"/>
          <w:bCs w:val="1"/>
          <w:color w:val="auto"/>
        </w:rPr>
      </w:pPr>
    </w:p>
    <w:p>
      <w:pPr>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cash, cash equivalents, and short-term investments consisted primarily of cash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80" w:lineRule="exact"/>
        <w:rPr>
          <w:rFonts w:ascii="Times New Roman" w:cs="Times New Roman" w:eastAsia="Times New Roman" w:hAnsi="Times New Roman"/>
          <w:sz w:val="18"/>
          <w:szCs w:val="18"/>
          <w:b w:val="1"/>
          <w:bCs w:val="1"/>
          <w:color w:val="auto"/>
        </w:rPr>
      </w:pPr>
    </w:p>
    <w:p>
      <w:pPr>
        <w:ind w:left="3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6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Investments that we have classified as short-term, by security type,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At December 31, 2016</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r>
      <w:tr>
        <w:trPr>
          <w:trHeight w:val="193"/>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60"/>
              <w:spacing w:after="0" w:line="193" w:lineRule="exact"/>
              <w:rPr>
                <w:sz w:val="20"/>
                <w:szCs w:val="20"/>
                <w:color w:val="auto"/>
              </w:rPr>
            </w:pPr>
            <w:r>
              <w:rPr>
                <w:rFonts w:ascii="Times New Roman" w:cs="Times New Roman" w:eastAsia="Times New Roman" w:hAnsi="Times New Roman"/>
                <w:sz w:val="18"/>
                <w:szCs w:val="18"/>
                <w:color w:val="auto"/>
              </w:rPr>
              <w:t>Amortized</w:t>
            </w:r>
          </w:p>
        </w:tc>
        <w:tc>
          <w:tcPr>
            <w:tcW w:w="1080" w:type="dxa"/>
            <w:vAlign w:val="bottom"/>
          </w:tcPr>
          <w:p>
            <w:pPr>
              <w:jc w:val="center"/>
              <w:ind w:left="70"/>
              <w:spacing w:after="0" w:line="193" w:lineRule="exact"/>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left="70"/>
              <w:spacing w:after="0" w:line="193"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93" w:lineRule="exact"/>
              <w:rPr>
                <w:sz w:val="20"/>
                <w:szCs w:val="20"/>
                <w:color w:val="auto"/>
              </w:rPr>
            </w:pPr>
            <w:r>
              <w:rPr>
                <w:rFonts w:ascii="Times New Roman" w:cs="Times New Roman" w:eastAsia="Times New Roman" w:hAnsi="Times New Roman"/>
                <w:sz w:val="18"/>
                <w:szCs w:val="18"/>
                <w:color w:val="auto"/>
              </w:rPr>
              <w:t>Fair</w:t>
            </w:r>
          </w:p>
        </w:tc>
      </w:tr>
      <w:tr>
        <w:trPr>
          <w:trHeight w:val="258"/>
        </w:trPr>
        <w:tc>
          <w:tcPr>
            <w:tcW w:w="4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Cost</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center"/>
              <w:ind w:left="70"/>
              <w:spacing w:after="0" w:line="258" w:lineRule="exact"/>
              <w:rPr>
                <w:sz w:val="20"/>
                <w:szCs w:val="20"/>
                <w:color w:val="auto"/>
              </w:rPr>
            </w:pPr>
            <w:r>
              <w:rPr>
                <w:rFonts w:ascii="Times New Roman" w:cs="Times New Roman" w:eastAsia="Times New Roman" w:hAnsi="Times New Roman"/>
                <w:sz w:val="18"/>
                <w:szCs w:val="18"/>
                <w:color w:val="auto"/>
                <w:w w:val="91"/>
              </w:rPr>
              <w:t xml:space="preserve">Losses </w:t>
            </w:r>
            <w:r>
              <w:rPr>
                <w:rFonts w:ascii="Times New Roman" w:cs="Times New Roman" w:eastAsia="Times New Roman" w:hAnsi="Times New Roman"/>
                <w:sz w:val="29"/>
                <w:szCs w:val="29"/>
                <w:color w:val="auto"/>
                <w:w w:val="91"/>
                <w:vertAlign w:val="superscript"/>
              </w:rPr>
              <w:t>(1)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debt securities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22,513</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Government-sponsored enterprise securities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r>
      <w:tr>
        <w:trPr>
          <w:trHeight w:val="250"/>
        </w:trPr>
        <w:tc>
          <w:tcPr>
            <w:tcW w:w="4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83"/>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At December 26, 2015</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Amortized</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Cost</w:t>
            </w: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8"/>
                <w:szCs w:val="18"/>
                <w:color w:val="auto"/>
              </w:rPr>
            </w:pPr>
          </w:p>
        </w:tc>
      </w:tr>
      <w:tr>
        <w:trPr>
          <w:trHeight w:val="250"/>
        </w:trPr>
        <w:tc>
          <w:tcPr>
            <w:tcW w:w="4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65" w:lineRule="exact"/>
        <w:rPr>
          <w:sz w:val="20"/>
          <w:szCs w:val="20"/>
          <w:color w:val="auto"/>
        </w:rPr>
      </w:pPr>
    </w:p>
    <w:p>
      <w:pPr>
        <w:ind w:left="660" w:right="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2016, the cost and fair value of investments with loss positions were approximately $26.6 million.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w:t>
      </w:r>
    </w:p>
    <w:p>
      <w:pPr>
        <w:spacing w:after="0" w:line="17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debt securities include investments in financial and other corporate institutions. No single issuer represents a significant portion of the total corporate 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-854075</wp:posOffset>
            </wp:positionV>
            <wp:extent cx="70408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Effective maturities of short-term investments at December 31, 2016, were as follows: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Amortized</w:t>
            </w:r>
          </w:p>
        </w:tc>
        <w:tc>
          <w:tcPr>
            <w:tcW w:w="24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34"/>
        </w:trPr>
        <w:tc>
          <w:tcPr>
            <w:tcW w:w="65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6"/>
              </w:rPr>
              <w:t>Cost</w:t>
            </w:r>
          </w:p>
        </w:tc>
        <w:tc>
          <w:tcPr>
            <w:tcW w:w="24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580" w:type="dxa"/>
            <w:vAlign w:val="bottom"/>
            <w:tcBorders>
              <w:top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31,372</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three years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80"/>
        <w:spacing w:after="0" w:line="256" w:lineRule="auto"/>
        <w:rPr>
          <w:sz w:val="20"/>
          <w:szCs w:val="20"/>
          <w:color w:val="auto"/>
        </w:rPr>
      </w:pPr>
      <w:r>
        <w:rPr>
          <w:rFonts w:ascii="Times New Roman" w:cs="Times New Roman" w:eastAsia="Times New Roman" w:hAnsi="Times New Roman"/>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94" w:right="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by major security type, our financial instruments that are measured at fair value on a recurring basis and are categorized using the fair value hierarchy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00" w:type="dxa"/>
            <w:vAlign w:val="bottom"/>
            <w:gridSpan w:val="12"/>
          </w:tcPr>
          <w:p>
            <w:pPr>
              <w:ind w:left="540"/>
              <w:spacing w:after="0"/>
              <w:rPr>
                <w:sz w:val="20"/>
                <w:szCs w:val="20"/>
                <w:color w:val="auto"/>
              </w:rPr>
            </w:pPr>
            <w:r>
              <w:rPr>
                <w:rFonts w:ascii="Times New Roman" w:cs="Times New Roman" w:eastAsia="Times New Roman" w:hAnsi="Times New Roman"/>
                <w:sz w:val="18"/>
                <w:szCs w:val="18"/>
                <w:color w:val="auto"/>
              </w:rPr>
              <w:t>Fair value measurements at December 31, 2016 using:</w:t>
            </w:r>
          </w:p>
        </w:tc>
      </w:tr>
      <w:tr>
        <w:trPr>
          <w:trHeight w:val="191"/>
        </w:trPr>
        <w:tc>
          <w:tcPr>
            <w:tcW w:w="5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Total estimated</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70,279</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24,108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24,108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Government-sponsored enterprise securities</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8,108</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24,166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24,166</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r>
      <w:tr>
        <w:trPr>
          <w:trHeight w:val="250"/>
        </w:trPr>
        <w:tc>
          <w:tcPr>
            <w:tcW w:w="5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70,279</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67"/>
        </w:trPr>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00" w:type="dxa"/>
            <w:vAlign w:val="bottom"/>
            <w:gridSpan w:val="12"/>
          </w:tcPr>
          <w:p>
            <w:pPr>
              <w:ind w:left="540"/>
              <w:spacing w:after="0"/>
              <w:rPr>
                <w:sz w:val="20"/>
                <w:szCs w:val="20"/>
                <w:color w:val="auto"/>
              </w:rPr>
            </w:pPr>
            <w:r>
              <w:rPr>
                <w:rFonts w:ascii="Times New Roman" w:cs="Times New Roman" w:eastAsia="Times New Roman" w:hAnsi="Times New Roman"/>
                <w:sz w:val="18"/>
                <w:szCs w:val="18"/>
                <w:color w:val="auto"/>
              </w:rPr>
              <w:t>Fair value measurements at December 26, 2015 using:</w:t>
            </w:r>
          </w:p>
        </w:tc>
      </w:tr>
      <w:tr>
        <w:trPr>
          <w:trHeight w:val="191"/>
        </w:trPr>
        <w:tc>
          <w:tcPr>
            <w:tcW w:w="5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Total estimated</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73,746</w:t>
            </w:r>
          </w:p>
        </w:tc>
        <w:tc>
          <w:tcPr>
            <w:tcW w:w="22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73,746</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41,624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41,624</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w:t>
            </w:r>
          </w:p>
        </w:tc>
      </w:tr>
      <w:tr>
        <w:trPr>
          <w:trHeight w:val="250"/>
        </w:trPr>
        <w:tc>
          <w:tcPr>
            <w:tcW w:w="5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5" w:lineRule="exact"/>
        <w:rPr>
          <w:rFonts w:ascii="Times New Roman" w:cs="Times New Roman" w:eastAsia="Times New Roman" w:hAnsi="Times New Roman"/>
          <w:sz w:val="18"/>
          <w:szCs w:val="18"/>
          <w:b w:val="1"/>
          <w:bCs w:val="1"/>
          <w:color w:val="auto"/>
        </w:rPr>
      </w:pPr>
    </w:p>
    <w:p>
      <w:pPr>
        <w:ind w:left="340" w:right="20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Defined Contribution Retirement Plans </w:t>
      </w:r>
      <w:r>
        <w:rPr>
          <w:rFonts w:ascii="Times New Roman" w:cs="Times New Roman" w:eastAsia="Times New Roman" w:hAnsi="Times New Roman"/>
          <w:sz w:val="18"/>
          <w:szCs w:val="18"/>
          <w:color w:val="auto"/>
        </w:rPr>
        <w:t>– We maintain a defined contribution 401(k) retirement savings plan covering all salaried and hourly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Participation is voluntary and participants’ contributions are based on their eligible compensation. We match contributions of participants at 50% of up to 6% of salary contributed, up to various statutory limits. In 2016 we made matching contributions to the plan of $0.6 million. In both 2015 and 2014 we made contributions to the plan of $0.7 million.</w:t>
      </w:r>
    </w:p>
    <w:p>
      <w:pPr>
        <w:spacing w:after="0" w:line="176" w:lineRule="exact"/>
        <w:rPr>
          <w:rFonts w:ascii="Times New Roman" w:cs="Times New Roman" w:eastAsia="Times New Roman" w:hAnsi="Times New Roman"/>
          <w:sz w:val="18"/>
          <w:szCs w:val="18"/>
          <w:b w:val="1"/>
          <w:bCs w:val="1"/>
          <w:color w:val="auto"/>
        </w:rPr>
      </w:pPr>
    </w:p>
    <w:p>
      <w:pPr>
        <w:ind w:left="340" w:right="10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Defined Benefit Retirement Plans </w:t>
      </w:r>
      <w:r>
        <w:rPr>
          <w:rFonts w:ascii="Times New Roman" w:cs="Times New Roman" w:eastAsia="Times New Roman" w:hAnsi="Times New Roman"/>
          <w:sz w:val="18"/>
          <w:szCs w:val="18"/>
          <w:color w:val="auto"/>
        </w:rPr>
        <w:t>– As a result of the acquisition of Ismeca effective December 31, 2012, we took over the Ismeca Europe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BVG Pension Plan in Switzerland (“the Swiss Plan”) and the following discussion only relates to the Swiss Plan.</w:t>
      </w:r>
    </w:p>
    <w:p>
      <w:pPr>
        <w:spacing w:after="0" w:line="15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periodic benefit cost of the Swiss Plan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0" w:type="dxa"/>
            <w:vAlign w:val="bottom"/>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4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856</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7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0"/>
        </w:trPr>
        <w:tc>
          <w:tcPr>
            <w:tcW w:w="50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periodic costs</w:t>
            </w:r>
          </w:p>
        </w:tc>
        <w:tc>
          <w:tcPr>
            <w:tcW w:w="1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Pr>
          <w:p>
            <w:pPr>
              <w:spacing w:after="0"/>
              <w:rPr>
                <w:sz w:val="21"/>
                <w:szCs w:val="21"/>
                <w:color w:val="auto"/>
              </w:rPr>
            </w:pPr>
          </w:p>
        </w:tc>
      </w:tr>
      <w:tr>
        <w:trPr>
          <w:trHeight w:val="656"/>
        </w:trPr>
        <w:tc>
          <w:tcPr>
            <w:tcW w:w="5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43</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5"/>
        </w:trPr>
        <w:tc>
          <w:tcPr>
            <w:tcW w:w="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50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30" w:right="1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40"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projected benefit obligation, the fair value of plan assets, the funded status and the liability we have recorded in our consolidated balance sheet related to the Swiss Plan:</w:t>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236"/>
        </w:trPr>
        <w:tc>
          <w:tcPr>
            <w:tcW w:w="6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(25,483)</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Actuarial loss</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(796)</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change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exchange adjustment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(27,499)</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Return on assets, net of actuarial loss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exchange adjustment</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liability at end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(11,422)</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At December 31, 2016 and December 26, 2015, the Swiss Plan’s net liability is included in noncurrent accrued retirement benefits. Amounts recognized in accumulated other comprehensive income net of tax related to the Swiss Plan consisted of an unrecognized net actuarial loss totaling $2.4 million at December 31, 2016 and $1.8 million at December 26, 2015.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Weighted-average actuarial assumptions used to determine the projected benefit obligation under the Swiss Plan are as follows: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9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2015</w:t>
            </w:r>
          </w:p>
        </w:tc>
      </w:tr>
      <w:tr>
        <w:trPr>
          <w:trHeight w:val="210"/>
        </w:trPr>
        <w:tc>
          <w:tcPr>
            <w:tcW w:w="16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Discount rate</w:t>
            </w: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6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increase</w:t>
            </w:r>
          </w:p>
        </w:tc>
        <w:tc>
          <w:tcPr>
            <w:tcW w:w="17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80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w w:val="99"/>
              </w:rPr>
              <w:t>Weighted-average assumptions used to determine net periodic benefit cost of the Swiss Plan are as follows:</w:t>
            </w: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6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c>
          <w:tcPr>
            <w:tcW w:w="900" w:type="dxa"/>
            <w:vAlign w:val="bottom"/>
          </w:tcPr>
          <w:p>
            <w:pPr>
              <w:spacing w:after="0"/>
              <w:rPr>
                <w:sz w:val="24"/>
                <w:szCs w:val="24"/>
                <w:color w:val="auto"/>
              </w:rPr>
            </w:pPr>
          </w:p>
        </w:tc>
        <w:tc>
          <w:tcPr>
            <w:tcW w:w="14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2014</w:t>
            </w:r>
          </w:p>
        </w:tc>
      </w:tr>
      <w:tr>
        <w:trPr>
          <w:trHeight w:val="210"/>
        </w:trPr>
        <w:tc>
          <w:tcPr>
            <w:tcW w:w="16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76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Rate of return on Assets</w:t>
            </w:r>
          </w:p>
        </w:tc>
        <w:tc>
          <w:tcPr>
            <w:tcW w:w="17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76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both"/>
        <w:ind w:left="340"/>
        <w:spacing w:after="0" w:line="313" w:lineRule="auto"/>
        <w:rPr>
          <w:sz w:val="20"/>
          <w:szCs w:val="20"/>
          <w:color w:val="auto"/>
        </w:rPr>
      </w:pPr>
      <w:r>
        <w:rPr>
          <w:rFonts w:ascii="Times New Roman" w:cs="Times New Roman" w:eastAsia="Times New Roman" w:hAnsi="Times New Roman"/>
          <w:sz w:val="17"/>
          <w:szCs w:val="17"/>
          <w:color w:val="auto"/>
        </w:rPr>
        <w:t>During 2017 employer and employee contributions to the Swiss Plan are expected to total $0.7 million. Estimated benefit payments are expected to be as follows: 2017 - $0.7 million; 2018 - $0.7 million; 2019 - $0.8 million; 2020 - $1.0 million; 2021 - $1.0 million; and $5.2 million thereafter through 2026.</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76"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40" w:right="80"/>
        <w:spacing w:after="0" w:line="255" w:lineRule="auto"/>
        <w:rPr>
          <w:sz w:val="20"/>
          <w:szCs w:val="20"/>
          <w:color w:val="auto"/>
        </w:rPr>
      </w:pPr>
      <w:r>
        <w:rPr>
          <w:rFonts w:ascii="Times New Roman" w:cs="Times New Roman" w:eastAsia="Times New Roman" w:hAnsi="Times New Roman"/>
          <w:sz w:val="18"/>
          <w:szCs w:val="18"/>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71% debt securities and cash, 14% real estate investments, 9% alternative investments and 6% equity securities. The valuation of the collective fund assets as a whole is a Level 3 measurement; however the individual investments of the fund are generally Level 1 (equity securities), Level 2 (fixed income) and Level 3 (real estate and alternative) investments. We determine the fair value of the plan assets based on information provided by the collective fund, through review of the collective fund’s annual financial statements. See Note 5, “Financial Instruments Measured at Fair Value” for additional information on the three-tier fair value hierarchy.</w:t>
      </w:r>
    </w:p>
    <w:p>
      <w:pPr>
        <w:spacing w:after="0" w:line="189" w:lineRule="exact"/>
        <w:rPr>
          <w:sz w:val="20"/>
          <w:szCs w:val="20"/>
          <w:color w:val="auto"/>
        </w:rPr>
      </w:pPr>
    </w:p>
    <w:p>
      <w:pPr>
        <w:ind w:left="340" w:right="320"/>
        <w:spacing w:after="0" w:line="282" w:lineRule="auto"/>
        <w:rPr>
          <w:sz w:val="20"/>
          <w:szCs w:val="20"/>
          <w:color w:val="auto"/>
        </w:rPr>
      </w:pPr>
      <w:r>
        <w:rPr>
          <w:rFonts w:ascii="Times New Roman" w:cs="Times New Roman" w:eastAsia="Times New Roman" w:hAnsi="Times New Roman"/>
          <w:sz w:val="18"/>
          <w:szCs w:val="18"/>
          <w:color w:val="auto"/>
        </w:rPr>
        <w:t>We maintain other defined benefit plans for employees located outside the U.S. for which the majority of the obligations and net periodic benefit cost were determined to be immaterial for all periods presented.</w:t>
      </w:r>
    </w:p>
    <w:p>
      <w:pPr>
        <w:spacing w:after="0" w:line="158" w:lineRule="exact"/>
        <w:rPr>
          <w:sz w:val="20"/>
          <w:szCs w:val="20"/>
          <w:color w:val="auto"/>
        </w:rPr>
      </w:pPr>
    </w:p>
    <w:p>
      <w:pPr>
        <w:ind w:left="34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Retiree Medical Benefits </w:t>
      </w:r>
      <w:r>
        <w:rPr>
          <w:rFonts w:ascii="Times New Roman" w:cs="Times New Roman" w:eastAsia="Times New Roman" w:hAnsi="Times New Roman"/>
          <w:sz w:val="18"/>
          <w:szCs w:val="18"/>
          <w:color w:val="auto"/>
        </w:rPr>
        <w:t>– We provide post-retirement health benefits to certain executives and directors under a noncontributory plan. The net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cost was $0.1 million in both 2016 and 2015 compared to a net periodic benefit income of $0.1 million in 2014. We fund benefits as costs are incurred and as a result there are no plan assets.</w:t>
      </w:r>
    </w:p>
    <w:p>
      <w:pPr>
        <w:spacing w:after="0" w:line="175" w:lineRule="exact"/>
        <w:rPr>
          <w:sz w:val="20"/>
          <w:szCs w:val="20"/>
          <w:color w:val="auto"/>
        </w:rPr>
      </w:pPr>
    </w:p>
    <w:p>
      <w:pPr>
        <w:ind w:left="340" w:right="60"/>
        <w:spacing w:after="0" w:line="258" w:lineRule="auto"/>
        <w:rPr>
          <w:sz w:val="20"/>
          <w:szCs w:val="20"/>
          <w:color w:val="auto"/>
        </w:rPr>
      </w:pPr>
      <w:r>
        <w:rPr>
          <w:rFonts w:ascii="Times New Roman" w:cs="Times New Roman" w:eastAsia="Times New Roman" w:hAnsi="Times New Roman"/>
          <w:sz w:val="18"/>
          <w:szCs w:val="18"/>
          <w:color w:val="auto"/>
        </w:rPr>
        <w:t>The weighted average discount rate used in determining the accumulated post-retirement benefit obligation was 3.9% in 2016, 4.2% in 2015 and 3.8% in 2014. The annual rates of increase of the cost of health benefits was assumed to be 7.7% in 2017. This rate was then assumed to decrease 0.3% per year to 4.9% in 2026 and remain level thereafter. A one percent increase (decrease) in health care cost trend rates would increase (decrease) the 2016 net periodic benefit cost by approximately $18,000 ($14,000) and the accumulated post-retirement benefit obligation as of December 31, 2016, by approximately $338,000 ($283,000).</w:t>
      </w:r>
    </w:p>
    <w:p>
      <w:pPr>
        <w:spacing w:after="0" w:line="184" w:lineRule="exact"/>
        <w:rPr>
          <w:sz w:val="20"/>
          <w:szCs w:val="20"/>
          <w:color w:val="auto"/>
        </w:rPr>
      </w:pPr>
    </w:p>
    <w:p>
      <w:pPr>
        <w:ind w:left="340" w:right="80"/>
        <w:spacing w:after="0" w:line="313" w:lineRule="auto"/>
        <w:rPr>
          <w:sz w:val="20"/>
          <w:szCs w:val="20"/>
          <w:color w:val="auto"/>
        </w:rPr>
      </w:pPr>
      <w:r>
        <w:rPr>
          <w:rFonts w:ascii="Times New Roman" w:cs="Times New Roman" w:eastAsia="Times New Roman" w:hAnsi="Times New Roman"/>
          <w:sz w:val="17"/>
          <w:szCs w:val="17"/>
          <w:color w:val="auto"/>
        </w:rPr>
        <w:t>Contributions to the post-retirement health benefit plan are expected to total $0.1 million in 2017. Estimated benefit payments are expected to be as follows: 2017 - $0.1 million; 2018 - $0.1 million; 2019 - $0.1 million; 2020 - $0.1 million; 2021 - $0.1 million and $0.7 million thereafter through 2026.</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post-retirement benefit obligation, funded status and the liability we have recorded in our consolidated balance sheets:</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36"/>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 at beginning of year</w:t>
            </w:r>
          </w:p>
        </w:tc>
        <w:tc>
          <w:tcPr>
            <w:tcW w:w="19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Actuarial (gain) loss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Benefits paid</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Plan assets at end of year</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1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ind w:left="340"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Deferred Compensation </w:t>
      </w:r>
      <w:r>
        <w:rPr>
          <w:rFonts w:ascii="Times New Roman" w:cs="Times New Roman" w:eastAsia="Times New Roman" w:hAnsi="Times New Roman"/>
          <w:sz w:val="18"/>
          <w:szCs w:val="18"/>
          <w:color w:val="auto"/>
        </w:rPr>
        <w:t>– The Cohu, Inc. Deferred Compensation Plan allows certain of our officers to defer a portion of their current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purchased life insurance policies on the participants with Cohu as the named beneficiary. Participant contributions, distributions and investment earnings and losses are accumulated in a separate account for each participant. At December 31, 2016, the payroll liability to participants, included in accrued compensation and benefits in the consolidated balance sheet, was approximately $2.4 million and the cash surrender value of the related life insurance policies included in other current assets was approximately $2.2 million. At December 26, 2015, the liability totaled $2.6 million and the corresponding assets were $2.3 million.</w:t>
      </w:r>
    </w:p>
    <w:p>
      <w:pPr>
        <w:spacing w:after="0" w:line="183" w:lineRule="exact"/>
        <w:rPr>
          <w:sz w:val="20"/>
          <w:szCs w:val="20"/>
          <w:color w:val="auto"/>
        </w:rPr>
      </w:pPr>
    </w:p>
    <w:p>
      <w:pPr>
        <w:ind w:left="340"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 The Cohu, Inc. 1997 Employee Stock Purchase Plan (“the Plan”) provides for the issuance of a maximum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2,650,000 shares of our common stock. Under the Plan, eligible employees may purchase shares of common stock through payroll deductions. The price paid for the common stock is equal to 85% of the fair market value of our common stock on specified dates. During the last three years we issued shares under the Plan as follows: 2016 - 110,579; 2015 - 122,528 and 2014 - 138,831. At December 31, 2016, there were 700,484 shares reserved for issuance under the Plan.</w:t>
      </w:r>
    </w:p>
    <w:p>
      <w:pPr>
        <w:spacing w:after="0" w:line="180" w:lineRule="exact"/>
        <w:rPr>
          <w:sz w:val="20"/>
          <w:szCs w:val="20"/>
          <w:color w:val="auto"/>
        </w:rPr>
      </w:pPr>
    </w:p>
    <w:p>
      <w:pPr>
        <w:ind w:left="3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At December 31, 2016, a total of 1,853,509 shares were available for future equity grants under the Cohu, Inc. 2005 Equity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2005 Plan”). Under the 2005 Plan stock options may be granted to employees, consultants and outside 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We have historically issued new shares of Cohu common stock upon share option exercise.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b w:val="1"/>
          <w:bCs w:val="1"/>
          <w:color w:val="auto"/>
        </w:rPr>
        <w:t>COHU,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option activity under our share-based compensation plans was as follows:</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Wt. Avg.</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Wt. Avg.</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Avg.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vMerge w:val="continue"/>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 Price</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 Price</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Ex. Price</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11.25</w:t>
            </w:r>
          </w:p>
        </w:tc>
        <w:tc>
          <w:tcPr>
            <w:tcW w:w="12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11.67</w:t>
            </w:r>
          </w:p>
        </w:tc>
        <w:tc>
          <w:tcPr>
            <w:tcW w:w="12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7.89</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year</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10.79</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year end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10.85</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11.47</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76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was $0.5 million in 2016 and $0.7 million in both 2015 and 2014. At December 31, 2016, the aggregate intrinsic value of options outstanding, vested and expected to vest and exercisable was $5.6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Information about stock options outstanding at December 31, 2016 is as follows </w:t>
      </w:r>
      <w:r>
        <w:rPr>
          <w:rFonts w:ascii="Times New Roman" w:cs="Times New Roman" w:eastAsia="Times New Roman" w:hAnsi="Times New Roman"/>
          <w:sz w:val="18"/>
          <w:szCs w:val="18"/>
          <w:i w:val="1"/>
          <w:iCs w:val="1"/>
          <w:color w:val="auto"/>
        </w:rPr>
        <w:t>(options 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Options Outstanding</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8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191"/>
        </w:trPr>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Approximate</w:t>
            </w: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Avg.</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0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rPr>
              <w:t>Range of</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Number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36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Avg.</w:t>
            </w: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Number</w:t>
            </w:r>
          </w:p>
        </w:tc>
        <w:tc>
          <w:tcPr>
            <w:tcW w:w="36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Avg.</w:t>
            </w:r>
          </w:p>
        </w:tc>
      </w:tr>
      <w:tr>
        <w:trPr>
          <w:trHeight w:val="234"/>
        </w:trPr>
        <w:tc>
          <w:tcPr>
            <w:tcW w:w="20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9"/>
              </w:rPr>
              <w:t>Exercise Prices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Outstanding</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 (in years)</w:t>
            </w:r>
          </w:p>
        </w:tc>
        <w:tc>
          <w:tcPr>
            <w:tcW w:w="36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 Price</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Exercisable</w:t>
            </w:r>
          </w:p>
        </w:tc>
        <w:tc>
          <w:tcPr>
            <w:tcW w:w="36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Ex. Price</w:t>
            </w:r>
          </w:p>
        </w:tc>
      </w:tr>
      <w:tr>
        <w:trPr>
          <w:trHeight w:val="210"/>
        </w:trPr>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$10.58</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300" w:type="dxa"/>
            <w:vAlign w:val="bottom"/>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1,002</w:t>
            </w:r>
          </w:p>
        </w:tc>
        <w:tc>
          <w:tcPr>
            <w:tcW w:w="3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0" w:type="dxa"/>
            <w:vAlign w:val="bottom"/>
            <w:shd w:val="clear" w:color="auto" w:fill="CCEEFF"/>
          </w:tcPr>
          <w:p>
            <w:pPr>
              <w:spacing w:after="0"/>
              <w:rPr>
                <w:sz w:val="18"/>
                <w:szCs w:val="18"/>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$15.50</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14.08</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449</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14.20</w:t>
            </w:r>
          </w:p>
        </w:tc>
      </w:tr>
      <w:tr>
        <w:trPr>
          <w:trHeight w:val="216"/>
        </w:trPr>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$20.73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16.55</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16.55</w:t>
            </w:r>
          </w:p>
        </w:tc>
      </w:tr>
      <w:tr>
        <w:trPr>
          <w:trHeight w:val="20"/>
        </w:trPr>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0"/>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18"/>
                <w:szCs w:val="18"/>
                <w:color w:val="auto"/>
              </w:rPr>
            </w:pP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10.79</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1,537</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10.85</w:t>
            </w: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right="6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Restricted Stock Units </w:t>
      </w:r>
      <w:r>
        <w:rPr>
          <w:rFonts w:ascii="Times New Roman" w:cs="Times New Roman" w:eastAsia="Times New Roman" w:hAnsi="Times New Roman"/>
          <w:sz w:val="17"/>
          <w:szCs w:val="17"/>
          <w:color w:val="auto"/>
        </w:rPr>
        <w:t>– Under our equity incentive plans, restricted stock units may be granted to employees, consultants and outside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Restricted stock units vest over a one-year, two-year or a four-year period from the date of grant. Prior to vesting, restricted stock units do not have dividend equivalent rights, do not have voting rights and the shares underlying the restricted stock units are not considered issued and outstanding. New shares of our common stock will be issued on the date the restricted stock units vest net of the statutory tax withholding requirements to be paid by us on behalf of our employees. As a result, the actual number of shares issued will be fewer than the actual number of RSUs outstanding at December 31, 2016.</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stock unit activity under our share-based compensation plans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Avg.</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Avg.</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6"/>
              </w:rPr>
              <w:t>Wt. Avg.</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160" w:type="dxa"/>
            <w:vAlign w:val="bottom"/>
            <w:vMerge w:val="continue"/>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Fair Value</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Fair Value</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Fair Value</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9.93</w:t>
            </w:r>
          </w:p>
        </w:tc>
        <w:tc>
          <w:tcPr>
            <w:tcW w:w="12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w:t>
            </w:r>
          </w:p>
        </w:tc>
        <w:tc>
          <w:tcPr>
            <w:tcW w:w="12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11.25</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9.90</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year</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10.50</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shd w:val="clear" w:color="auto" w:fill="808080"/>
          </w:tcPr>
          <w:p>
            <w:pPr>
              <w:spacing w:after="0"/>
              <w:rPr>
                <w:sz w:val="5"/>
                <w:szCs w:val="5"/>
                <w:color w:val="auto"/>
              </w:rPr>
            </w:pPr>
          </w:p>
        </w:tc>
        <w:tc>
          <w:tcPr>
            <w:tcW w:w="3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4" w:right="1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Equity-Based Performance Stock Units </w:t>
      </w:r>
      <w:r>
        <w:rPr>
          <w:rFonts w:ascii="Times New Roman" w:cs="Times New Roman" w:eastAsia="Times New Roman" w:hAnsi="Times New Roman"/>
          <w:sz w:val="18"/>
          <w:szCs w:val="18"/>
          <w:color w:val="auto"/>
        </w:rPr>
        <w:t>– We grant performance stock units (“PSUs”) to certain senior executives as a part of our long-term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program. The performance criteria for the PSUs granted in 2016 and 2015 is based on a combination of the Company’s annualized Total Shareholder Return (“TSR”) for the performance period and the relative performance of the Company’s TSR compared with the annualized TSR of certain peer companies for the performance period. The PSU awards granted in 2014 had a one-year performance period after which the number of shares of our common stock earned, if any, was determined, subject to certain adjustments resulting from the performance of our TSR relative to a pre-selected comparator group over the two-year period following the date of grant. The number of shares of common stock that will ultimately be issued to settle PSUs granted over the last three years is as follows:</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Year Granted</w:t>
            </w:r>
          </w:p>
        </w:tc>
        <w:tc>
          <w:tcPr>
            <w:tcW w:w="80" w:type="dxa"/>
            <w:vAlign w:val="bottom"/>
          </w:tcPr>
          <w:p>
            <w:pPr>
              <w:spacing w:after="0"/>
              <w:rPr>
                <w:sz w:val="20"/>
                <w:szCs w:val="20"/>
                <w:color w:val="auto"/>
              </w:rPr>
            </w:pPr>
          </w:p>
        </w:tc>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Range of Awards</w:t>
            </w:r>
          </w:p>
        </w:tc>
        <w:tc>
          <w:tcPr>
            <w:tcW w:w="180" w:type="dxa"/>
            <w:vAlign w:val="bottom"/>
          </w:tcPr>
          <w:p>
            <w:pPr>
              <w:spacing w:after="0"/>
              <w:rPr>
                <w:sz w:val="20"/>
                <w:szCs w:val="20"/>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Performance Criteria Period (in years)</w:t>
            </w:r>
          </w:p>
        </w:tc>
        <w:tc>
          <w:tcPr>
            <w:tcW w:w="80" w:type="dxa"/>
            <w:vAlign w:val="bottom"/>
          </w:tcPr>
          <w:p>
            <w:pPr>
              <w:spacing w:after="0"/>
              <w:rPr>
                <w:sz w:val="20"/>
                <w:szCs w:val="20"/>
                <w:color w:val="auto"/>
              </w:rPr>
            </w:pPr>
          </w:p>
        </w:tc>
      </w:tr>
      <w:tr>
        <w:trPr>
          <w:trHeight w:val="210"/>
        </w:trPr>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r>
      <w:tr>
        <w:trPr>
          <w:trHeight w:val="216"/>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200%</w:t>
            </w:r>
          </w:p>
        </w:tc>
        <w:tc>
          <w:tcPr>
            <w:tcW w:w="308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150%</w:t>
            </w:r>
          </w:p>
        </w:tc>
        <w:tc>
          <w:tcPr>
            <w:tcW w:w="3080" w:type="dxa"/>
            <w:vAlign w:val="bottom"/>
            <w:gridSpan w:val="2"/>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PSUs granted in 2016 vest 100% on the third anniversary of their grant and PSUs granted in 2015 and 2014 vest 50% on the second and third anniversary of their grant, respectively.</w:t>
      </w:r>
    </w:p>
    <w:p>
      <w:pPr>
        <w:spacing w:after="0" w:line="162" w:lineRule="exact"/>
        <w:rPr>
          <w:sz w:val="20"/>
          <w:szCs w:val="20"/>
          <w:color w:val="auto"/>
        </w:rPr>
      </w:pPr>
    </w:p>
    <w:p>
      <w:pPr>
        <w:ind w:left="340" w:right="400"/>
        <w:spacing w:after="0" w:line="261" w:lineRule="auto"/>
        <w:rPr>
          <w:sz w:val="20"/>
          <w:szCs w:val="20"/>
          <w:color w:val="auto"/>
        </w:rPr>
      </w:pPr>
      <w:r>
        <w:rPr>
          <w:rFonts w:ascii="Times New Roman" w:cs="Times New Roman" w:eastAsia="Times New Roman" w:hAnsi="Times New Roman"/>
          <w:sz w:val="18"/>
          <w:szCs w:val="18"/>
          <w:color w:val="auto"/>
        </w:rPr>
        <w:t>We estimated the fair value of the PSUs using a Monte Carlo simulation model on the date of grant. Compensation expense is recognized over the derived service period. New shares of our common stock will be issued on the date the PSUs vest net of the minimum statutory tax withholding requirements to be paid by us on behalf of our employees. As a result, the actual number of shares issued will be fewer than the actual number PSUs outstanding at December 31, 2016.</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PSU activity under our share-based compensation plans was as follows:</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Avg.</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Wt. Avg.</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6"/>
              </w:rPr>
              <w:t>Wt. Avg.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vMerge w:val="continue"/>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Fair Value</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Fair Value</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10.80</w:t>
            </w:r>
          </w:p>
        </w:tc>
        <w:tc>
          <w:tcPr>
            <w:tcW w:w="12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10.49</w:t>
            </w:r>
          </w:p>
        </w:tc>
        <w:tc>
          <w:tcPr>
            <w:tcW w:w="12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11.38</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11.27</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year</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We estimate the fair value of each share-based award on the grant date using the Black-Scholes and the Monte Carlo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simulation valuation models.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 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value share-based awards granted:</w:t>
      </w:r>
    </w:p>
    <w:p>
      <w:pPr>
        <w:spacing w:after="0" w:line="223" w:lineRule="exact"/>
        <w:rPr>
          <w:sz w:val="20"/>
          <w:szCs w:val="20"/>
          <w:color w:val="auto"/>
        </w:rPr>
      </w:pPr>
    </w:p>
    <w:tbl>
      <w:tblPr>
        <w:tblLayout w:type="fixed"/>
        <w:tblInd w:w="620" w:type="dxa"/>
        <w:tblCellMar>
          <w:top w:w="0" w:type="dxa"/>
          <w:left w:w="0" w:type="dxa"/>
          <w:bottom w:w="0" w:type="dxa"/>
          <w:right w:w="0" w:type="dxa"/>
        </w:tblCellMar>
      </w:tblPr>
      <w:tr>
        <w:trPr>
          <w:trHeight w:val="236"/>
        </w:trPr>
        <w:tc>
          <w:tcPr>
            <w:tcW w:w="4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tc>
        <w:tc>
          <w:tcPr>
            <w:tcW w:w="8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Pr>
          <w:p>
            <w:pPr>
              <w:spacing w:after="0"/>
              <w:rPr>
                <w:sz w:val="18"/>
                <w:szCs w:val="18"/>
                <w:color w:val="auto"/>
              </w:rPr>
            </w:pPr>
          </w:p>
        </w:tc>
        <w:tc>
          <w:tcPr>
            <w:tcW w:w="18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31.2%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6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2.71</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Employee Stock Options</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3.46</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8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tc>
        <w:tc>
          <w:tcPr>
            <w:tcW w:w="8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6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spacing w:after="0"/>
              <w:rPr>
                <w:sz w:val="19"/>
                <w:szCs w:val="19"/>
                <w:color w:val="auto"/>
              </w:rPr>
            </w:pPr>
          </w:p>
        </w:tc>
        <w:tc>
          <w:tcPr>
            <w:tcW w:w="18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 There were no employee stock options granted in 2016.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Reported share-based compensation is classified in the Consolidated Financial Statements as follows:</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36"/>
        </w:trPr>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of continuing operations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6,755</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net of tax</w:t>
            </w: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We elected to early adopt ASU 2016-09 in the fourth quarter of 2016, which among other items, provides an accounting policy election to account for forfeitures as they occur, rather than based on an estimate of expected forfeitures. We elected to account for forfeitures as they occur and therefore, share-based compensation expense for the year ended December 31, 2016 has been calculated based on actual forfeitures in our consolidated statement of income, rather than our previous approach where the expense was net of estimated forfeitures determined at the grant date. The net cumulative effect of this change was recognized as a $0.2 million increase to paid-in capital and a decrease to retained earnings as of December 27, 2015. Share-based compensation expense for the years ended December 26, 2015 and December 27, 2014 was recorded net of estimated forfeitures.</w:t>
      </w:r>
    </w:p>
    <w:p>
      <w:pPr>
        <w:spacing w:after="0" w:line="188" w:lineRule="exact"/>
        <w:rPr>
          <w:sz w:val="20"/>
          <w:szCs w:val="20"/>
          <w:color w:val="auto"/>
        </w:rPr>
      </w:pPr>
    </w:p>
    <w:p>
      <w:pPr>
        <w:ind w:left="340" w:right="620"/>
        <w:spacing w:after="0" w:line="282" w:lineRule="auto"/>
        <w:rPr>
          <w:sz w:val="20"/>
          <w:szCs w:val="20"/>
          <w:color w:val="auto"/>
        </w:rPr>
      </w:pPr>
      <w:r>
        <w:rPr>
          <w:rFonts w:ascii="Times New Roman" w:cs="Times New Roman" w:eastAsia="Times New Roman" w:hAnsi="Times New Roman"/>
          <w:sz w:val="18"/>
          <w:szCs w:val="18"/>
          <w:color w:val="auto"/>
        </w:rPr>
        <w:t>At December 31, 2016, we had approximately $0.1 million of pre-tax unrecognized compensation cost related to unvested stock options which is expected to be recognized over a weighted-average period of approximately 0.5 years.</w:t>
      </w:r>
    </w:p>
    <w:p>
      <w:pPr>
        <w:spacing w:after="0" w:line="162" w:lineRule="exact"/>
        <w:rPr>
          <w:sz w:val="20"/>
          <w:szCs w:val="20"/>
          <w:color w:val="auto"/>
        </w:rPr>
      </w:pPr>
    </w:p>
    <w:p>
      <w:pPr>
        <w:ind w:left="340" w:right="420"/>
        <w:spacing w:after="0" w:line="282" w:lineRule="auto"/>
        <w:rPr>
          <w:sz w:val="20"/>
          <w:szCs w:val="20"/>
          <w:color w:val="auto"/>
        </w:rPr>
      </w:pPr>
      <w:r>
        <w:rPr>
          <w:rFonts w:ascii="Times New Roman" w:cs="Times New Roman" w:eastAsia="Times New Roman" w:hAnsi="Times New Roman"/>
          <w:sz w:val="18"/>
          <w:szCs w:val="18"/>
          <w:color w:val="auto"/>
        </w:rPr>
        <w:t>At December 31, 2016, we had approximately $9.3 million of pre-tax unrecognized compensation cost related to unvested restricted stock units and performance stock units which is expected to be recognized over a weighted-average period of approximately 2.3 years.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components of the provision (benefit) for income taxes for continuing operations are as follows:</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36"/>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2015</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Federal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14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State</w:t>
            </w:r>
          </w:p>
        </w:tc>
        <w:tc>
          <w:tcPr>
            <w:tcW w:w="3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18"/>
                <w:szCs w:val="18"/>
                <w:color w:val="auto"/>
              </w:rPr>
            </w:pPr>
          </w:p>
        </w:tc>
      </w:tr>
      <w:tr>
        <w:trPr>
          <w:trHeight w:val="210"/>
        </w:trPr>
        <w:tc>
          <w:tcPr>
            <w:tcW w:w="3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Federal</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State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w:t>
            </w:r>
          </w:p>
        </w:tc>
      </w:tr>
      <w:tr>
        <w:trPr>
          <w:trHeight w:val="20"/>
        </w:trPr>
        <w:tc>
          <w:tcPr>
            <w:tcW w:w="37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deferred</w:t>
            </w:r>
          </w:p>
        </w:tc>
        <w:tc>
          <w:tcPr>
            <w:tcW w:w="3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c>
          <w:tcPr>
            <w:tcW w:w="1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r>
      <w:tr>
        <w:trPr>
          <w:trHeight w:val="250"/>
        </w:trPr>
        <w:tc>
          <w:tcPr>
            <w:tcW w:w="3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(loss) before income taxes from continuing operations consisted of the following:</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36"/>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(13,420)</w:t>
            </w:r>
          </w:p>
        </w:tc>
        <w:tc>
          <w:tcPr>
            <w:tcW w:w="4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(5,214)</w:t>
            </w:r>
          </w:p>
        </w:tc>
        <w:tc>
          <w:tcPr>
            <w:tcW w:w="4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13,217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18,357</w:t>
            </w:r>
          </w:p>
        </w:tc>
      </w:tr>
      <w:tr>
        <w:trPr>
          <w:trHeight w:val="250"/>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60" w:lineRule="exact"/>
        <w:rPr>
          <w:sz w:val="20"/>
          <w:szCs w:val="20"/>
          <w:color w:val="auto"/>
        </w:rPr>
      </w:pPr>
    </w:p>
    <w:tbl>
      <w:tblPr>
        <w:tblLayout w:type="fixed"/>
        <w:tblInd w:w="50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receivable and warranty reserves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200" w:type="dxa"/>
            <w:vAlign w:val="bottom"/>
          </w:tcPr>
          <w:p>
            <w:pPr>
              <w:spacing w:after="0"/>
              <w:rPr>
                <w:sz w:val="18"/>
                <w:szCs w:val="18"/>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7,605</w:t>
            </w: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13,715</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12,291</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4,993</w:t>
            </w: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profit and gain on facility sale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6,084</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4,443</w:t>
            </w: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basis differences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20" w:type="dxa"/>
            <w:vAlign w:val="bottom"/>
          </w:tcPr>
          <w:p>
            <w:pPr>
              <w:spacing w:after="0" w:line="20" w:lineRule="exact"/>
              <w:rPr>
                <w:sz w:val="1"/>
                <w:szCs w:val="1"/>
                <w:color w:val="auto"/>
              </w:rPr>
            </w:pPr>
          </w:p>
        </w:tc>
        <w:tc>
          <w:tcPr>
            <w:tcW w:w="68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45,432</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(44,731)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(42,289)</w:t>
            </w:r>
          </w:p>
        </w:tc>
      </w:tr>
      <w:tr>
        <w:trPr>
          <w:trHeight w:val="20"/>
        </w:trPr>
        <w:tc>
          <w:tcPr>
            <w:tcW w:w="20" w:type="dxa"/>
            <w:vAlign w:val="bottom"/>
          </w:tcPr>
          <w:p>
            <w:pPr>
              <w:spacing w:after="0" w:line="20" w:lineRule="exact"/>
              <w:rPr>
                <w:sz w:val="1"/>
                <w:szCs w:val="1"/>
                <w:color w:val="auto"/>
              </w:rPr>
            </w:pPr>
          </w:p>
        </w:tc>
        <w:tc>
          <w:tcPr>
            <w:tcW w:w="68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fixed asset related</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basis differences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8,904</w:t>
            </w:r>
          </w:p>
        </w:tc>
      </w:tr>
      <w:tr>
        <w:trPr>
          <w:trHeight w:val="216"/>
        </w:trPr>
        <w:tc>
          <w:tcPr>
            <w:tcW w:w="20" w:type="dxa"/>
            <w:vAlign w:val="bottom"/>
          </w:tcPr>
          <w:p>
            <w:pPr>
              <w:spacing w:after="0"/>
              <w:rPr>
                <w:sz w:val="18"/>
                <w:szCs w:val="18"/>
                <w:color w:val="auto"/>
              </w:rPr>
            </w:pP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662</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(5,565)</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(6,551)</w:t>
            </w: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30" w:right="2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b w:val="1"/>
          <w:bCs w:val="1"/>
          <w:color w:val="auto"/>
        </w:rPr>
        <w:t>COHU,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2016.</w:t>
      </w:r>
    </w:p>
    <w:p>
      <w:pPr>
        <w:spacing w:after="0" w:line="180" w:lineRule="exact"/>
        <w:rPr>
          <w:sz w:val="20"/>
          <w:szCs w:val="20"/>
          <w:color w:val="auto"/>
        </w:rPr>
      </w:pPr>
    </w:p>
    <w:p>
      <w:pPr>
        <w:ind w:left="340" w:right="120"/>
        <w:spacing w:after="0" w:line="261" w:lineRule="auto"/>
        <w:rPr>
          <w:sz w:val="20"/>
          <w:szCs w:val="20"/>
          <w:color w:val="auto"/>
        </w:rPr>
      </w:pPr>
      <w:r>
        <w:rPr>
          <w:rFonts w:ascii="Times New Roman" w:cs="Times New Roman" w:eastAsia="Times New Roman" w:hAnsi="Times New Roman"/>
          <w:sz w:val="18"/>
          <w:szCs w:val="18"/>
          <w:color w:val="auto"/>
        </w:rPr>
        <w:t>As a result of our cumulative, three-year U.S. GAAP pretax loss from continuing operations of approximately $17.6 million at the end of 2016, and our U.S. loss in 2016, we were unable to conclude at December 31, 2016 that it was “more likely than not” that our U.S. DTAs would be realized. We will evaluate the realizability of our DTAs at the end of each quarterly reporting period in 2017 and should circumstances change it is possible the remaining valuation allowance, or a portion thereof, will be reversed in a future period.</w:t>
      </w:r>
    </w:p>
    <w:p>
      <w:pPr>
        <w:spacing w:after="0" w:line="180" w:lineRule="exact"/>
        <w:rPr>
          <w:sz w:val="20"/>
          <w:szCs w:val="20"/>
          <w:color w:val="auto"/>
        </w:rPr>
      </w:pPr>
    </w:p>
    <w:p>
      <w:pPr>
        <w:ind w:left="340" w:right="200"/>
        <w:spacing w:after="0" w:line="266" w:lineRule="auto"/>
        <w:rPr>
          <w:sz w:val="20"/>
          <w:szCs w:val="20"/>
          <w:color w:val="auto"/>
        </w:rPr>
      </w:pPr>
      <w:r>
        <w:rPr>
          <w:rFonts w:ascii="Times New Roman" w:cs="Times New Roman" w:eastAsia="Times New Roman" w:hAnsi="Times New Roman"/>
          <w:sz w:val="18"/>
          <w:szCs w:val="18"/>
          <w:color w:val="auto"/>
        </w:rPr>
        <w:t>Our valuation allowance on our DTAs at December 31, 2016 and December 26, 2015 was approximately $44.7 million and $42.3 million, respectively. The remaining gross DTAs for which a valuation allowance was not recorded are realizable through future reversals of existing taxable temporary differences.</w:t>
      </w:r>
    </w:p>
    <w:p>
      <w:pPr>
        <w:spacing w:after="0" w:line="176"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As the realization of DTAs is determined by tax jurisdiction, the deferred tax liabilities recorded as part of the 2008 acquisition of Rasco, a German corporation, and the fiscal 2013 acquisition of Ismeca, a Swiss Corporation, were not a source of taxable income in assessing the realization of our DTAs in the 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 to the provision for income taxes for continuing operations is as follows: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at U.S. 35% statutory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adjustments and releases from statute expirations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on which no tax benefit provided</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2,181</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(2,151)</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4,653</w:t>
            </w:r>
          </w:p>
        </w:tc>
      </w:tr>
      <w:tr>
        <w:trPr>
          <w:trHeight w:val="20"/>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State income taxes, net of federal benefit, have been reduced by research tax credits totaling approximately $0.2 million, $0.4 million and $0.5 million in 2016, 2015 and 2014, respectively.</w:t>
      </w:r>
    </w:p>
    <w:p>
      <w:pPr>
        <w:spacing w:after="0" w:line="162"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At December 31, 2016, we had federal, state and foreign net operating loss carryforwards of approximately $31.0 million, $22.2 million and $0.2 million, respectively, that expire in various tax years beginning in 2018 through 2036 or have no expiration date. We also have federal and state tax credit carryforwards at December 31, 2016 of approximately $8.2 million and $13.6 million, respectively, certain of which expire in various tax years beginning in 2017 through 2036 or have no expiration date. The federal and state loss and credit carryforwards are subject to annual limitations under Sections 382 and 383 of the Internal Revenue Code and applicable state tax law.</w:t>
      </w:r>
    </w:p>
    <w:p>
      <w:pPr>
        <w:spacing w:after="0" w:line="184"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U.S. income taxes have not been provided on approximately $49 million of accumulated undistributed earnings of certain foreign subsidiaries, as we currently intend to indefinitely reinvest these earnings in operations outside the U.S. We repatriated $17.4 million from our Singapore subsidiary in 2016 due to the reduction in business activity of that operation. Our intent is to continue to indefinitely reinvest the remaining funds in our foreign operations and we have no current plans that would require us to repatriate these funds to the U.S. It is not practicable to estimate the amount of tax that might be payable if some or all of such earnings were to be remitted.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We have certain tax holidays with respect to our operations in Malaysia and the Philippines. These holidays require compliance with certain conditions and expire at various dates through 2023. The impact of these holidays was an increase in net income of approximately $1.0 million or $0.04 per share in 2016, $0.8 million, or $0.03 per share, in 2015 and not significant in 2014.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our gross unrecognized tax benefits, excluding accrued interest and penalties, is as follows: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10,841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Gross additions for tax positions of current year</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additions for tax positions of prior years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Reductions due to lapse of the statute of limitations</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impact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10,841</w:t>
            </w:r>
          </w:p>
        </w:tc>
      </w:tr>
      <w:tr>
        <w:trPr>
          <w:trHeight w:val="20"/>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If the unrecognized tax benefits at December 31, 2016 are ultimately recognized, approximately $5.2 million ($5.6 million at December 26, 2015) would result in a reduction in our income tax expense and effective tax rate. It is reasonably possible that our gross unrecognized tax benefits as of December 31, 2016 could decrease in 2017 by approximately $0.8 million as a result of the expiration of certain statutes of limitations.</w:t>
      </w:r>
    </w:p>
    <w:p>
      <w:pPr>
        <w:spacing w:after="0" w:line="176" w:lineRule="exact"/>
        <w:rPr>
          <w:sz w:val="20"/>
          <w:szCs w:val="20"/>
          <w:color w:val="auto"/>
        </w:rPr>
      </w:pPr>
    </w:p>
    <w:p>
      <w:pPr>
        <w:jc w:val="both"/>
        <w:ind w:left="340" w:right="200"/>
        <w:spacing w:after="0" w:line="266"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in income tax expense. Cohu had approximately $1.2 million and $1.4 million accrued for the payment of interest and penalties at December 31, 2016 and December 26, 2015, respectively. Interest expense, net of accrued interest reversed, was not significant in 2016, $0.1 million in 2015 and not significant in 2014.</w:t>
      </w:r>
    </w:p>
    <w:p>
      <w:pPr>
        <w:spacing w:after="0" w:line="176"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Our U.S. federal and state income tax returns for years after 2012 and 2011,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w:t>
      </w:r>
    </w:p>
    <w:p>
      <w:pPr>
        <w:spacing w:after="0" w:line="352"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applied the provisions of ASC 280, which sets forth a management approach to segment reporting,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Based on the provisions of ASC 280, we have determined that our identified operating segments qualify for aggregation under ASC 280 due to their similarities in customer base, economic characteristics, and the nature of products and services provided and, as a result we report in one segment, semiconductor equipment. As a result, the financial information disclosed herein materially represents all of the financial information related to our semiconductor equipment segment.</w:t>
      </w:r>
    </w:p>
    <w:p>
      <w:pPr>
        <w:spacing w:after="0" w:line="18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last three years, the following customers comprised 10% or greater of our consolidated net sales: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2016</w:t>
            </w:r>
          </w:p>
        </w:tc>
        <w:tc>
          <w:tcPr>
            <w:tcW w:w="17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2015</w:t>
            </w:r>
          </w:p>
        </w:tc>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w:t>
            </w:r>
          </w:p>
        </w:tc>
        <w:tc>
          <w:tcPr>
            <w:tcW w:w="15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8"/>
                <w:szCs w:val="18"/>
                <w:color w:val="auto"/>
              </w:rPr>
            </w:pPr>
          </w:p>
        </w:tc>
      </w:tr>
      <w:tr>
        <w:trPr>
          <w:trHeight w:val="231"/>
        </w:trPr>
        <w:tc>
          <w:tcPr>
            <w:tcW w:w="4020" w:type="dxa"/>
            <w:vAlign w:val="bottom"/>
          </w:tcPr>
          <w:p>
            <w:pPr>
              <w:spacing w:after="0" w:line="231" w:lineRule="exact"/>
              <w:rPr>
                <w:sz w:val="20"/>
                <w:szCs w:val="20"/>
                <w:color w:val="auto"/>
              </w:rPr>
            </w:pPr>
            <w:r>
              <w:rPr>
                <w:rFonts w:ascii="Times New Roman" w:cs="Times New Roman" w:eastAsia="Times New Roman" w:hAnsi="Times New Roman"/>
                <w:sz w:val="16"/>
                <w:szCs w:val="16"/>
                <w:color w:val="auto"/>
              </w:rPr>
              <w:t xml:space="preserve">NXP Semiconductors N.V. </w:t>
            </w:r>
            <w:r>
              <w:rPr>
                <w:rFonts w:ascii="Times New Roman" w:cs="Times New Roman" w:eastAsia="Times New Roman" w:hAnsi="Times New Roman"/>
                <w:sz w:val="26"/>
                <w:szCs w:val="26"/>
                <w:color w:val="auto"/>
                <w:vertAlign w:val="superscript"/>
              </w:rPr>
              <w:t>(1)</w:t>
            </w:r>
          </w:p>
        </w:tc>
        <w:tc>
          <w:tcPr>
            <w:tcW w:w="1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13.7%</w:t>
            </w:r>
          </w:p>
        </w:tc>
        <w:tc>
          <w:tcPr>
            <w:tcW w:w="17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11.4%</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00" w:right="280" w:hanging="292"/>
        <w:spacing w:after="0" w:line="259" w:lineRule="auto"/>
        <w:tabs>
          <w:tab w:leader="none" w:pos="3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merger of NXP Semiconductors N.V. and Freescale Semiconductor, Ltd. was completed on December 7, 2015. Sales to these customers have been combined for all periods presented.</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30"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b w:val="1"/>
          <w:bCs w:val="1"/>
          <w:color w:val="auto"/>
        </w:rPr>
        <w:t>COHU,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sales to customers, attributed to countries based on product shipment destination, were as follows:</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85,956</w:t>
            </w:r>
          </w:p>
        </w:tc>
        <w:tc>
          <w:tcPr>
            <w:tcW w:w="5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60,776</w:t>
            </w:r>
          </w:p>
        </w:tc>
        <w:tc>
          <w:tcPr>
            <w:tcW w:w="4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73,818</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51,662</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72,266</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105,585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118,883</w:t>
            </w: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282,084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Geographic location of our property, plant and equipment and other long-lived assets was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7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5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net</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26,892</w:t>
            </w:r>
          </w:p>
        </w:tc>
        <w:tc>
          <w:tcPr>
            <w:tcW w:w="5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net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76,684</w:t>
            </w:r>
          </w:p>
        </w:tc>
        <w:tc>
          <w:tcPr>
            <w:tcW w:w="5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lease certain of our facilities and equipment under non-cancelable operating leases. Rental expense was $4.4 million in 2016 and $1.8 million in both 2015 and 2014. The increase in rent expense in 2016 was a result of the sale lease-back of our headquarters facility on December 4, 2015. See Note 13, “Sale-leaseback of Poway Facility” for additional information.</w:t>
      </w:r>
    </w:p>
    <w:p>
      <w:pPr>
        <w:spacing w:after="0" w:line="17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Future minimum lease payments at December 31, 2016 are as follows: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Non-cancelable operating leases  $</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3,051</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2,527</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2,237</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2,259</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2,299</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21,068</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From time-to-time we are involved in various legal proceedings, examinations by various tax authorities and claims that have arisen in the ordinary course of our business. The outcome of any litigation is inherently uncertain. While there can be no assurance, at the present time we do not believe that the resolution of the matters described above will have a material adverse effect on our assets, financial position or results of operations.</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67"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b w:val="1"/>
          <w:bCs w:val="1"/>
          <w:color w:val="auto"/>
        </w:rPr>
        <w:t>COHU,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40" w:right="9660" w:hanging="332"/>
        <w:spacing w:after="0" w:line="533" w:lineRule="auto"/>
        <w:tabs>
          <w:tab w:leader="none" w:pos="3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Guarantees </w:t>
      </w:r>
      <w:r>
        <w:rPr>
          <w:rFonts w:ascii="Times New Roman" w:cs="Times New Roman" w:eastAsia="Times New Roman" w:hAnsi="Times New Roman"/>
          <w:sz w:val="17"/>
          <w:szCs w:val="17"/>
          <w:i w:val="1"/>
          <w:iCs w:val="1"/>
          <w:u w:val="single" w:color="auto"/>
          <w:color w:val="auto"/>
        </w:rPr>
        <w:t>Accrued Warranty</w:t>
      </w: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Changes in accrued warranty during the three-year period ended December 31, 2016 was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Warranty accruals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6,747</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w:t>
            </w:r>
          </w:p>
        </w:tc>
      </w:tr>
      <w:tr>
        <w:trPr>
          <w:trHeight w:val="216"/>
        </w:trPr>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 payments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(6,624)</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(7,709)</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(5,001)</w:t>
            </w:r>
          </w:p>
        </w:tc>
      </w:tr>
      <w:tr>
        <w:trPr>
          <w:trHeight w:val="20"/>
        </w:trPr>
        <w:tc>
          <w:tcPr>
            <w:tcW w:w="38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6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5,848</w:t>
            </w:r>
          </w:p>
        </w:tc>
      </w:tr>
      <w:tr>
        <w:trPr>
          <w:trHeight w:val="20"/>
        </w:trPr>
        <w:tc>
          <w:tcPr>
            <w:tcW w:w="3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warranty amounts expected to be incurred after one year are included in noncurrent other accrued liabilities in the consolidated balance sheet.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amounts total $0.6 million at December 31, 2016 and $1.1 million at December 26, 2015.</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Lines of Credit</w:t>
      </w:r>
    </w:p>
    <w:p>
      <w:pPr>
        <w:spacing w:after="0" w:line="227"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Our wholly owned Ismeca subsidiary has two available lines of credit which provide it with borrowings of up to a total of 2.5 million Swiss Francs. At December 31, 2016 and December 26, 2015 no amounts were outstanding under the lines of credit.</w:t>
      </w:r>
    </w:p>
    <w:p>
      <w:pPr>
        <w:spacing w:after="0" w:line="15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other comprehensive loss, on an after-tax basis, were as follows: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Tax (Expense)</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Before Tax amount</w:t>
            </w:r>
          </w:p>
        </w:tc>
        <w:tc>
          <w:tcPr>
            <w:tcW w:w="16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Benefit</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Net of Tax Amount</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27, 2014</w:t>
            </w:r>
          </w:p>
        </w:tc>
        <w:tc>
          <w:tcPr>
            <w:tcW w:w="1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(3,809)</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2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Year ended December 26, 2015</w:t>
            </w: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2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Year ended December 31, 2016</w:t>
            </w: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accumulated other comprehensive loss, net of tax, at the end of each period are as follows:</w:t>
      </w:r>
    </w:p>
    <w:p>
      <w:pPr>
        <w:spacing w:after="0" w:line="277" w:lineRule="exact"/>
        <w:rPr>
          <w:sz w:val="20"/>
          <w:szCs w:val="20"/>
          <w:color w:val="auto"/>
        </w:rPr>
      </w:pPr>
    </w:p>
    <w:tbl>
      <w:tblPr>
        <w:tblLayout w:type="fixed"/>
        <w:tblInd w:w="500" w:type="dxa"/>
        <w:tblCellMar>
          <w:top w:w="0" w:type="dxa"/>
          <w:left w:w="0" w:type="dxa"/>
          <w:bottom w:w="0" w:type="dxa"/>
          <w:right w:w="0" w:type="dxa"/>
        </w:tblCellMar>
      </w:tblPr>
      <w:tr>
        <w:trPr>
          <w:trHeight w:val="236"/>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currency translation adjustments</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(25,116)</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adjustments related to postretirement benefits</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(2,761)</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unrealized gain/loss on investments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0"/>
        </w:trPr>
        <w:tc>
          <w:tcPr>
            <w:tcW w:w="74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(27,882)</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(21,772)</w:t>
            </w:r>
          </w:p>
        </w:tc>
      </w:tr>
      <w:tr>
        <w:trPr>
          <w:trHeight w:val="20"/>
        </w:trPr>
        <w:tc>
          <w:tcPr>
            <w:tcW w:w="7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2016 certain of our cash and short-term investments were held and managed by BlackRock, Inc. which owns 11.5% of our outstanding common stock as reported in its Form 13-G filing made with the Securities and Exchange Commission on January 12, 2017.</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9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Sale-leaseback of Poway Facility</w:t>
      </w:r>
    </w:p>
    <w:p>
      <w:pPr>
        <w:spacing w:after="0" w:line="229" w:lineRule="exact"/>
        <w:rPr>
          <w:rFonts w:ascii="Times New Roman" w:cs="Times New Roman" w:eastAsia="Times New Roman" w:hAnsi="Times New Roman"/>
          <w:sz w:val="18"/>
          <w:szCs w:val="18"/>
          <w:b w:val="1"/>
          <w:bCs w:val="1"/>
          <w:color w:val="auto"/>
        </w:rPr>
      </w:pPr>
    </w:p>
    <w:p>
      <w:pPr>
        <w:ind w:left="340"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4, 2015, we completed the sale of our headquarters facility located in Poway, California (the “Poway Facility”) for $34.1 million. After payment of commissions and other fees associated with the sale we realized net cash proceeds of approximately $33.3 million which resulted in a total gain of $18.5 million. Concurrent with the closing of the sale, we entered into a lease, with a ten-year term through 2025, that provides for base rent of approximately $1.6 million per annum, with 3% annual adjustments for inflation and a pro rata share of property operating costs. The lease covers approximately 43% of the Poway Facility. This lease also contains two five-year renewal options.</w:t>
      </w:r>
    </w:p>
    <w:p>
      <w:pPr>
        <w:spacing w:after="0" w:line="181" w:lineRule="exact"/>
        <w:rPr>
          <w:rFonts w:ascii="Times New Roman" w:cs="Times New Roman" w:eastAsia="Times New Roman" w:hAnsi="Times New Roman"/>
          <w:sz w:val="18"/>
          <w:szCs w:val="18"/>
          <w:b w:val="1"/>
          <w:bCs w:val="1"/>
          <w:color w:val="auto"/>
        </w:rPr>
      </w:pPr>
    </w:p>
    <w:p>
      <w:pPr>
        <w:ind w:left="340" w:righ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accounted for this transaction in accordance with ASC subtopic 840-40, </w:t>
      </w:r>
      <w:r>
        <w:rPr>
          <w:rFonts w:ascii="Times New Roman" w:cs="Times New Roman" w:eastAsia="Times New Roman" w:hAnsi="Times New Roman"/>
          <w:sz w:val="18"/>
          <w:szCs w:val="18"/>
          <w:i w:val="1"/>
          <w:iCs w:val="1"/>
          <w:color w:val="auto"/>
        </w:rPr>
        <w:t>Sale-leaseback transactions</w:t>
      </w:r>
      <w:r>
        <w:rPr>
          <w:rFonts w:ascii="Times New Roman" w:cs="Times New Roman" w:eastAsia="Times New Roman" w:hAnsi="Times New Roman"/>
          <w:sz w:val="18"/>
          <w:szCs w:val="18"/>
          <w:color w:val="auto"/>
        </w:rPr>
        <w:t>, and recognized a gain on the sale-leaseback totaling $3.2 million for the year ended December 26, 2015. The remaining $15.3 million portion of the gain not recognized at the time of sale was deferred and is being recognized on a straight-line basis over the 10-year lease term in line with the recognition of rental expense related to the lease. During the year ended December 31, 2016 we amortized $2.0 million of the deferred gain to income.</w:t>
      </w:r>
    </w:p>
    <w:p>
      <w:pPr>
        <w:spacing w:after="0" w:line="35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First (a)</w:t>
            </w:r>
          </w:p>
        </w:tc>
        <w:tc>
          <w:tcPr>
            <w:tcW w:w="24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Second (a)</w:t>
            </w:r>
          </w:p>
        </w:tc>
        <w:tc>
          <w:tcPr>
            <w:tcW w:w="2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Third (a)</w:t>
            </w:r>
          </w:p>
        </w:tc>
        <w:tc>
          <w:tcPr>
            <w:tcW w:w="26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Fourth (a)</w:t>
            </w:r>
          </w:p>
        </w:tc>
        <w:tc>
          <w:tcPr>
            <w:tcW w:w="36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Year</w:t>
            </w:r>
          </w:p>
        </w:tc>
        <w:tc>
          <w:tcPr>
            <w:tcW w:w="0" w:type="dxa"/>
            <w:vAlign w:val="bottom"/>
          </w:tcPr>
          <w:p>
            <w:pPr>
              <w:spacing w:after="0"/>
              <w:rPr>
                <w:sz w:val="1"/>
                <w:szCs w:val="1"/>
                <w:color w:val="auto"/>
              </w:rPr>
            </w:pPr>
          </w:p>
        </w:tc>
      </w:tr>
      <w:tr>
        <w:trPr>
          <w:trHeight w:val="230"/>
        </w:trPr>
        <w:tc>
          <w:tcPr>
            <w:tcW w:w="3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65,778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76,353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70,694</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63,447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75,211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67,512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63,484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269,654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19,282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26,739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23,280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25,527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25,702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22,794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20,397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3,887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 (c):</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980" w:right="200" w:hanging="324"/>
        <w:spacing w:after="0" w:line="249"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quarters presented above were comprised of 13 weeks, except for the fourth quarter ended December 31, 2016 which was comprised of 14 weeks.</w:t>
      </w:r>
    </w:p>
    <w:p>
      <w:pPr>
        <w:ind w:left="980" w:right="120" w:hanging="324"/>
        <w:spacing w:after="0" w:line="265" w:lineRule="auto"/>
        <w:tabs>
          <w:tab w:leader="none" w:pos="9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adoption of ASU 2016-09, in the fourth quarter of 2016, certain amounts in the first three quarters have been restated as if the new accounting guidance was adopted starting with the first day of our 2016 fiscal year. The impact of these restatements was not significant.</w:t>
      </w:r>
    </w:p>
    <w:p>
      <w:pPr>
        <w:ind w:left="980" w:right="280" w:hanging="324"/>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four quarters may not agree to the year total due to rounding within a quarter and the inclusion or exclusion of common stock equivalents.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Cohu, Inc. as of December 31, 2016 and December 26, 2015, and the related consolidated statements of income, comprehensive loss, stockholders’ equity, and cash flows for each of the three years in the period ended December 31, 2016.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Cohu, Inc. at December 31, 2016 and December 26, 2015, and the consolidated results of its operations and its cash flows for each of the three years in the period ended December 31,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Cohu, Inc.’s internal control over financial reporting as of December 31, 2016, based on criteria established in Internal Control-Integrated Framework issued by the Committee of Sponsoring Organizations of the Treadway Commission (2013 framework) and our report dated March 2, 2017 expressed an unqualified opinion thereon.</w:t>
      </w:r>
    </w:p>
    <w:p>
      <w:pPr>
        <w:spacing w:after="0" w:line="2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2017</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15. (b)</w:t>
            </w: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into, the 2016 Cohu, Inc. Annual Report on Form 10-K:</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Purchase Agreement dated November 15, 2016 by and among Cohu, Inc. (and certain of its subsidiaries), Kita Manufacturing Co.,</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 and the Shareholders of Kita Manufacturing Co., LTD. incorporated herein by reference to Exhibit 2.1 from the Cohu, Inc. Current</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on Form 8-K filed with the Securities and Exchange Commission on January 10, 2017</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Cohu, Inc. incorporated herein by reference to Exhibit 3.1(a) from the Cohu, Inc. Form</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 filed with the Securities and Exchange Commission on July 19, 1999</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 of Cohu, Inc. incorporated herein by reference from the</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Cohu, Inc. Form S-8 filed June 30, 2000, Exhibit 4.1(a)</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Cohu, Inc. incorporated herein by reference to Exhibit 3.2 from the Cohu, Inc. Current Report on Form 8-K</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with the Securities and Exchange Commission on December 12, 1996</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Cohu, Inc. 2005 Equity Incentive Plan incorporated herein by reference to Exhibit 10.1 from the Cohu, Inc. Current Report on</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 filed with the Securities and Exchange Commission on May 13, 2015*</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Cohu, Inc. 1997 Employee Stock Purchase Plan, incorporated herein by reference to Exhibit 10.2 from the Cohu, Inc. Current</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on Form 8-K filed with the Securities and Exchange Commission on May 13, 2015*</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Cohu, Inc. Deferred Compensation Plan (as amended and restated) incorporated herein by reference to Exhibit 10.1 from the Cohu, Inc.</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filed with the Securities and Exchange Commission on December 29, 2008*</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employee restricted stock unit agreement for use with restricted stock units granted pursuant to the Cohu, Inc. 2005 Equity Incentive</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 incorporated herein by reference to Exhibit 10.1 from the Cohu, Inc. Quarterly Report on Form 10-Q filed with the Securities and</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Commission on August 4, 2015*</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non-employee director restricted stock unit agreement for use with restricted stock units granted pursuant to the Cohu, Inc. 2005</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Incentive Plan incorporated herein by reference to Exhibit 10.2 from the Cohu, Inc. Quarterly Report on Form 10-Q filed with the</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and Exchange Commission on August 4, 2015*</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non-employee director restricted stock unit deferral election form for use with restricted stock units granted pursuant to the Cohu,</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 2005 Equity Incentive Plan incorporated herein by reference to Exhibit 10.3 from the Cohu, Inc. Quarterly Report on Form 10-Q filed</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the Securities and Exchange Commission on August 4, 2015*</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Non-employee director fee deferral election form incorporated herein by reference to Exhibit 10.4 from the Cohu, Inc. Quarterly Report on</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 filed with the Securities and Exchange Commission on August 4, 2015*</w:t>
            </w: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deferred stock agreement for shares granted pursuant to the Cohu, Inc. 2005 Equity Incentive Plan incorporated herein by reference</w:t>
            </w:r>
          </w:p>
        </w:tc>
      </w:t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Exhibit 10.5 from the Cohu, Inc. Quarterly Report on Form 10-Q filed with the Securities and Exchange Commission on August 4, 2015*</w:t>
            </w:r>
          </w:p>
        </w:tc>
      </w:tr>
      <w:tr>
        <w:trPr>
          <w:trHeight w:val="675"/>
        </w:trPr>
        <w:tc>
          <w:tcPr>
            <w:tcW w:w="880" w:type="dxa"/>
            <w:vAlign w:val="bottom"/>
          </w:tcPr>
          <w:p>
            <w:pPr>
              <w:spacing w:after="0"/>
              <w:rPr>
                <w:sz w:val="24"/>
                <w:szCs w:val="24"/>
                <w:color w:val="auto"/>
              </w:rPr>
            </w:pPr>
          </w:p>
        </w:tc>
        <w:tc>
          <w:tcPr>
            <w:tcW w:w="10580" w:type="dxa"/>
            <w:vAlign w:val="bottom"/>
            <w:gridSpan w:val="3"/>
          </w:tcPr>
          <w:p>
            <w:pPr>
              <w:jc w:val="right"/>
              <w:ind w:right="5660"/>
              <w:spacing w:after="0"/>
              <w:rPr>
                <w:sz w:val="20"/>
                <w:szCs w:val="20"/>
                <w:color w:val="auto"/>
              </w:rPr>
            </w:pPr>
            <w:r>
              <w:rPr>
                <w:rFonts w:ascii="Times New Roman" w:cs="Times New Roman" w:eastAsia="Times New Roman" w:hAnsi="Times New Roman"/>
                <w:sz w:val="18"/>
                <w:szCs w:val="18"/>
                <w:color w:val="auto"/>
              </w:rPr>
              <w:t>56</w:t>
            </w:r>
          </w:p>
        </w:tc>
      </w:tr>
      <w:tr>
        <w:trPr>
          <w:trHeight w:val="105"/>
        </w:trPr>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20" w:type="dxa"/>
            <w:vAlign w:val="bottom"/>
          </w:tcPr>
          <w:p>
            <w:pPr>
              <w:spacing w:after="0"/>
              <w:rPr>
                <w:sz w:val="9"/>
                <w:szCs w:val="9"/>
                <w:color w:val="auto"/>
              </w:rPr>
            </w:pPr>
          </w:p>
        </w:tc>
      </w:tr>
      <w:tr>
        <w:trPr>
          <w:trHeight w:val="61"/>
        </w:trPr>
        <w:tc>
          <w:tcPr>
            <w:tcW w:w="8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94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3" w:right="19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Form of stock option agreement for use with stock options granted pursuant to the Cohu, Inc. 2005 Equity Incentive Plan incorporated herein</w:t>
            </w:r>
          </w:p>
        </w:tc>
      </w:tr>
      <w:tr>
        <w:trPr>
          <w:trHeight w:val="216"/>
        </w:trPr>
        <w:tc>
          <w:tcPr>
            <w:tcW w:w="920" w:type="dxa"/>
            <w:vAlign w:val="bottom"/>
          </w:tcPr>
          <w:p>
            <w:pPr>
              <w:spacing w:after="0"/>
              <w:rPr>
                <w:sz w:val="18"/>
                <w:szCs w:val="18"/>
                <w:color w:val="auto"/>
              </w:rPr>
            </w:pP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 reference to Exhibit 10.6 from the Cohu, Inc. Quarterly Report on Form 10-Q filed with the Securities and Exchange Commission on</w:t>
            </w:r>
          </w:p>
        </w:tc>
      </w:tr>
      <w:tr>
        <w:trPr>
          <w:trHeight w:val="234"/>
        </w:trPr>
        <w:tc>
          <w:tcPr>
            <w:tcW w:w="9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August 4, 2015*</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Intel Corporation Purchase Agreement Capital Equipment, Goods and Services, dated April 30, 2012, by and between Delta Design, Inc. and</w:t>
            </w:r>
          </w:p>
        </w:tc>
      </w:tr>
      <w:tr>
        <w:trPr>
          <w:trHeight w:val="234"/>
        </w:trPr>
        <w:tc>
          <w:tcPr>
            <w:tcW w:w="9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 Corporation incorporated herein by reference to Exhibit 99.1 from the Cohu, Inc. Current Report on Form 8-K/A filed August 1, 2012</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Indemnity Agreement, incorporated by reference to Exhibit 10.1 from the Cohu, Inc. Current Report on Form 8-K filed July 28,</w:t>
            </w:r>
          </w:p>
        </w:tc>
      </w:tr>
      <w:tr>
        <w:trPr>
          <w:trHeight w:val="234"/>
        </w:trPr>
        <w:tc>
          <w:tcPr>
            <w:tcW w:w="9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2008*</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Cohu, Inc. Retiree Health Benefits Agreement (as amended) incorporated herein by reference to Exhibit 10.2 from the Cohu, Inc. Current</w:t>
            </w:r>
          </w:p>
        </w:tc>
      </w:tr>
      <w:tr>
        <w:trPr>
          <w:trHeight w:val="234"/>
        </w:trPr>
        <w:tc>
          <w:tcPr>
            <w:tcW w:w="9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 on Form 8-K filed with the Securities and Exchange Commission on December 29, 2008*</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Cohu, Inc. Change in Control Agreement incorporated herein by reference to Exhibit 10.3 from the Cohu, Inc. Current Report on Form 8-K</w:t>
            </w:r>
          </w:p>
        </w:tc>
      </w:tr>
      <w:tr>
        <w:trPr>
          <w:trHeight w:val="234"/>
        </w:trPr>
        <w:tc>
          <w:tcPr>
            <w:tcW w:w="9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with the Securities and Exchange Commission on December 29, 2008*</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Lease agreement dated December 4, 2015 by and between CT Crosthwaite I, LLC and Cohu, Inc. incorporated herein by reference to Exhibit</w:t>
            </w:r>
          </w:p>
        </w:tc>
      </w:tr>
      <w:tr>
        <w:trPr>
          <w:trHeight w:val="234"/>
        </w:trPr>
        <w:tc>
          <w:tcPr>
            <w:tcW w:w="920" w:type="dxa"/>
            <w:vAlign w:val="bottom"/>
          </w:tcPr>
          <w:p>
            <w:pPr>
              <w:spacing w:after="0"/>
              <w:rPr>
                <w:sz w:val="20"/>
                <w:szCs w:val="20"/>
                <w:color w:val="auto"/>
              </w:rPr>
            </w:pP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10.14 from the Cohu, Inc. Annual Report on Form 10-K filed with the Securities and Exchange Commission on February 23, 2016</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 of Cohu, Inc.</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 for Luis A. Müller</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pursuant to Section 302(a) of the Sarbanes-Oxley Act of 2002 for Jeffrey D. Jones</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for Luis A. Müller</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for Jeffrey D. Jones</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607" w:right="339" w:bottom="1440" w:gutter="0" w:footer="0" w:header="0"/>
        </w:sectPr>
      </w:pPr>
    </w:p>
    <w:bookmarkStart w:id="59" w:name="page60"/>
    <w:bookmarkEnd w:id="59"/>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COHU, INC.</w:t>
            </w:r>
          </w:p>
        </w:tc>
      </w:tr>
      <w:tr>
        <w:trPr>
          <w:trHeight w:val="64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2017</w:t>
            </w:r>
          </w:p>
        </w:tc>
        <w:tc>
          <w:tcPr>
            <w:tcW w:w="64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Luis A. Müller</w:t>
            </w:r>
          </w:p>
        </w:tc>
      </w:tr>
      <w:tr>
        <w:trPr>
          <w:trHeight w:val="191"/>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Luis A. Müller</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00"/>
          </w:cols>
          <w:pgMar w:left="240" w:top="603" w:right="45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8"/>
          <w:szCs w:val="18"/>
          <w:color w:val="auto"/>
        </w:rPr>
        <w:t>/s/ James A. Donahue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322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322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ind w:right="640"/>
        <w:spacing w:after="0" w:line="329" w:lineRule="auto"/>
        <w:rPr>
          <w:sz w:val="20"/>
          <w:szCs w:val="20"/>
          <w:color w:val="auto"/>
        </w:rPr>
      </w:pPr>
      <w:r>
        <w:rPr>
          <w:rFonts w:ascii="Times New Roman" w:cs="Times New Roman" w:eastAsia="Times New Roman" w:hAnsi="Times New Roman"/>
          <w:sz w:val="17"/>
          <w:szCs w:val="17"/>
          <w:color w:val="auto"/>
        </w:rPr>
        <w:t>/s/ Jeffrey D. Jones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7322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6" w:lineRule="exact"/>
        <w:rPr>
          <w:sz w:val="20"/>
          <w:szCs w:val="20"/>
          <w:color w:val="auto"/>
        </w:rPr>
      </w:pPr>
    </w:p>
    <w:p>
      <w:pPr>
        <w:ind w:right="340"/>
        <w:spacing w:after="0" w:line="329" w:lineRule="auto"/>
        <w:rPr>
          <w:sz w:val="20"/>
          <w:szCs w:val="20"/>
          <w:color w:val="auto"/>
        </w:rPr>
      </w:pPr>
      <w:r>
        <w:rPr>
          <w:rFonts w:ascii="Times New Roman" w:cs="Times New Roman" w:eastAsia="Times New Roman" w:hAnsi="Times New Roman"/>
          <w:sz w:val="17"/>
          <w:szCs w:val="17"/>
          <w:color w:val="auto"/>
        </w:rPr>
        <w:t>/s/ William E. Bendush 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7322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6" w:lineRule="exact"/>
        <w:rPr>
          <w:sz w:val="20"/>
          <w:szCs w:val="20"/>
          <w:color w:val="auto"/>
        </w:rPr>
      </w:pPr>
    </w:p>
    <w:p>
      <w:pPr>
        <w:ind w:right="460"/>
        <w:spacing w:after="0" w:line="329" w:lineRule="auto"/>
        <w:rPr>
          <w:sz w:val="20"/>
          <w:szCs w:val="20"/>
          <w:color w:val="auto"/>
        </w:rPr>
      </w:pPr>
      <w:r>
        <w:rPr>
          <w:rFonts w:ascii="Times New Roman" w:cs="Times New Roman" w:eastAsia="Times New Roman" w:hAnsi="Times New Roman"/>
          <w:sz w:val="17"/>
          <w:szCs w:val="17"/>
          <w:color w:val="auto"/>
        </w:rPr>
        <w:t>/s/ Steven J. Bilodeau 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7322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6" w:lineRule="exact"/>
        <w:rPr>
          <w:sz w:val="20"/>
          <w:szCs w:val="20"/>
          <w:color w:val="auto"/>
        </w:rPr>
      </w:pPr>
    </w:p>
    <w:p>
      <w:pPr>
        <w:ind w:right="420"/>
        <w:spacing w:after="0" w:line="329" w:lineRule="auto"/>
        <w:rPr>
          <w:sz w:val="20"/>
          <w:szCs w:val="20"/>
          <w:color w:val="auto"/>
        </w:rPr>
      </w:pPr>
      <w:r>
        <w:rPr>
          <w:rFonts w:ascii="Times New Roman" w:cs="Times New Roman" w:eastAsia="Times New Roman" w:hAnsi="Times New Roman"/>
          <w:sz w:val="17"/>
          <w:szCs w:val="17"/>
          <w:color w:val="auto"/>
        </w:rPr>
        <w:t>/s/ Andrew M. Caggia Andrew M. Caggia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7322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6"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8"/>
          <w:szCs w:val="18"/>
          <w:color w:val="auto"/>
        </w:rPr>
        <w:t>/s/ Robert L. Ciardella Robert L. Ciardella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322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Karl H. Funke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Karl H. Funke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322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4140" w:type="dxa"/>
            <w:vAlign w:val="bottom"/>
          </w:tcPr>
          <w:p>
            <w:pPr>
              <w:spacing w:after="0"/>
              <w:rPr>
                <w:sz w:val="17"/>
                <w:szCs w:val="17"/>
                <w:color w:val="auto"/>
              </w:rPr>
            </w:pPr>
          </w:p>
        </w:tc>
        <w:tc>
          <w:tcPr>
            <w:tcW w:w="184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3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4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18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March 2, 2017</w:t>
            </w: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March 2, 2017</w:t>
            </w: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c>
          <w:tcPr>
            <w:tcW w:w="18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March 2, 2017</w:t>
            </w: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4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March 2, 2017</w:t>
            </w:r>
          </w:p>
        </w:tc>
      </w:tr>
      <w:tr>
        <w:trPr>
          <w:trHeight w:val="66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March 2, 2017</w:t>
            </w:r>
          </w:p>
        </w:tc>
      </w:tr>
      <w:tr>
        <w:trPr>
          <w:trHeight w:val="66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March 2, 2017</w:t>
            </w:r>
          </w:p>
        </w:tc>
      </w:tr>
      <w:tr>
        <w:trPr>
          <w:trHeight w:val="66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March 2, 2017</w:t>
            </w:r>
          </w:p>
        </w:tc>
      </w:tr>
      <w:tr>
        <w:trPr>
          <w:trHeight w:val="66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8"/>
              </w:rPr>
              <w:t>March 2, 2017</w:t>
            </w:r>
          </w:p>
        </w:tc>
      </w:tr>
    </w:tbl>
    <w:p>
      <w:pPr>
        <w:spacing w:after="0" w:line="393" w:lineRule="exact"/>
        <w:rPr>
          <w:sz w:val="20"/>
          <w:szCs w:val="20"/>
          <w:color w:val="auto"/>
        </w:rPr>
      </w:pPr>
    </w:p>
    <w:p>
      <w:pPr>
        <w:sectPr>
          <w:pgSz w:w="11900" w:h="16838" w:orient="portrait"/>
          <w:cols w:equalWidth="0" w:num="2">
            <w:col w:w="2020" w:space="720"/>
            <w:col w:w="8460"/>
          </w:cols>
          <w:pgMar w:left="240" w:top="603" w:right="459" w:bottom="1440" w:gutter="0" w:footer="0" w:header="0"/>
          <w:type w:val="continuous"/>
        </w:sectPr>
      </w:pPr>
    </w:p>
    <w:p>
      <w:pPr>
        <w:spacing w:after="0" w:line="2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00"/>
          </w:cols>
          <w:pgMar w:left="240" w:top="603" w:right="4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Additions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(Reductions)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Balance at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Not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Charged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Beginning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Charged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(Credited)</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Deductions/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at End</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6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of Year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to Expense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to Expense</w:t>
            </w:r>
          </w:p>
        </w:tc>
        <w:tc>
          <w:tcPr>
            <w:tcW w:w="1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Write-offs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of 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27, 2014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5"/>
                <w:szCs w:val="25"/>
                <w:color w:val="auto"/>
                <w:vertAlign w:val="superscript"/>
              </w:rPr>
              <w:t>(1)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26, 2015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5"/>
                <w:szCs w:val="15"/>
                <w:color w:val="auto"/>
              </w:rPr>
              <w:t>(1)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6"/>
                <w:szCs w:val="16"/>
                <w:color w:val="auto"/>
              </w:rPr>
              <w:t>(4)</w:t>
            </w:r>
            <w:r>
              <w:rPr>
                <w:rFonts w:ascii="Times New Roman" w:cs="Times New Roman" w:eastAsia="Times New Roman" w:hAnsi="Times New Roman"/>
                <w:sz w:val="25"/>
                <w:szCs w:val="25"/>
                <w:color w:val="auto"/>
                <w:vertAlign w:val="superscript"/>
              </w:rPr>
              <w:t>(1)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27, 2014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6"/>
                <w:szCs w:val="16"/>
                <w:color w:val="auto"/>
              </w:rPr>
              <w:t>(762)</w:t>
            </w:r>
            <w:r>
              <w:rPr>
                <w:rFonts w:ascii="Times New Roman" w:cs="Times New Roman" w:eastAsia="Times New Roman" w:hAnsi="Times New Roman"/>
                <w:sz w:val="25"/>
                <w:szCs w:val="25"/>
                <w:color w:val="auto"/>
                <w:vertAlign w:val="superscript"/>
              </w:rPr>
              <w:t>(1)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9,232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26, 2015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6"/>
                <w:szCs w:val="16"/>
                <w:color w:val="auto"/>
              </w:rPr>
              <w:t>(648)</w:t>
            </w:r>
            <w:r>
              <w:rPr>
                <w:rFonts w:ascii="Times New Roman" w:cs="Times New Roman" w:eastAsia="Times New Roman" w:hAnsi="Times New Roman"/>
                <w:sz w:val="25"/>
                <w:szCs w:val="25"/>
                <w:color w:val="auto"/>
                <w:vertAlign w:val="superscript"/>
              </w:rPr>
              <w:t>(1)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1,789</w:t>
            </w:r>
            <w:r>
              <w:rPr>
                <w:rFonts w:ascii="Times New Roman" w:cs="Times New Roman" w:eastAsia="Times New Roman" w:hAnsi="Times New Roman"/>
                <w:sz w:val="25"/>
                <w:szCs w:val="25"/>
                <w:color w:val="auto"/>
                <w:vertAlign w:val="superscript"/>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8,082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reserve balances resulting from foreign currency impact.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reserve balances resulting from foreign currency impact and reclassifications from other reserves.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76"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SUBSIDIARIES OF COHU, INC.</w:t>
            </w:r>
          </w:p>
        </w:tc>
      </w:tr>
      <w:tr>
        <w:trPr>
          <w:trHeight w:val="432"/>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LEGAL ENTITY NAME</w:t>
            </w:r>
          </w:p>
        </w:tc>
        <w:tc>
          <w:tcPr>
            <w:tcW w:w="9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PLACE OF INCORPORATION</w:t>
            </w:r>
          </w:p>
        </w:tc>
      </w:tr>
      <w:tr>
        <w:trPr>
          <w:trHeight w:val="40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Delta Design, Inc. (1)</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FRL, Incorporated</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Delta Design (Littleton), Inc.</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Cohu Foreign Sales Ltd.</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Barbados</w:t>
            </w:r>
          </w:p>
        </w:tc>
      </w:tr>
      <w:tr>
        <w:trPr>
          <w:trHeight w:val="234"/>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Kita USA, Inc.</w:t>
            </w:r>
          </w:p>
        </w:tc>
        <w:tc>
          <w:tcPr>
            <w:tcW w:w="98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42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(1) Delta Design, Inc. owns the following subsidiaries:</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14"/>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Delta Design Luxembourg S.à r.l</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16"/>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Delta Design Singapore PTE LTD</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Delta Design Philippines LLC</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Cohu S.A.</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Costa Rica</w:t>
            </w:r>
          </w:p>
        </w:tc>
      </w:tr>
      <w:tr>
        <w:trPr>
          <w:trHeight w:val="216"/>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Delta Design Europe GmbH</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Rasco GmbH (2)</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Rosenheim Automation Systems Corporation</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Ismeca Semiconductor Holding SA (3)</w:t>
            </w: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43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 Rasco GmbH owns the following subsidiary:</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Kita Manufacturing Co., LTD.</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bl>
    <w:p>
      <w:pPr>
        <w:spacing w:after="0" w:line="198" w:lineRule="exact"/>
        <w:rPr>
          <w:sz w:val="20"/>
          <w:szCs w:val="20"/>
          <w:color w:val="auto"/>
        </w:rPr>
      </w:pPr>
    </w:p>
    <w:p>
      <w:pPr>
        <w:ind w:right="7160" w:firstLine="8"/>
        <w:spacing w:after="0" w:line="282"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Ismeca Semiconductor Holding SA owns the following subsidiaries:</w:t>
      </w:r>
    </w:p>
    <w:p>
      <w:pPr>
        <w:sectPr>
          <w:pgSz w:w="11900" w:h="16838" w:orient="portrait"/>
          <w:cols w:equalWidth="0" w:num="1">
            <w:col w:w="11420"/>
          </w:cols>
          <w:pgMar w:left="240" w:top="117" w:right="239" w:bottom="1440" w:gutter="0" w:footer="0" w:header="0"/>
        </w:sectPr>
      </w:pP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Ismeca Europe Semiconductor SA</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CDF Holding USA</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Ismeca USA, Inc.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Cohu Malaysia Sdn. Bhd.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Ismeca Semiconductor (Suzhou) Co Ltd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ectPr>
          <w:pgSz w:w="11900" w:h="16838" w:orient="portrait"/>
          <w:cols w:equalWidth="0" w:num="2">
            <w:col w:w="5560" w:space="720"/>
            <w:col w:w="5140"/>
          </w:cols>
          <w:pgMar w:left="240" w:top="117" w:right="239"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500" w:hanging="330"/>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333-215403) of Cohu, Inc., and</w:t>
      </w:r>
    </w:p>
    <w:p>
      <w:pPr>
        <w:spacing w:after="0" w:line="225" w:lineRule="exact"/>
        <w:rPr>
          <w:rFonts w:ascii="Times New Roman" w:cs="Times New Roman" w:eastAsia="Times New Roman" w:hAnsi="Times New Roman"/>
          <w:sz w:val="18"/>
          <w:szCs w:val="18"/>
          <w:color w:val="auto"/>
        </w:rPr>
      </w:pPr>
    </w:p>
    <w:p>
      <w:pPr>
        <w:jc w:val="both"/>
        <w:ind w:left="500" w:right="380" w:hanging="330"/>
        <w:spacing w:after="0" w:line="266"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333-207016, 333-62803, 333-27663, 333-40610, 333-66466, 333-97449, 333-117554, 333-132605, 333-142579, 333-160760, 333-177453 and 333-186973) pertaining to the Cohu, Inc. 1996 and 1998 Stock Option Plans, 1996 Outside Directors Stock Option Plan, 1997 Employee Stock Purchase Plan, and 2005 Equity Incentive Plan of Cohu, Inc.;</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of our reports dated March 2, 2017, with respect to the consolidated financial statements and schedule of Cohu, Inc., and the effectiveness of internal control over financial reporting of Cohu, Inc., included in this Annual Report (Form 10-K) of Cohu, Inc. for the year ended December 31, 2016.</w:t>
      </w:r>
    </w:p>
    <w:p>
      <w:pPr>
        <w:spacing w:after="0" w:line="2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2017</w:t>
      </w:r>
    </w:p>
    <w:p>
      <w:pPr>
        <w:sectPr>
          <w:pgSz w:w="11900" w:h="16838" w:orient="portrait"/>
          <w:cols w:equalWidth="0" w:num="1">
            <w:col w:w="11420"/>
          </w:cols>
          <w:pgMar w:left="240" w:top="117"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A. Müller, certify that:</w:t>
      </w:r>
    </w:p>
    <w:p>
      <w:pPr>
        <w:spacing w:after="0" w:line="225" w:lineRule="exact"/>
        <w:rPr>
          <w:sz w:val="20"/>
          <w:szCs w:val="20"/>
          <w:color w:val="auto"/>
        </w:rPr>
      </w:pPr>
    </w:p>
    <w:p>
      <w:pPr>
        <w:ind w:left="460" w:hanging="18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Cohu, Inc.;</w:t>
      </w:r>
    </w:p>
    <w:p>
      <w:pPr>
        <w:spacing w:after="0" w:line="225" w:lineRule="exact"/>
        <w:rPr>
          <w:rFonts w:ascii="Times New Roman" w:cs="Times New Roman" w:eastAsia="Times New Roman" w:hAnsi="Times New Roman"/>
          <w:sz w:val="18"/>
          <w:szCs w:val="18"/>
          <w:color w:val="auto"/>
        </w:rPr>
      </w:pPr>
    </w:p>
    <w:p>
      <w:pPr>
        <w:jc w:val="both"/>
        <w:ind w:right="440" w:firstLine="278"/>
        <w:spacing w:after="0" w:line="282" w:lineRule="auto"/>
        <w:tabs>
          <w:tab w:leader="none" w:pos="4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60" w:firstLine="278"/>
        <w:spacing w:after="0" w:line="282" w:lineRule="auto"/>
        <w:tabs>
          <w:tab w:leader="none" w:pos="4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60" w:hanging="18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27" w:lineRule="exact"/>
        <w:rPr>
          <w:rFonts w:ascii="Times New Roman" w:cs="Times New Roman" w:eastAsia="Times New Roman" w:hAnsi="Times New Roman"/>
          <w:sz w:val="18"/>
          <w:szCs w:val="18"/>
          <w:color w:val="auto"/>
        </w:rPr>
      </w:pPr>
    </w:p>
    <w:p>
      <w:pPr>
        <w:ind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ind w:left="500" w:right="180" w:hanging="168"/>
        <w:spacing w:after="0" w:line="266" w:lineRule="auto"/>
        <w:tabs>
          <w:tab w:leader="none" w:pos="52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500" w:right="160" w:hanging="168"/>
        <w:spacing w:after="0" w:line="266" w:lineRule="auto"/>
        <w:tabs>
          <w:tab w:leader="none" w:pos="53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00" w:right="40" w:hanging="168"/>
        <w:spacing w:after="0" w:line="282" w:lineRule="auto"/>
        <w:tabs>
          <w:tab w:leader="none" w:pos="52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120" w:hanging="168"/>
        <w:spacing w:after="0" w:line="266" w:lineRule="auto"/>
        <w:tabs>
          <w:tab w:leader="none" w:pos="53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00" w:firstLine="278"/>
        <w:spacing w:after="0" w:line="282" w:lineRule="auto"/>
        <w:tabs>
          <w:tab w:leader="none" w:pos="4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hanging="168"/>
        <w:spacing w:after="0" w:line="282" w:lineRule="auto"/>
        <w:tabs>
          <w:tab w:leader="none" w:pos="52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40" w:hanging="168"/>
        <w:spacing w:after="0" w:line="282" w:lineRule="auto"/>
        <w:tabs>
          <w:tab w:leader="none" w:pos="53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Jones, certify that:</w:t>
      </w:r>
    </w:p>
    <w:p>
      <w:pPr>
        <w:spacing w:after="0" w:line="225" w:lineRule="exact"/>
        <w:rPr>
          <w:sz w:val="20"/>
          <w:szCs w:val="20"/>
          <w:color w:val="auto"/>
        </w:rPr>
      </w:pPr>
    </w:p>
    <w:p>
      <w:pPr>
        <w:ind w:left="460" w:hanging="18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Cohu, Inc.;</w:t>
      </w:r>
    </w:p>
    <w:p>
      <w:pPr>
        <w:spacing w:after="0" w:line="225" w:lineRule="exact"/>
        <w:rPr>
          <w:rFonts w:ascii="Times New Roman" w:cs="Times New Roman" w:eastAsia="Times New Roman" w:hAnsi="Times New Roman"/>
          <w:sz w:val="18"/>
          <w:szCs w:val="18"/>
          <w:color w:val="auto"/>
        </w:rPr>
      </w:pPr>
    </w:p>
    <w:p>
      <w:pPr>
        <w:jc w:val="both"/>
        <w:ind w:right="440" w:firstLine="278"/>
        <w:spacing w:after="0" w:line="282" w:lineRule="auto"/>
        <w:tabs>
          <w:tab w:leader="none" w:pos="4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60" w:firstLine="278"/>
        <w:spacing w:after="0" w:line="282" w:lineRule="auto"/>
        <w:tabs>
          <w:tab w:leader="none" w:pos="4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60" w:hanging="18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27" w:lineRule="exact"/>
        <w:rPr>
          <w:rFonts w:ascii="Times New Roman" w:cs="Times New Roman" w:eastAsia="Times New Roman" w:hAnsi="Times New Roman"/>
          <w:sz w:val="18"/>
          <w:szCs w:val="18"/>
          <w:color w:val="auto"/>
        </w:rPr>
      </w:pPr>
    </w:p>
    <w:p>
      <w:pPr>
        <w:ind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ind w:left="500" w:right="180" w:hanging="168"/>
        <w:spacing w:after="0" w:line="266" w:lineRule="auto"/>
        <w:tabs>
          <w:tab w:leader="none" w:pos="52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500" w:right="160" w:hanging="168"/>
        <w:spacing w:after="0" w:line="266" w:lineRule="auto"/>
        <w:tabs>
          <w:tab w:leader="none" w:pos="53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500" w:right="40" w:hanging="168"/>
        <w:spacing w:after="0" w:line="282" w:lineRule="auto"/>
        <w:tabs>
          <w:tab w:leader="none" w:pos="52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120" w:hanging="168"/>
        <w:spacing w:after="0" w:line="266" w:lineRule="auto"/>
        <w:tabs>
          <w:tab w:leader="none" w:pos="53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00" w:firstLine="278"/>
        <w:spacing w:after="0" w:line="282" w:lineRule="auto"/>
        <w:tabs>
          <w:tab w:leader="none" w:pos="4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hanging="168"/>
        <w:spacing w:after="0" w:line="282" w:lineRule="auto"/>
        <w:tabs>
          <w:tab w:leader="none" w:pos="52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40" w:hanging="168"/>
        <w:spacing w:after="0" w:line="282" w:lineRule="auto"/>
        <w:tabs>
          <w:tab w:leader="none" w:pos="53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p>
      <w:pPr>
        <w:sectPr>
          <w:pgSz w:w="11900" w:h="16838" w:orient="portrait"/>
          <w:cols w:equalWidth="0" w:num="1">
            <w:col w:w="11420"/>
          </w:cols>
          <w:pgMar w:left="240" w:top="117"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ind w:right="400" w:firstLine="270"/>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of Cohu, Inc. (the "Company") on Form 10-K for the fiscal year ended December 31, 2016 (the "Report"), I, Luis A. Müller, President and Chief Executive Officer of the Company, certify, pursuant to 18 U.S.C. Section 1350, as adopted pursuant to Section 906 of the Sarbanes-Oxley Act of 2002, that, based on my knowledge:</w:t>
      </w:r>
    </w:p>
    <w:p>
      <w:pPr>
        <w:spacing w:after="0" w:line="176"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720" w:firstLine="8"/>
        <w:spacing w:after="0" w:line="501"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March 2, 2017</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90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300" w:firstLine="270"/>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of Cohu, Inc. (the "Company") on Form 10-K for the fiscal year ended December 31, 2016 (the "Report"), I, Jeffrey D. Jones, Vice President Finance and Chief Financial Officer of the Company, certify, pursuant to 18 U.S.C. Section 1350, as adopted pursuant to Section 906 of the Sarbanes-Oxley Act of 2002, that, based on my knowledge:</w:t>
      </w:r>
    </w:p>
    <w:p>
      <w:pPr>
        <w:spacing w:after="0" w:line="176"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720" w:firstLine="8"/>
        <w:spacing w:after="0" w:line="501"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March 2, 2017</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90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9"/>
    </w:lvl>
  </w:abstractNum>
  <w:abstractNum w:abstractNumId="12">
    <w:nsid w:val="79838CB2"/>
    <w:multiLevelType w:val="hybridMultilevel"/>
    <w:lvl w:ilvl="0">
      <w:lvlJc w:val="left"/>
      <w:lvlText w:val="(%1)"/>
      <w:numFmt w:val="lowerLetter"/>
      <w:start w:val="1"/>
    </w:lvl>
    <w:lvl w:ilvl="1">
      <w:lvlJc w:val="left"/>
      <w:lvlText w:val="(%2)"/>
      <w:numFmt w:val="decimal"/>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2"/>
    </w:lvl>
  </w:abstractNum>
  <w:abstractNum w:abstractNumId="17">
    <w:nsid w:val="71F32454"/>
    <w:multiLevelType w:val="hybridMultilevel"/>
    <w:lvl w:ilvl="0">
      <w:lvlJc w:val="left"/>
      <w:lvlText w:val="%1."/>
      <w:numFmt w:val="decimal"/>
      <w:start w:val="4"/>
    </w:lvl>
  </w:abstractNum>
  <w:abstractNum w:abstractNumId="18">
    <w:nsid w:val="2CA88611"/>
    <w:multiLevelType w:val="hybridMultilevel"/>
    <w:lvl w:ilvl="0">
      <w:lvlJc w:val="left"/>
      <w:lvlText w:val="%1."/>
      <w:numFmt w:val="decimal"/>
      <w:start w:val="5"/>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6"/>
    </w:lvl>
  </w:abstractNum>
  <w:abstractNum w:abstractNumId="21">
    <w:nsid w:val="3A95F874"/>
    <w:multiLevelType w:val="hybridMultilevel"/>
    <w:lvl w:ilvl="0">
      <w:lvlJc w:val="left"/>
      <w:lvlText w:val="%1."/>
      <w:numFmt w:val="decimal"/>
      <w:start w:val="7"/>
    </w:lvl>
  </w:abstractNum>
  <w:abstractNum w:abstractNumId="22">
    <w:nsid w:val="8138641"/>
    <w:multiLevelType w:val="hybridMultilevel"/>
    <w:lvl w:ilvl="0">
      <w:lvlJc w:val="left"/>
      <w:lvlText w:val="%1."/>
      <w:numFmt w:val="decimal"/>
      <w:start w:val="8"/>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9"/>
    </w:lvl>
  </w:abstractNum>
  <w:abstractNum w:abstractNumId="25">
    <w:nsid w:val="737B8DDC"/>
    <w:multiLevelType w:val="hybridMultilevel"/>
    <w:lvl w:ilvl="0">
      <w:lvlJc w:val="left"/>
      <w:lvlText w:val="%1."/>
      <w:numFmt w:val="decimal"/>
      <w:start w:val="10"/>
    </w:lvl>
  </w:abstractNum>
  <w:abstractNum w:abstractNumId="26">
    <w:nsid w:val="6CEAF087"/>
    <w:multiLevelType w:val="hybridMultilevel"/>
    <w:lvl w:ilvl="0">
      <w:lvlJc w:val="left"/>
      <w:lvlText w:val="%1."/>
      <w:numFmt w:val="decimal"/>
      <w:start w:val="11"/>
    </w:lvl>
  </w:abstractNum>
  <w:abstractNum w:abstractNumId="27">
    <w:nsid w:val="22221A70"/>
    <w:multiLevelType w:val="hybridMultilevel"/>
    <w:lvl w:ilvl="0">
      <w:lvlJc w:val="left"/>
      <w:lvlText w:val="%1."/>
      <w:numFmt w:val="decimal"/>
      <w:start w:val="12"/>
    </w:lvl>
  </w:abstractNum>
  <w:abstractNum w:abstractNumId="28">
    <w:nsid w:val="4516DDE9"/>
    <w:multiLevelType w:val="hybridMultilevel"/>
    <w:lvl w:ilvl="0">
      <w:lvlJc w:val="left"/>
      <w:lvlText w:val="%1."/>
      <w:numFmt w:val="decimal"/>
      <w:start w:val="13"/>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3"/>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2019-12-05T02:17:21Z</dcterms:created>
  <dcterms:modified xsi:type="dcterms:W3CDTF">2019-12-05T02:17:21Z</dcterms:modified>
</cp:coreProperties>
</file>