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640" w:right="2619" w:hanging="632"/>
        <w:spacing w:after="0" w:line="235" w:lineRule="auto"/>
        <w:tabs>
          <w:tab w:leader="none" w:pos="21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September 30,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2519" w:hanging="632"/>
        <w:spacing w:after="0" w:line="235" w:lineRule="auto"/>
        <w:tabs>
          <w:tab w:leader="none" w:pos="4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04" w:lineRule="exact"/>
        <w:rPr>
          <w:sz w:val="24"/>
          <w:szCs w:val="24"/>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5755 KEARNY VILLA ROAD, SAN DIEGO, CALIFORNIA</w:t>
      </w:r>
      <w:r>
        <w:rPr>
          <w:sz w:val="20"/>
          <w:szCs w:val="20"/>
          <w:color w:val="auto"/>
        </w:rPr>
        <w:tab/>
      </w:r>
      <w:r>
        <w:rPr>
          <w:rFonts w:ascii="Courier New" w:cs="Courier New" w:eastAsia="Courier New" w:hAnsi="Courier New"/>
          <w:sz w:val="16"/>
          <w:szCs w:val="16"/>
          <w:color w:val="auto"/>
        </w:rPr>
        <w:t>92123</w:t>
      </w:r>
    </w:p>
    <w:p>
      <w:pPr>
        <w:sectPr>
          <w:pgSz w:w="11900" w:h="16838" w:orient="portrait"/>
          <w:cols w:equalWidth="0" w:num="1">
            <w:col w:w="10219"/>
          </w:cols>
          <w:pgMar w:left="240" w:top="244"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619-277-6700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520"/>
            <w:col w:w="4419"/>
          </w:cols>
          <w:pgMar w:left="240" w:top="244" w:right="1440" w:bottom="1440" w:gutter="0" w:footer="0" w:header="0"/>
          <w:type w:val="continuous"/>
        </w:sectPr>
      </w:pPr>
    </w:p>
    <w:p>
      <w:pPr>
        <w:spacing w:after="0" w:line="2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2640"/>
        <w:spacing w:after="0"/>
        <w:tabs>
          <w:tab w:leader="none" w:pos="3260" w:val="left"/>
          <w:tab w:leader="none" w:pos="4300" w:val="left"/>
          <w:tab w:leader="none" w:pos="4840" w:val="left"/>
          <w:tab w:leader="none" w:pos="52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9"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As of September 30, 1998, the Registrant had 9,738,092 shares of its $1.00 par value common stock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8640" w:type="dxa"/>
            <w:vAlign w:val="bottom"/>
          </w:tcPr>
          <w:p>
            <w:pPr>
              <w:ind w:left="2640"/>
              <w:spacing w:after="0"/>
              <w:rPr>
                <w:sz w:val="20"/>
                <w:szCs w:val="20"/>
                <w:color w:val="auto"/>
              </w:rPr>
            </w:pPr>
            <w:r>
              <w:rPr>
                <w:rFonts w:ascii="Courier New" w:cs="Courier New" w:eastAsia="Courier New" w:hAnsi="Courier New"/>
                <w:sz w:val="18"/>
                <w:szCs w:val="18"/>
                <w:color w:val="auto"/>
              </w:rPr>
              <w:t>COHU, INC.</w:t>
            </w:r>
          </w:p>
        </w:tc>
        <w:tc>
          <w:tcPr>
            <w:tcW w:w="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8640" w:type="dxa"/>
            <w:vAlign w:val="bottom"/>
          </w:tcPr>
          <w:p>
            <w:pPr>
              <w:jc w:val="center"/>
              <w:ind w:right="2332"/>
              <w:spacing w:after="0" w:line="203" w:lineRule="exact"/>
              <w:rPr>
                <w:sz w:val="20"/>
                <w:szCs w:val="20"/>
                <w:color w:val="auto"/>
              </w:rPr>
            </w:pPr>
            <w:r>
              <w:rPr>
                <w:rFonts w:ascii="Courier New" w:cs="Courier New" w:eastAsia="Courier New" w:hAnsi="Courier New"/>
                <w:sz w:val="18"/>
                <w:szCs w:val="18"/>
                <w:color w:val="auto"/>
                <w:w w:val="99"/>
              </w:rPr>
              <w:t>INDEX</w:t>
            </w:r>
          </w:p>
        </w:tc>
        <w:tc>
          <w:tcPr>
            <w:tcW w:w="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8640" w:type="dxa"/>
            <w:vAlign w:val="bottom"/>
          </w:tcPr>
          <w:p>
            <w:pPr>
              <w:jc w:val="center"/>
              <w:ind w:right="2332"/>
              <w:spacing w:after="0" w:line="203" w:lineRule="exact"/>
              <w:rPr>
                <w:sz w:val="20"/>
                <w:szCs w:val="20"/>
                <w:color w:val="auto"/>
              </w:rPr>
            </w:pPr>
            <w:r>
              <w:rPr>
                <w:rFonts w:ascii="Courier New" w:cs="Courier New" w:eastAsia="Courier New" w:hAnsi="Courier New"/>
                <w:sz w:val="18"/>
                <w:szCs w:val="18"/>
                <w:color w:val="auto"/>
                <w:w w:val="96"/>
              </w:rPr>
              <w:t>FORM 10-Q</w:t>
            </w:r>
          </w:p>
        </w:tc>
        <w:tc>
          <w:tcPr>
            <w:tcW w:w="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864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SEPTEMBER 30, 1998</w:t>
            </w:r>
          </w:p>
        </w:tc>
        <w:tc>
          <w:tcPr>
            <w:tcW w:w="220" w:type="dxa"/>
            <w:vAlign w:val="bottom"/>
          </w:tcPr>
          <w:p>
            <w:pPr>
              <w:spacing w:after="0"/>
              <w:rPr>
                <w:sz w:val="17"/>
                <w:szCs w:val="17"/>
                <w:color w:val="auto"/>
              </w:rPr>
            </w:pPr>
          </w:p>
        </w:tc>
      </w:tr>
      <w:tr>
        <w:trPr>
          <w:trHeight w:val="1013"/>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864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220" w:type="dxa"/>
            <w:vAlign w:val="bottom"/>
          </w:tcPr>
          <w:p>
            <w:pPr>
              <w:spacing w:after="0"/>
              <w:rPr>
                <w:sz w:val="24"/>
                <w:szCs w:val="24"/>
                <w:color w:val="auto"/>
              </w:rPr>
            </w:pPr>
          </w:p>
        </w:tc>
      </w:tr>
      <w:tr>
        <w:trPr>
          <w:trHeight w:val="810"/>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8640" w:type="dxa"/>
            <w:vAlign w:val="bottom"/>
          </w:tcPr>
          <w:p>
            <w:pPr>
              <w:spacing w:after="0"/>
              <w:rPr>
                <w:sz w:val="20"/>
                <w:szCs w:val="20"/>
                <w:color w:val="auto"/>
              </w:rPr>
            </w:pPr>
            <w:r>
              <w:rPr>
                <w:rFonts w:ascii="Courier New" w:cs="Courier New" w:eastAsia="Courier New" w:hAnsi="Courier New"/>
                <w:sz w:val="18"/>
                <w:szCs w:val="18"/>
                <w:color w:val="auto"/>
              </w:rPr>
              <w:t>Condensed Consolidated Balance Sheets</w:t>
            </w:r>
          </w:p>
        </w:tc>
        <w:tc>
          <w:tcPr>
            <w:tcW w:w="2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September 30, 1998 (Unaudited) and December 31, 1997...............................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106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Income (Unaudited)</w:t>
            </w:r>
          </w:p>
        </w:tc>
        <w:tc>
          <w:tcPr>
            <w:tcW w:w="2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Three and Nine Months Ended September 30, 1998 and 1997............................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06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2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Nine Months Ended September 30, 1998 and 1997......................................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106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Courier New" w:cs="Courier New" w:eastAsia="Courier New" w:hAnsi="Courier New"/>
                <w:sz w:val="18"/>
                <w:szCs w:val="18"/>
                <w:color w:val="auto"/>
                <w:w w:val="96"/>
              </w:rPr>
              <w:t>Notes to Unaudited Condensed Consolidated Financial Statements.....................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640" w:type="dxa"/>
            <w:vAlign w:val="bottom"/>
          </w:tcPr>
          <w:p>
            <w:pPr>
              <w:spacing w:after="0"/>
              <w:rPr>
                <w:sz w:val="20"/>
                <w:szCs w:val="20"/>
                <w:color w:val="auto"/>
              </w:rPr>
            </w:pPr>
            <w:r>
              <w:rPr>
                <w:rFonts w:ascii="Courier New" w:cs="Courier New" w:eastAsia="Courier New" w:hAnsi="Courier New"/>
                <w:sz w:val="18"/>
                <w:szCs w:val="18"/>
                <w:color w:val="auto"/>
              </w:rPr>
              <w:t>Management's Discussion and Analysis of</w:t>
            </w:r>
          </w:p>
        </w:tc>
        <w:tc>
          <w:tcPr>
            <w:tcW w:w="2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Financial Condition and Results of Operations......................................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810"/>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864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22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8640" w:type="dxa"/>
            <w:vAlign w:val="bottom"/>
          </w:tcPr>
          <w:p>
            <w:pPr>
              <w:spacing w:after="0"/>
              <w:rPr>
                <w:sz w:val="20"/>
                <w:szCs w:val="20"/>
                <w:color w:val="auto"/>
              </w:rPr>
            </w:pPr>
            <w:r>
              <w:rPr>
                <w:rFonts w:ascii="Courier New" w:cs="Courier New" w:eastAsia="Courier New" w:hAnsi="Courier New"/>
                <w:sz w:val="18"/>
                <w:szCs w:val="18"/>
                <w:color w:val="auto"/>
                <w:w w:val="97"/>
              </w:rPr>
              <w:t>Exhibits and Reports on Form 8-K..................................................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8640" w:type="dxa"/>
            <w:vAlign w:val="bottom"/>
          </w:tcPr>
          <w:p>
            <w:pPr>
              <w:ind w:left="100"/>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1013"/>
        </w:trPr>
        <w:tc>
          <w:tcPr>
            <w:tcW w:w="1060" w:type="dxa"/>
            <w:vAlign w:val="bottom"/>
          </w:tcPr>
          <w:p>
            <w:pPr>
              <w:spacing w:after="0"/>
              <w:rPr>
                <w:sz w:val="24"/>
                <w:szCs w:val="24"/>
                <w:color w:val="auto"/>
              </w:rPr>
            </w:pPr>
          </w:p>
        </w:tc>
        <w:tc>
          <w:tcPr>
            <w:tcW w:w="8640" w:type="dxa"/>
            <w:vAlign w:val="bottom"/>
          </w:tcPr>
          <w:p>
            <w:pPr>
              <w:jc w:val="center"/>
              <w:ind w:right="2332"/>
              <w:spacing w:after="0"/>
              <w:rPr>
                <w:sz w:val="20"/>
                <w:szCs w:val="20"/>
                <w:color w:val="auto"/>
              </w:rPr>
            </w:pPr>
            <w:r>
              <w:rPr>
                <w:rFonts w:ascii="Courier New" w:cs="Courier New" w:eastAsia="Courier New" w:hAnsi="Courier New"/>
                <w:sz w:val="18"/>
                <w:szCs w:val="18"/>
                <w:color w:val="auto"/>
                <w:w w:val="92"/>
              </w:rPr>
              <w:t>2</w:t>
            </w:r>
          </w:p>
        </w:tc>
        <w:tc>
          <w:tcPr>
            <w:tcW w:w="2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CONDENSED CONSOLIDATED BALANCE SHEETS</w:t>
      </w:r>
    </w:p>
    <w:tbl>
      <w:tblPr>
        <w:tblLayout w:type="fixed"/>
        <w:tblInd w:w="0" w:type="dxa"/>
        <w:tblCellMar>
          <w:top w:w="0" w:type="dxa"/>
          <w:left w:w="0" w:type="dxa"/>
          <w:bottom w:w="0" w:type="dxa"/>
          <w:right w:w="0" w:type="dxa"/>
        </w:tblCellMar>
      </w:tblPr>
      <w:tr>
        <w:trPr>
          <w:trHeight w:val="203"/>
        </w:trPr>
        <w:tc>
          <w:tcPr>
            <w:tcW w:w="574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57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SEPTEMBER 30, 1998</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1997</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c>
          <w:tcPr>
            <w:tcW w:w="1900" w:type="dxa"/>
            <w:vAlign w:val="bottom"/>
          </w:tcPr>
          <w:p>
            <w:pPr>
              <w:spacing w:after="0"/>
              <w:rPr>
                <w:sz w:val="17"/>
                <w:szCs w:val="17"/>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$ 61,368</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$ 39,736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8,065</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13,814</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Accounts receivable, less allowance for doubtful</w:t>
            </w: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of $1,388 in 1998 and $1,787 in 1997</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27,632</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31,934</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16,489</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21,224</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process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8,242</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15,657</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9,645</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8,018</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34,376</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44,899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9,669</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9,669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1,510</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1,478</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142,620</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141,530</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2,501</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12,102</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11,906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18,477</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17,524</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33,080</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31,931</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14,415</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12,982</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18,665</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18,949</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 amortization</w:t>
            </w: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$933 in 1998 and $815 in 1997</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2,194</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2,312</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$163,572</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3,246</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$ 16,166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4,775</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3,421</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14,362</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15,742</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22,383</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35,329</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1,070</w:t>
            </w:r>
          </w:p>
        </w:tc>
        <w:tc>
          <w:tcPr>
            <w:tcW w:w="19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1,004</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348</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348</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9,738</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9,549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10,387</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8,677</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119,646</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107,985</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139,771</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126,211</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$163,572</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574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12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9"/>
              </w:rPr>
              <w:t>ENDED</w:t>
            </w:r>
          </w:p>
        </w:tc>
        <w:tc>
          <w:tcPr>
            <w:tcW w:w="420" w:type="dxa"/>
            <w:vAlign w:val="bottom"/>
          </w:tcPr>
          <w:p>
            <w:pPr>
              <w:spacing w:after="0"/>
              <w:rPr>
                <w:sz w:val="17"/>
                <w:szCs w:val="17"/>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w:t>
            </w:r>
          </w:p>
        </w:tc>
        <w:tc>
          <w:tcPr>
            <w:tcW w:w="420" w:type="dxa"/>
            <w:vAlign w:val="bottom"/>
          </w:tcPr>
          <w:p>
            <w:pPr>
              <w:spacing w:after="0"/>
              <w:rPr>
                <w:sz w:val="17"/>
                <w:szCs w:val="17"/>
                <w:color w:val="auto"/>
              </w:rPr>
            </w:pPr>
          </w:p>
        </w:tc>
        <w:tc>
          <w:tcPr>
            <w:tcW w:w="22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1998</w:t>
            </w:r>
          </w:p>
        </w:tc>
        <w:tc>
          <w:tcPr>
            <w:tcW w:w="20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860" w:type="dxa"/>
            <w:vAlign w:val="bottom"/>
            <w:gridSpan w:val="2"/>
          </w:tcPr>
          <w:p>
            <w:pPr>
              <w:jc w:val="right"/>
              <w:ind w:right="612"/>
              <w:spacing w:after="0"/>
              <w:rPr>
                <w:sz w:val="20"/>
                <w:szCs w:val="20"/>
                <w:color w:val="auto"/>
              </w:rPr>
            </w:pPr>
            <w:r>
              <w:rPr>
                <w:rFonts w:ascii="Courier New" w:cs="Courier New" w:eastAsia="Courier New" w:hAnsi="Courier New"/>
                <w:sz w:val="18"/>
                <w:szCs w:val="18"/>
                <w:color w:val="auto"/>
              </w:rPr>
              <w:t>$ 34,277</w:t>
            </w:r>
          </w:p>
        </w:tc>
        <w:tc>
          <w:tcPr>
            <w:tcW w:w="12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9"/>
              </w:rPr>
              <w:t>$ 52,769</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$146,170</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$132,173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25,606</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29,524</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94,598</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74,532</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4,726</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4,744</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16,032</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12,269</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4,226</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5,700</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16,641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15,686</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34,558</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39,968</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127,271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102,487</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operations</w:t>
            </w:r>
          </w:p>
        </w:tc>
        <w:tc>
          <w:tcPr>
            <w:tcW w:w="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(281)</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12,801</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18,899</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29,686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847</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726</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2,181</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566</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13,527</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21,295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31,867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100</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7,300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11,700</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466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8,527</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$ 13,995</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$ 20,167</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Weighted average shares used in</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computing earnings per share:</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9,737</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9,467</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9,717</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9,411</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48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9,910</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10,073</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9,921</w:t>
            </w:r>
          </w:p>
        </w:tc>
      </w:tr>
      <w:tr>
        <w:trPr>
          <w:trHeight w:val="203"/>
        </w:trPr>
        <w:tc>
          <w:tcPr>
            <w:tcW w:w="4320" w:type="dxa"/>
            <w:vAlign w:val="bottom"/>
          </w:tcPr>
          <w:p>
            <w:pPr>
              <w:spacing w:after="0"/>
              <w:rPr>
                <w:sz w:val="17"/>
                <w:szCs w:val="17"/>
                <w:color w:val="auto"/>
              </w:rPr>
            </w:pPr>
          </w:p>
        </w:tc>
        <w:tc>
          <w:tcPr>
            <w:tcW w:w="18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ind w:left="1800"/>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ind w:left="3580"/>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6740" w:type="dxa"/>
            <w:vAlign w:val="bottom"/>
          </w:tcPr>
          <w:p>
            <w:pPr>
              <w:ind w:left="3480"/>
              <w:spacing w:after="0" w:line="202" w:lineRule="exact"/>
              <w:rPr>
                <w:sz w:val="20"/>
                <w:szCs w:val="20"/>
                <w:color w:val="auto"/>
              </w:rPr>
            </w:pPr>
            <w:r>
              <w:rPr>
                <w:rFonts w:ascii="Courier New" w:cs="Courier New" w:eastAsia="Courier New" w:hAnsi="Courier New"/>
                <w:sz w:val="18"/>
                <w:szCs w:val="18"/>
                <w:color w:val="auto"/>
              </w:rPr>
              <w:t>(in thousands)</w:t>
            </w: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10"/>
        </w:trPr>
        <w:tc>
          <w:tcPr>
            <w:tcW w:w="6740" w:type="dxa"/>
            <w:vAlign w:val="bottom"/>
          </w:tcPr>
          <w:p>
            <w:pPr>
              <w:spacing w:after="0"/>
              <w:rPr>
                <w:sz w:val="24"/>
                <w:szCs w:val="24"/>
                <w:color w:val="auto"/>
              </w:rPr>
            </w:pPr>
          </w:p>
        </w:tc>
        <w:tc>
          <w:tcPr>
            <w:tcW w:w="28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740" w:type="dxa"/>
            <w:vAlign w:val="bottom"/>
          </w:tcPr>
          <w:p>
            <w:pPr>
              <w:spacing w:after="0"/>
              <w:rPr>
                <w:sz w:val="17"/>
                <w:szCs w:val="17"/>
                <w:color w:val="auto"/>
              </w:rPr>
            </w:pPr>
          </w:p>
        </w:tc>
        <w:tc>
          <w:tcPr>
            <w:tcW w:w="28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6740" w:type="dxa"/>
            <w:vAlign w:val="bottom"/>
          </w:tcPr>
          <w:p>
            <w:pPr>
              <w:spacing w:after="0"/>
              <w:rPr>
                <w:sz w:val="17"/>
                <w:szCs w:val="17"/>
                <w:color w:val="auto"/>
              </w:rPr>
            </w:pPr>
          </w:p>
        </w:tc>
        <w:tc>
          <w:tcPr>
            <w:tcW w:w="1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740" w:type="dxa"/>
            <w:vAlign w:val="bottom"/>
          </w:tcPr>
          <w:p>
            <w:pPr>
              <w:spacing w:after="0"/>
              <w:rPr>
                <w:sz w:val="17"/>
                <w:szCs w:val="17"/>
                <w:color w:val="auto"/>
              </w:rPr>
            </w:pP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$ 13,995</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$ 20,167</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2,012</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1,351</w:t>
            </w: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 consideration to be paid with stock</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4,302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(16,414)</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10,523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(16,705)</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(12,920)</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9,680</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1,354</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3,074</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6740" w:type="dxa"/>
            <w:vAlign w:val="bottom"/>
          </w:tcPr>
          <w:p>
            <w:pPr>
              <w:spacing w:after="0"/>
              <w:rPr>
                <w:sz w:val="17"/>
                <w:szCs w:val="17"/>
                <w:color w:val="auto"/>
              </w:rPr>
            </w:pP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17,920</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2,270</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(17,098)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(23,779)</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22,847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22,679</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(2,177)</w:t>
            </w:r>
          </w:p>
        </w:tc>
      </w:tr>
      <w:tr>
        <w:trPr>
          <w:trHeight w:val="203"/>
        </w:trPr>
        <w:tc>
          <w:tcPr>
            <w:tcW w:w="6740" w:type="dxa"/>
            <w:vAlign w:val="bottom"/>
          </w:tcPr>
          <w:p>
            <w:pPr>
              <w:spacing w:after="0"/>
              <w:rPr>
                <w:sz w:val="17"/>
                <w:szCs w:val="17"/>
                <w:color w:val="auto"/>
              </w:rPr>
            </w:pP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(used for) investing activities</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4,147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(3,277)</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1,899</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1,138</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(1,698)</w:t>
            </w:r>
          </w:p>
        </w:tc>
      </w:tr>
      <w:tr>
        <w:trPr>
          <w:trHeight w:val="203"/>
        </w:trPr>
        <w:tc>
          <w:tcPr>
            <w:tcW w:w="6740" w:type="dxa"/>
            <w:vAlign w:val="bottom"/>
          </w:tcPr>
          <w:p>
            <w:pPr>
              <w:spacing w:after="0"/>
              <w:rPr>
                <w:sz w:val="17"/>
                <w:szCs w:val="17"/>
                <w:color w:val="auto"/>
              </w:rPr>
            </w:pP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w:t>
            </w:r>
          </w:p>
        </w:tc>
      </w:tr>
      <w:tr>
        <w:trPr>
          <w:trHeight w:val="203"/>
        </w:trPr>
        <w:tc>
          <w:tcPr>
            <w:tcW w:w="6740" w:type="dxa"/>
            <w:vAlign w:val="bottom"/>
          </w:tcPr>
          <w:p>
            <w:pPr>
              <w:spacing w:after="0"/>
              <w:rPr>
                <w:sz w:val="17"/>
                <w:szCs w:val="17"/>
                <w:color w:val="auto"/>
              </w:rPr>
            </w:pP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21,632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(1,567)</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39,736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24,660</w:t>
            </w:r>
          </w:p>
        </w:tc>
      </w:tr>
      <w:tr>
        <w:trPr>
          <w:trHeight w:val="203"/>
        </w:trPr>
        <w:tc>
          <w:tcPr>
            <w:tcW w:w="6740" w:type="dxa"/>
            <w:vAlign w:val="bottom"/>
          </w:tcPr>
          <w:p>
            <w:pPr>
              <w:spacing w:after="0"/>
              <w:rPr>
                <w:sz w:val="17"/>
                <w:szCs w:val="17"/>
                <w:color w:val="auto"/>
              </w:rPr>
            </w:pP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$ 61,368</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$ 23,093</w:t>
            </w:r>
          </w:p>
        </w:tc>
      </w:tr>
      <w:tr>
        <w:trPr>
          <w:trHeight w:val="203"/>
        </w:trPr>
        <w:tc>
          <w:tcPr>
            <w:tcW w:w="6740" w:type="dxa"/>
            <w:vAlign w:val="bottom"/>
          </w:tcPr>
          <w:p>
            <w:pPr>
              <w:spacing w:after="0"/>
              <w:rPr>
                <w:sz w:val="17"/>
                <w:szCs w:val="17"/>
                <w:color w:val="auto"/>
              </w:rPr>
            </w:pP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5,946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8,637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COHU, INC.</w:t>
      </w:r>
    </w:p>
    <w:p>
      <w:pPr>
        <w:jc w:val="center"/>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spacing w:after="0"/>
        <w:rPr>
          <w:sz w:val="20"/>
          <w:szCs w:val="20"/>
          <w:color w:val="auto"/>
        </w:rPr>
      </w:pPr>
      <w:r>
        <w:rPr>
          <w:rFonts w:ascii="Courier New" w:cs="Courier New" w:eastAsia="Courier New" w:hAnsi="Courier New"/>
          <w:sz w:val="18"/>
          <w:szCs w:val="18"/>
          <w:color w:val="auto"/>
        </w:rPr>
        <w:t>SEPTEMBER 30, 1998</w:t>
      </w: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6"/>
          <w:szCs w:val="16"/>
          <w:color w:val="auto"/>
        </w:rPr>
        <w:t>BASIS OF PRESENTATION</w:t>
      </w:r>
    </w:p>
    <w:p>
      <w:pPr>
        <w:spacing w:after="0" w:line="207" w:lineRule="exact"/>
        <w:rPr>
          <w:sz w:val="20"/>
          <w:szCs w:val="20"/>
          <w:color w:val="auto"/>
        </w:rPr>
      </w:pPr>
    </w:p>
    <w:p>
      <w:pPr>
        <w:ind w:left="640" w:right="100"/>
        <w:spacing w:after="0" w:line="237" w:lineRule="auto"/>
        <w:rPr>
          <w:sz w:val="20"/>
          <w:szCs w:val="20"/>
          <w:color w:val="auto"/>
        </w:rPr>
      </w:pPr>
      <w:r>
        <w:rPr>
          <w:rFonts w:ascii="Courier New" w:cs="Courier New" w:eastAsia="Courier New" w:hAnsi="Courier New"/>
          <w:sz w:val="18"/>
          <w:szCs w:val="18"/>
          <w:color w:val="auto"/>
        </w:rPr>
        <w:t>The accompanying interim financial statements are unaudited but include all adjustments (consisting of normal recurring adjustments) which Cohu, Inc. (the "Company") considers necessary for a fair statement of the results for the period. The operating results for the three and nine months ended September 30, 1998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1997 and management's discussion and analysis of financial condition and results of operations included elsewhere herein.</w:t>
      </w: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2 -</w:t>
      </w:r>
      <w:r>
        <w:rPr>
          <w:sz w:val="20"/>
          <w:szCs w:val="20"/>
          <w:color w:val="auto"/>
        </w:rPr>
        <w:tab/>
      </w:r>
      <w:r>
        <w:rPr>
          <w:rFonts w:ascii="Courier New" w:cs="Courier New" w:eastAsia="Courier New" w:hAnsi="Courier New"/>
          <w:sz w:val="16"/>
          <w:szCs w:val="16"/>
          <w:color w:val="auto"/>
        </w:rPr>
        <w:t>EARNINGS PER SHARE</w:t>
      </w:r>
    </w:p>
    <w:p>
      <w:pPr>
        <w:spacing w:after="0" w:line="207" w:lineRule="exact"/>
        <w:rPr>
          <w:sz w:val="20"/>
          <w:szCs w:val="20"/>
          <w:color w:val="auto"/>
        </w:rPr>
      </w:pPr>
    </w:p>
    <w:p>
      <w:pPr>
        <w:ind w:left="640"/>
        <w:spacing w:after="0" w:line="238" w:lineRule="auto"/>
        <w:rPr>
          <w:sz w:val="20"/>
          <w:szCs w:val="20"/>
          <w:color w:val="auto"/>
        </w:rPr>
      </w:pPr>
      <w:r>
        <w:rPr>
          <w:rFonts w:ascii="Courier New" w:cs="Courier New" w:eastAsia="Courier New" w:hAnsi="Courier New"/>
          <w:sz w:val="18"/>
          <w:szCs w:val="18"/>
          <w:color w:val="auto"/>
        </w:rPr>
        <w:t>Earnings per share are computed in accordance with Financial Accounting Standards Board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Earnings per share data for the three and nine months ended September 30, 1997 have been adjusted to conform to the provisions of FASB Statement No. 128. For purposes of computing diluted earnings per share, weighted average common share equivalents do not include stock options with an exercise price that exceeds the average fair market value of the Company's common stock for the period. For the three months ended September 30, 1998, options to purchase approximately 354,000 shares of common stock at an average price of $33.21 were excluded from the computation, and for the nine months ended September 30, 1998, options to purchase approximately 198,000 shares of common stock at an average price of $35.09 were excluded from the computation. The following table reconciles the denominators used in computing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THREE MONTHS ENDED</w:t>
      </w:r>
    </w:p>
    <w:p>
      <w:pPr>
        <w:ind w:left="6320"/>
        <w:spacing w:after="0" w:line="238" w:lineRule="auto"/>
        <w:rPr>
          <w:sz w:val="20"/>
          <w:szCs w:val="20"/>
          <w:color w:val="auto"/>
        </w:rPr>
      </w:pPr>
      <w:r>
        <w:rPr>
          <w:rFonts w:ascii="Courier New" w:cs="Courier New" w:eastAsia="Courier New" w:hAnsi="Courier New"/>
          <w:sz w:val="18"/>
          <w:szCs w:val="18"/>
          <w:color w:val="auto"/>
        </w:rPr>
        <w:t>SEPTEMBER 30,</w:t>
      </w:r>
    </w:p>
    <w:p>
      <w:pPr>
        <w:ind w:left="6020"/>
        <w:spacing w:after="0"/>
        <w:tabs>
          <w:tab w:leader="none" w:pos="746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ind w:left="5900"/>
        <w:spacing w:after="0" w:line="237"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p>
      <w:pPr>
        <w:ind w:left="640"/>
        <w:spacing w:after="0"/>
        <w:tabs>
          <w:tab w:leader="none" w:pos="6000" w:val="left"/>
          <w:tab w:leader="none" w:pos="7460" w:val="left"/>
        </w:tabs>
        <w:rPr>
          <w:sz w:val="20"/>
          <w:szCs w:val="20"/>
          <w:color w:val="auto"/>
        </w:rPr>
      </w:pPr>
      <w:r>
        <w:rPr>
          <w:rFonts w:ascii="Courier New" w:cs="Courier New" w:eastAsia="Courier New" w:hAnsi="Courier New"/>
          <w:sz w:val="18"/>
          <w:szCs w:val="18"/>
          <w:color w:val="auto"/>
        </w:rPr>
        <w:t>Weighted average common shares outstanding</w:t>
      </w:r>
      <w:r>
        <w:rPr>
          <w:sz w:val="20"/>
          <w:szCs w:val="20"/>
          <w:color w:val="auto"/>
        </w:rPr>
        <w:tab/>
      </w:r>
      <w:r>
        <w:rPr>
          <w:rFonts w:ascii="Courier New" w:cs="Courier New" w:eastAsia="Courier New" w:hAnsi="Courier New"/>
          <w:sz w:val="18"/>
          <w:szCs w:val="18"/>
          <w:color w:val="auto"/>
        </w:rPr>
        <w:t>9,737</w:t>
      </w:r>
      <w:r>
        <w:rPr>
          <w:sz w:val="20"/>
          <w:szCs w:val="20"/>
          <w:color w:val="auto"/>
        </w:rPr>
        <w:tab/>
      </w:r>
      <w:r>
        <w:rPr>
          <w:rFonts w:ascii="Courier New" w:cs="Courier New" w:eastAsia="Courier New" w:hAnsi="Courier New"/>
          <w:sz w:val="18"/>
          <w:szCs w:val="18"/>
          <w:color w:val="auto"/>
        </w:rPr>
        <w:t>9,467</w:t>
      </w:r>
    </w:p>
    <w:p>
      <w:pPr>
        <w:ind w:left="640"/>
        <w:spacing w:after="0"/>
        <w:tabs>
          <w:tab w:leader="none" w:pos="6200" w:val="left"/>
          <w:tab w:leader="none" w:pos="7680" w:val="left"/>
        </w:tabs>
        <w:rPr>
          <w:sz w:val="20"/>
          <w:szCs w:val="20"/>
          <w:color w:val="auto"/>
        </w:rPr>
      </w:pPr>
      <w:r>
        <w:rPr>
          <w:rFonts w:ascii="Courier New" w:cs="Courier New" w:eastAsia="Courier New" w:hAnsi="Courier New"/>
          <w:sz w:val="18"/>
          <w:szCs w:val="18"/>
          <w:color w:val="auto"/>
        </w:rPr>
        <w:t>Effect of dilutive stock options</w:t>
      </w:r>
      <w:r>
        <w:rPr>
          <w:sz w:val="20"/>
          <w:szCs w:val="20"/>
          <w:color w:val="auto"/>
        </w:rPr>
        <w:tab/>
      </w:r>
      <w:r>
        <w:rPr>
          <w:rFonts w:ascii="Courier New" w:cs="Courier New" w:eastAsia="Courier New" w:hAnsi="Courier New"/>
          <w:sz w:val="18"/>
          <w:szCs w:val="18"/>
          <w:color w:val="auto"/>
        </w:rPr>
        <w:t>173</w:t>
      </w:r>
      <w:r>
        <w:rPr>
          <w:sz w:val="20"/>
          <w:szCs w:val="20"/>
          <w:color w:val="auto"/>
        </w:rPr>
        <w:tab/>
      </w:r>
      <w:r>
        <w:rPr>
          <w:rFonts w:ascii="Courier New" w:cs="Courier New" w:eastAsia="Courier New" w:hAnsi="Courier New"/>
          <w:sz w:val="16"/>
          <w:szCs w:val="16"/>
          <w:color w:val="auto"/>
        </w:rPr>
        <w:t>606</w:t>
      </w:r>
    </w:p>
    <w:p>
      <w:pPr>
        <w:ind w:left="5900"/>
        <w:spacing w:after="0"/>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6020"/>
        <w:spacing w:after="0" w:line="237" w:lineRule="auto"/>
        <w:tabs>
          <w:tab w:leader="none" w:pos="7360" w:val="left"/>
        </w:tabs>
        <w:rPr>
          <w:sz w:val="20"/>
          <w:szCs w:val="20"/>
          <w:color w:val="auto"/>
        </w:rPr>
      </w:pPr>
      <w:r>
        <w:rPr>
          <w:rFonts w:ascii="Courier New" w:cs="Courier New" w:eastAsia="Courier New" w:hAnsi="Courier New"/>
          <w:sz w:val="18"/>
          <w:szCs w:val="18"/>
          <w:color w:val="auto"/>
        </w:rPr>
        <w:t>9,910</w:t>
      </w:r>
      <w:r>
        <w:rPr>
          <w:sz w:val="20"/>
          <w:szCs w:val="20"/>
          <w:color w:val="auto"/>
        </w:rPr>
        <w:tab/>
      </w:r>
      <w:r>
        <w:rPr>
          <w:rFonts w:ascii="Courier New" w:cs="Courier New" w:eastAsia="Courier New" w:hAnsi="Courier New"/>
          <w:sz w:val="18"/>
          <w:szCs w:val="18"/>
          <w:color w:val="auto"/>
        </w:rPr>
        <w:t>10,073</w:t>
      </w:r>
    </w:p>
    <w:p>
      <w:pPr>
        <w:ind w:left="590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6"/>
          <w:szCs w:val="16"/>
          <w:color w:val="auto"/>
        </w:rPr>
        <w:t>STOCKHOLDERS' EQUITY</w:t>
      </w:r>
    </w:p>
    <w:p>
      <w:pPr>
        <w:spacing w:after="0" w:line="207" w:lineRule="exact"/>
        <w:rPr>
          <w:sz w:val="20"/>
          <w:szCs w:val="20"/>
          <w:color w:val="auto"/>
        </w:rPr>
      </w:pPr>
    </w:p>
    <w:p>
      <w:pPr>
        <w:ind w:left="640" w:right="100"/>
        <w:spacing w:after="0" w:line="237" w:lineRule="auto"/>
        <w:rPr>
          <w:sz w:val="20"/>
          <w:szCs w:val="20"/>
          <w:color w:val="auto"/>
        </w:rPr>
      </w:pPr>
      <w:r>
        <w:rPr>
          <w:rFonts w:ascii="Courier New" w:cs="Courier New" w:eastAsia="Courier New" w:hAnsi="Courier New"/>
          <w:sz w:val="18"/>
          <w:szCs w:val="18"/>
          <w:color w:val="auto"/>
        </w:rPr>
        <w:t>On May 12, 1998 the stockholders of the Company approved (i) the adoption of the Cohu, Inc. 1998 Stock Option Plan providing for the issuance of a maximum of 450,000 shares of the Company's Common Stock and (ii) an amendment to the Company's Amended and Restated Certificate of Incorporation increasing the Company's authorized shares of Common Stock to 40,000,000.</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4 -</w:t>
      </w:r>
      <w:r>
        <w:rPr>
          <w:sz w:val="20"/>
          <w:szCs w:val="20"/>
          <w:color w:val="auto"/>
        </w:rPr>
        <w:tab/>
      </w:r>
      <w:r>
        <w:rPr>
          <w:rFonts w:ascii="Courier New" w:cs="Courier New" w:eastAsia="Courier New" w:hAnsi="Courier New"/>
          <w:sz w:val="16"/>
          <w:szCs w:val="16"/>
          <w:color w:val="auto"/>
        </w:rPr>
        <w:t>NEW ACCOUNTING PRONOUNCEMENTS</w:t>
      </w:r>
    </w:p>
    <w:p>
      <w:pPr>
        <w:spacing w:after="0" w:line="207" w:lineRule="exact"/>
        <w:rPr>
          <w:sz w:val="20"/>
          <w:szCs w:val="20"/>
          <w:color w:val="auto"/>
        </w:rPr>
      </w:pPr>
    </w:p>
    <w:p>
      <w:pPr>
        <w:ind w:left="640" w:right="100"/>
        <w:spacing w:after="0" w:line="270" w:lineRule="auto"/>
        <w:rPr>
          <w:sz w:val="20"/>
          <w:szCs w:val="20"/>
          <w:color w:val="auto"/>
        </w:rPr>
      </w:pPr>
      <w:r>
        <w:rPr>
          <w:rFonts w:ascii="Courier New" w:cs="Courier New" w:eastAsia="Courier New" w:hAnsi="Courier New"/>
          <w:sz w:val="16"/>
          <w:szCs w:val="16"/>
          <w:color w:val="auto"/>
        </w:rPr>
        <w:t>FASB Statement No. 130, Reporting Comprehensive Income, requires the disclosure of "Comprehensive Income" in financial statements. Comprehensive Income includes items such as unrealized gains on available-for-sale securities that are not included in net income. FASB No. 130 is effective in 1998 and had no material impact on the Company's results of operations or related disclosures for the nine months ended September 30, 1998. FASB No. 131, Disclosures about Segments of an Enterprise and Related Information, requires the disclosure of financial information on operating segments on the basis used by management in evaluating segment performance and deciding how to allocate resources. FASB No. 131 will first be reflected in the Company's 1998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right="320" w:hanging="315"/>
        <w:spacing w:after="0" w:line="268" w:lineRule="auto"/>
        <w:rPr>
          <w:sz w:val="20"/>
          <w:szCs w:val="20"/>
          <w:color w:val="auto"/>
        </w:rPr>
      </w:pPr>
      <w:r>
        <w:rPr>
          <w:rFonts w:ascii="Courier New" w:cs="Courier New" w:eastAsia="Courier New" w:hAnsi="Courier New"/>
          <w:sz w:val="16"/>
          <w:szCs w:val="16"/>
          <w:color w:val="auto"/>
        </w:rPr>
        <w:t>NINE MONTHS ENDED SEPTEMBER 30,</w:t>
      </w:r>
    </w:p>
    <w:p>
      <w:pPr>
        <w:ind w:left="100"/>
        <w:spacing w:after="0" w:line="233" w:lineRule="auto"/>
        <w:tabs>
          <w:tab w:leader="none" w:pos="156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thousands)</w:t>
      </w:r>
    </w:p>
    <w:p>
      <w:pPr>
        <w:spacing w:after="0" w:line="207"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6"/>
          <w:szCs w:val="16"/>
          <w:color w:val="auto"/>
        </w:rPr>
        <w:t>9,717</w:t>
      </w:r>
      <w:r>
        <w:rPr>
          <w:sz w:val="20"/>
          <w:szCs w:val="20"/>
          <w:color w:val="auto"/>
        </w:rPr>
        <w:tab/>
      </w:r>
      <w:r>
        <w:rPr>
          <w:rFonts w:ascii="Courier New" w:cs="Courier New" w:eastAsia="Courier New" w:hAnsi="Courier New"/>
          <w:sz w:val="16"/>
          <w:szCs w:val="16"/>
          <w:color w:val="auto"/>
        </w:rPr>
        <w:t>9,411</w:t>
      </w:r>
    </w:p>
    <w:p>
      <w:pPr>
        <w:spacing w:after="0" w:line="21" w:lineRule="exact"/>
        <w:rPr>
          <w:sz w:val="20"/>
          <w:szCs w:val="20"/>
          <w:color w:val="auto"/>
        </w:rPr>
      </w:pPr>
    </w:p>
    <w:p>
      <w:pPr>
        <w:ind w:left="1780" w:hanging="1467"/>
        <w:spacing w:after="0"/>
        <w:tabs>
          <w:tab w:leader="none" w:pos="1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510</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10,001</w:t>
      </w:r>
      <w:r>
        <w:rPr>
          <w:rFonts w:ascii="Courier New" w:cs="Courier New" w:eastAsia="Courier New" w:hAnsi="Courier New"/>
          <w:sz w:val="16"/>
          <w:szCs w:val="16"/>
          <w:color w:val="auto"/>
        </w:rPr>
        <w:t>9,921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ectPr>
          <w:pgSz w:w="11900" w:h="16838" w:orient="portrait"/>
          <w:cols w:equalWidth="0" w:num="2">
            <w:col w:w="8440" w:space="420"/>
            <w:col w:w="2100"/>
          </w:cols>
          <w:pgMar w:left="240" w:top="312" w:right="699" w:bottom="142" w:gutter="0" w:footer="0" w:header="0"/>
        </w:sectPr>
      </w:pPr>
    </w:p>
    <w:bookmarkStart w:id="6" w:name="page7"/>
    <w:bookmarkEnd w:id="6"/>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547"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1998</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certain risks and uncertainties, including but not limited to those discussed herein and, in particular, under the caption "Business Risks and Uncertainties" that could cause actual results to differ materially from those projected.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1998 COMPARED TO THIRD QUARTER 1997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1998 the Company was impacted by the worldwide slowdown in demand for semiconductor equipment and as a result net sales decreased 35% to $34.3 million in 1998 compared to net sales of $52.8 million in 1997. Sales of semiconductor test handling equipment in 1998 decreased 42% over the 1997 period and accounted for 75% of consolidated net sales in 1998 versus 84% in 1997. Sales of television cameras and other equipment decreased 13% while the combined sales of metal detection and microwave equipment increased 31%. Export sales accounted for 42% of net sales in the third quarter of 1998 compared to 52% for the year ended December 31, 1997.</w:t>
      </w:r>
    </w:p>
    <w:p>
      <w:pPr>
        <w:spacing w:after="0" w:line="21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Gross margin as a percentage of net sales declined to 25.3% in 1998 versus 44.1% in 1997 primarily due to lower margins in the semiconductor equipment business. Within the semiconductor equipment segment, margins decreased in 1998 primarily as a result of reduced business volume, provisions for warranty and excess inventories, changes in product mix, sales price reductions and certain cost increases. During the third quarter of 1998 the Company shipped a significant number of its new Enterprise semiconductor test handlers. The gross margins realized on these sales were lower than the Company's established semiconductor handler products due primarily to higher estimated warranty and support costs. Research and development expense was virtually unchanged in the third quarter of 1998 but increased as a percentage of net sales to 13.8% in 1998 compared to 9% in 1997. Selling, general and administrative expense as a percentage of net sales increased to 12.3% in 1998 from 10.8% in 1997 primarily as a result of the decrease in business volume offset by a reduction in performance-based compensation expense. Interest income was $.8 million in 1998 and $.7 million in 1997. As a result of the factors set forth above, net income decreased from $8.5 million in 1997 to $.5 million in 1998.</w:t>
      </w:r>
    </w:p>
    <w:p>
      <w:pPr>
        <w:spacing w:after="0" w:line="39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NINE MONTHS ENDED SEPTEMBER 30, 1998 COMPARED TO NINE MONTHS ENDED SEPTEMBER 30,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 increased 11% to $146.2 million in 1998 compared to net sales of</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$132.2 million in 1997. Net sales during the first half of 1997 were negatively impacted by the semiconductor industry downturn that began in 1996. Sales of semiconductor test handling equipment in 1998 increased 12% over the 1997 period and accounted for 81% of consolidated net sales in 1998 versus 80% in 1997. Sales of television cameras and other equipment decreased 8% while the combined sales of metal detection and microwave equipment increased 28%. Export sales accounted for 44% of net sales in the first nine months of 1998 compared to 52% for the year ended December 31, 1997.</w:t>
      </w:r>
    </w:p>
    <w:p>
      <w:pPr>
        <w:spacing w:after="0" w:line="2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Gross margin as a percentage of net sales declined to 35.3% in 1998 from 43.6% in 1997 primarily due to lower margins in the semiconductor equipment business. Within the semiconductor equipment segment, margins decreased in 1998 primarily as a result of changes in product mix, sales price reductions, certain cost increases and provisions for warranty and excess inventories. During the second and third quarters of 1998 the Company shipped a significant number of its new Enterprise semiconductor test handlers. The gross margins realized on these sales were lower than the Company's established semiconductor handler products due to manufacturing inefficiencies incurred in the early</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784"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0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8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1998</w:t>
      </w:r>
    </w:p>
    <w:p>
      <w:pPr>
        <w:spacing w:after="0" w:line="200" w:lineRule="exact"/>
        <w:rPr>
          <w:sz w:val="20"/>
          <w:szCs w:val="20"/>
          <w:color w:val="auto"/>
        </w:rPr>
      </w:pP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NINE MONTHS ENDED SEPTEMBER 30, 1998 COMPARED TO NINE MONTHS ENDED SEPTEMBER 30, 1997 (CONT.)</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stages of producing new equipment and higher estimated warranty and support costs. Research and development expense as a percentage of net sales was 11% in 1998, compared to 9.3% in 1997, increasing in absolute dollars from $12.3 million to $16.0 million reflecting the Company's increased investment in new product development, particularly in the semiconductor equipment business. Selling, general and administrative expense as a percentage of net sales declined to 11.4% in 1998 from 11.9% in 1997 primarily as a result of the increase in business volume and a reduction in performance-based compensation expense. Interest income was $2.4 million in 1998 and $2.2 million in 1997. The provision for income taxes expressed as a percentage of pre-tax income was 34.3% in the first nine months of 1998. As a result of the factors set forth above, net income decreased from $20.2 million in 1997 to $14.0 million in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net cash flows generated from operating activities in the first nine months of 1998 totaled $17.9 million. The major components of cash flows from operating activities were net income of $14.0 million, a decrease in accounts receivable of $4.3 million and a decrease in inventories of $10.5 million offset by a decrease in accounts payable of $12.9 million. Net cash provided by investing activities was $4.1 million resulting from maturities of short-term investments, less purchases, totaling $5.7 million offset by purchases of property, plant and equipment and other assets of $1.6 million. Net cash used for financing activities was $.4 million. Cash used for financing activities included $2.3 million for the payment of dividends offset by $1.9 million received from the issuance of stock under stock option and purchase plans. The Company had $10 million available under its bank line of credit and working capital of $120.2 million at September 30, 1998. It is anticipated that present working capital and available borrowings under the line of credit will be sufficient to meet the Company's operating requirements for the next twelve months.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operating results are substantially dependent on its semiconductor test handling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severe downturns such as that experienced in 1996 and currently in 1998. Reductions in capital equipment investment by semiconductor manufacturers will adversely affect the Company's financial position and results of operations.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order backlog declined to $24.0 million at September 30, 1998 from $40.6 million at June 30, 1998. This reduction in backlog is primarily related to the Company's semiconductor equipment business. The decline in the Company's backlog and announcements by semiconductor equipment manufacturers and industry trade organizations indicate there has been a significant worldwide slowdown in demand for semiconductor equipment. The projected length and severity of this slowdown is unknown at this time. In addition, continued DRAM price weakness has negatively impacted the profitability of DRAM manufacturers which has impacted their capital equipment purchases. These and possible other factors are expected to negatively impact the Company's future operating results and as a result the Company expects to report a net loss for the fourth quarter of 1998.</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80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During this period of uncertainty in the semiconductor equipment industry the Company will attempt to keep its production capacity, labor force and other aspects of its cost structure in line with expected demand.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reduced the size of its work force and there may be further reductions. Cost reduction measures may have a negative impact on the Company's operations and operating results. Furthermore, no assurance can be made that such cost reduction measures will be implemented successfully.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or margins of existing products. In addition, the introduction of new products increases the risk that existing products will become obsolete resulting in greater excess and obsolete inventory exposure. This increased exposure may result in increased inventory reserve requirements that could have a material adverse impact on the Company's financial condition and results of operations.</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design, development, manufacture and commercial introduction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The Company believes that the rate of change in such processes and IC packages is accelerating. As a result of these changes and other factors, assessing the market potential and commercial viability of new test handling products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No assurance can be made that the Company will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the Company's operations, financial condition and results of operations.</w:t>
      </w:r>
    </w:p>
    <w:p>
      <w:pPr>
        <w:spacing w:after="0" w:line="21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Company has devoted significant resources to the development, introduction and volume production of two new semiconductor test handler products that were introduced in the second quarter of 1998. In the past, the Company has experienced delays in the introduction of new semiconductor test handlers and difficulties in the early stages of manufacturing and volume production of such products. The Company has incurred similar delays and difficulties with the two test handlers introduced in 1998. In addition, after sale support and warranty costs are typically greater with new test handlers than with established products. There can be no assurance that future technologies, processes and product developments will not render the Company's current or future product offerings obsolete or that the Company will be able to develop and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80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introduce new products or enhancements to its existing products in a timely manner to satisfy customer needs or achieve market acceptance. Furthermore, there is no assurance that the Company will be able to convert new test handlers into production on a timely basis and realize acceptable profit margins on such products.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and have more extensive product offerings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or margins on existing products.</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is common in the semiconductor equipment industry, the Company relies on a limited number of customers for a substantial percentage of its net sales. In 1997, three customers of the semiconductor equipment business accounted for 42% of the Company's net sales. The loss of or a significant reduction in orders by these or other significant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1997, 52% of the Company's total net sales were exported to foreign countries, including 60% of the sales in the semiconductor equipment segment. The majority of the Company's export sales are made to destinations in Asia. Instability in global economic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foreign and domestic customers.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a Year 2000 (Y2K) Task Force focusing on four key readiness areas: 1) Internal Infrastructure Readiness, addressing internal hardware and software, and non-information technology systems; 2) Product Readiness, addressing the functionality of the Company's products; 3) Supplier Readiness, addressing the preparedness of key suppliers to the Company and 4) Customer Readiness, addressing customer support and transactional activity. For each readiness area, the Company is performing a risk assessment, conducting testing and remediation, developing contingency plans to mitigate unknown risk, and communicating with employees, suppliers, customers and other third parties to raise awareness of the Y2K problem.</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Internal Infrastructure Readiness: The Company, assisted by third parties, is conducting an assessment of internal applications and computer hardware. Some software applications have been made Y2K compliant, and resources have been assigned to address other applications based on their importance and the time required to make them Y2K compliant. All software remediation is expected to be completed no later than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80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280"/>
        <w:spacing w:after="0" w:line="237" w:lineRule="auto"/>
        <w:rPr>
          <w:sz w:val="20"/>
          <w:szCs w:val="20"/>
          <w:color w:val="auto"/>
        </w:rPr>
      </w:pPr>
      <w:r>
        <w:rPr>
          <w:rFonts w:ascii="Courier New" w:cs="Courier New" w:eastAsia="Courier New" w:hAnsi="Courier New"/>
          <w:sz w:val="18"/>
          <w:szCs w:val="18"/>
          <w:color w:val="auto"/>
        </w:rPr>
        <w:t>SEPTEMBER 30,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June 1999. The Y2K compliance evaluation of hardware, including hubs, routers, telecommunication equipment, workstations and other items is expected to be completed by March 1999. In addition to applications and information technology hardware, the Company is developing remediation plans for embedded systems, facilities and other operations, such as financial and banking systems.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Product Readiness: This program focuses on identifying and resolving Y2K issues existing in the Company's products. The program encompasses a number of activities including testing, evaluation, engineering, and manufacturing implementation. Customers are being notified of known risk areas and proposed remediation plans. The Company plans to make Y2K retrofits available to certain customers during the first calendar quarter of 1999, and to have retrofits installed in the field by June 1999. A contingency team will be available after June 1999 to assist those customers experiencing difficulties with the Company's products.</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Supplier Readiness: This program focuses on minimizing the risks associated with key suppliers. The Company has identified and contacted key suppliers to solicit information on their Y2K readiness. To date, the Company has received responses, most of which indicate that the suppliers are in the process of developing remediation plans, from a number of its key suppliers. Based on the Company's assessment of each supplier's progress to adequately address the Y2K issue, the Company will develop a supplier action list and contingency plans. Supplier readiness issues that potentially affect the Company's product retrofit program discussed above are targeted to be addressed by December 1998.</w:t>
      </w:r>
    </w:p>
    <w:p>
      <w:pPr>
        <w:spacing w:after="0" w:line="18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Customer Readiness: This program focuses on customer support, including the coordination of retrofit activity and developing contingency plans where appropriate. The program is in the process of being developed.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estimates that total Y2K costs will be less than $1 million with the majority of these costs to be incurred during the next three quarters. The Company is continuing its assessments and developing alternatives that will necessitate refinement of this estimate over time. There can be no assurance, however, that there will not be a delay in, or increased costs associated with, the programs described in this section.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Since the efforts described above are ongoing, all potential Y2K complications have not yet been identified. Therefore, the potential impact of these complications on the Company's financial condition and results of operations cannot be determined at this time. If computer systems used by the Company or its suppliers, the performance of products provided to the Company by suppliers, or the software applications used in products manufactured and sold by the Company, fail or experience significant difficulties related to Y2K, the Company's results of operations and financial condition could be materially adversely affected.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1997 Annual Report on Form 10-K, that could cause actual results to differ materially from those projected or forecasted. The Company undertakes no obligation to update the information, including the forward-looking statements, in this Form 10-Q.</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640" w:right="199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3.1(a) - Provisions of the Amended and Restated Certificate of Incorporation of Cohu, Inc.</w:t>
      </w:r>
    </w:p>
    <w:p>
      <w:pPr>
        <w:spacing w:after="0" w:line="202"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w:t>
      </w:r>
      <w:r>
        <w:rPr>
          <w:rFonts w:ascii="Courier New" w:cs="Courier New" w:eastAsia="Courier New" w:hAnsi="Courier New"/>
          <w:sz w:val="16"/>
          <w:szCs w:val="16"/>
          <w:color w:val="auto"/>
        </w:rPr>
        <w:t>- Financial Data Schedule</w:t>
      </w:r>
    </w:p>
    <w:p>
      <w:pPr>
        <w:spacing w:after="0" w:line="206"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September 30,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88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8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October 22,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 Officer</w:t>
      </w:r>
    </w:p>
    <w:p>
      <w:pPr>
        <w:spacing w:after="0" w:line="200" w:lineRule="exact"/>
        <w:rPr>
          <w:sz w:val="20"/>
          <w:szCs w:val="20"/>
          <w:color w:val="auto"/>
        </w:rPr>
      </w:pPr>
    </w:p>
    <w:p>
      <w:pPr>
        <w:sectPr>
          <w:pgSz w:w="11900" w:h="16838" w:orient="portrait"/>
          <w:cols w:equalWidth="0" w:num="3">
            <w:col w:w="540" w:space="100"/>
            <w:col w:w="3380" w:space="720"/>
            <w:col w:w="547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October 22,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 Chief</w:t>
      </w: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540" w:space="100"/>
            <w:col w:w="3380" w:space="720"/>
            <w:col w:w="5479"/>
          </w:cols>
          <w:pgMar w:left="240" w:top="31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PROVISIONS OF AMENDED AND RESTATED CERTIFICATE</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INCORPORATION OF COHU, INC.</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FIRST: The name of the corporation is COHU, INC.</w:t>
      </w:r>
    </w:p>
    <w:p>
      <w:pPr>
        <w:spacing w:after="0" w:line="20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SECOND: Its registered office in the State of Delaware is located at No. 100 West Tenth Street, in the City of Wilmington, County of New Castle. The name and address of its registered agent is The Corporation Trust Company, No. 100 West Tenth Street, Wilmington, Delaware, 19801.</w:t>
      </w:r>
    </w:p>
    <w:p>
      <w:pPr>
        <w:spacing w:after="0" w:line="207"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THIRD: The nature of the business, or objects or purposes to be transacted, promoted or carried on are:</w:t>
      </w:r>
    </w:p>
    <w:p>
      <w:pPr>
        <w:spacing w:after="0" w:line="208" w:lineRule="exact"/>
        <w:rPr>
          <w:sz w:val="20"/>
          <w:szCs w:val="20"/>
          <w:color w:val="auto"/>
        </w:rPr>
      </w:pPr>
    </w:p>
    <w:p>
      <w:pPr>
        <w:ind w:left="1580" w:right="2099" w:firstLine="737"/>
        <w:spacing w:after="0" w:line="235" w:lineRule="auto"/>
        <w:rPr>
          <w:sz w:val="20"/>
          <w:szCs w:val="20"/>
          <w:color w:val="auto"/>
        </w:rPr>
      </w:pPr>
      <w:r>
        <w:rPr>
          <w:rFonts w:ascii="Courier New" w:cs="Courier New" w:eastAsia="Courier New" w:hAnsi="Courier New"/>
          <w:sz w:val="18"/>
          <w:szCs w:val="18"/>
          <w:color w:val="auto"/>
        </w:rPr>
        <w:t>To manufacture, sell and deal in electronic instruments and devices.</w:t>
      </w:r>
    </w:p>
    <w:p>
      <w:pPr>
        <w:spacing w:after="0" w:line="208" w:lineRule="exact"/>
        <w:rPr>
          <w:sz w:val="20"/>
          <w:szCs w:val="20"/>
          <w:color w:val="auto"/>
        </w:rPr>
      </w:pPr>
    </w:p>
    <w:p>
      <w:pPr>
        <w:ind w:left="1580" w:right="1779" w:firstLine="737"/>
        <w:spacing w:after="0" w:line="275" w:lineRule="auto"/>
        <w:rPr>
          <w:sz w:val="20"/>
          <w:szCs w:val="20"/>
          <w:color w:val="auto"/>
        </w:rPr>
      </w:pPr>
      <w:r>
        <w:rPr>
          <w:rFonts w:ascii="Courier New" w:cs="Courier New" w:eastAsia="Courier New" w:hAnsi="Courier New"/>
          <w:sz w:val="16"/>
          <w:szCs w:val="16"/>
          <w:color w:val="auto"/>
        </w:rPr>
        <w:t>To manufacture, purchase or otherwise acquire, invest in, own, mortgage, pledge, sell, assign and transfer or otherwise dispose of, trade, deal in and deal with goods, wares and merchandise and personal property of every class and description.</w:t>
      </w:r>
    </w:p>
    <w:p>
      <w:pPr>
        <w:spacing w:after="0" w:line="182" w:lineRule="exact"/>
        <w:rPr>
          <w:sz w:val="20"/>
          <w:szCs w:val="20"/>
          <w:color w:val="auto"/>
        </w:rPr>
      </w:pPr>
    </w:p>
    <w:p>
      <w:pPr>
        <w:ind w:left="1580" w:right="1779" w:firstLine="737"/>
        <w:spacing w:after="0" w:line="237" w:lineRule="auto"/>
        <w:rPr>
          <w:sz w:val="20"/>
          <w:szCs w:val="20"/>
          <w:color w:val="auto"/>
        </w:rPr>
      </w:pPr>
      <w:r>
        <w:rPr>
          <w:rFonts w:ascii="Courier New" w:cs="Courier New" w:eastAsia="Courier New" w:hAnsi="Courier New"/>
          <w:sz w:val="18"/>
          <w:szCs w:val="18"/>
          <w:color w:val="auto"/>
        </w:rPr>
        <w:t>To acquire, and pay for in cash, stock or bonds of this corporation or otherwise, the good will, rights, assets and property, and to undertake or assume the whole or any part of the obligations or liabilities of any person, firm, association or corporation.</w:t>
      </w:r>
    </w:p>
    <w:p>
      <w:pPr>
        <w:spacing w:after="0" w:line="209" w:lineRule="exact"/>
        <w:rPr>
          <w:sz w:val="20"/>
          <w:szCs w:val="20"/>
          <w:color w:val="auto"/>
        </w:rPr>
      </w:pPr>
    </w:p>
    <w:p>
      <w:pPr>
        <w:ind w:left="1580" w:right="1779" w:firstLine="737"/>
        <w:spacing w:after="0" w:line="237" w:lineRule="auto"/>
        <w:rPr>
          <w:sz w:val="20"/>
          <w:szCs w:val="20"/>
          <w:color w:val="auto"/>
        </w:rPr>
      </w:pPr>
      <w:r>
        <w:rPr>
          <w:rFonts w:ascii="Courier New" w:cs="Courier New" w:eastAsia="Courier New" w:hAnsi="Courier New"/>
          <w:sz w:val="18"/>
          <w:szCs w:val="18"/>
          <w:color w:val="auto"/>
        </w:rPr>
        <w:t>To acquire, hold, use, sell, assign, lease, grant licenses in respect of mortgage or otherwise dispose of letters patent of the United States or any foreign country, patent rights, licenses and privileges, inventions, improvements and processes, copyrights, trademarks and trade names, relating to or useful in connection with any business of this corporation.</w:t>
      </w:r>
    </w:p>
    <w:p>
      <w:pPr>
        <w:spacing w:after="0" w:line="210" w:lineRule="exact"/>
        <w:rPr>
          <w:sz w:val="20"/>
          <w:szCs w:val="20"/>
          <w:color w:val="auto"/>
        </w:rPr>
      </w:pPr>
    </w:p>
    <w:p>
      <w:pPr>
        <w:ind w:left="1580" w:right="1779" w:firstLine="737"/>
        <w:spacing w:after="0" w:line="269" w:lineRule="auto"/>
        <w:rPr>
          <w:sz w:val="20"/>
          <w:szCs w:val="20"/>
          <w:color w:val="auto"/>
        </w:rPr>
      </w:pPr>
      <w:r>
        <w:rPr>
          <w:rFonts w:ascii="Courier New" w:cs="Courier New" w:eastAsia="Courier New" w:hAnsi="Courier New"/>
          <w:sz w:val="16"/>
          <w:szCs w:val="16"/>
          <w:color w:val="auto"/>
        </w:rPr>
        <w:t>To acquire by purchase, subscription or otherwise, and to receive, hold, own guarantee, sell, assign, exchange, transfer, mortgage, pledge or otherwise dispose of or deal in and with any of the shares of the capital stock, or any voting trust certificates in respect of the shares of capital stock, scrip, warrants, rights, bonds, debentures, notes, trust receipts, and other securities, obligations, choses in action and evidences of indebtedness or interest issued or created by any corporations, joint stock companies, syndicates, associations, firms, trusts or persons, public or private, or by the government of the United States of America, or by any foreign government, or by any state, territory, province, municipality or other political subdivision or by any governmental agency, and as owner thereof to possess and exercise all the rights, powers and privileges of ownership, including the right to execute consents and vote thereon, and to do any and all acts and things necessary or advisable for the preservation, protection, improvement and enhancement in value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ectPr>
          <w:pgSz w:w="11900" w:h="16838" w:orient="portrait"/>
          <w:cols w:equalWidth="0" w:num="1">
            <w:col w:w="10219"/>
          </w:cols>
          <w:pgMar w:left="240" w:top="13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2</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ind w:left="1260" w:right="1779" w:firstLine="737"/>
        <w:spacing w:after="0" w:line="237" w:lineRule="auto"/>
        <w:rPr>
          <w:sz w:val="20"/>
          <w:szCs w:val="20"/>
          <w:color w:val="auto"/>
        </w:rPr>
      </w:pPr>
      <w:r>
        <w:rPr>
          <w:rFonts w:ascii="Courier New" w:cs="Courier New" w:eastAsia="Courier New" w:hAnsi="Courier New"/>
          <w:sz w:val="18"/>
          <w:szCs w:val="18"/>
          <w:color w:val="auto"/>
        </w:rPr>
        <w:t>To enter into, make and perform contracts of every kind and description with any person, firm, association, corporation, municipality, county, state, body politic or government or colony or dependency thereof.</w:t>
      </w:r>
    </w:p>
    <w:p>
      <w:pPr>
        <w:spacing w:after="0" w:line="207" w:lineRule="exact"/>
        <w:rPr>
          <w:sz w:val="20"/>
          <w:szCs w:val="20"/>
          <w:color w:val="auto"/>
        </w:rPr>
      </w:pPr>
    </w:p>
    <w:p>
      <w:pPr>
        <w:ind w:left="1260" w:right="1779" w:firstLine="737"/>
        <w:spacing w:after="0" w:line="238" w:lineRule="auto"/>
        <w:rPr>
          <w:sz w:val="20"/>
          <w:szCs w:val="20"/>
          <w:color w:val="auto"/>
        </w:rPr>
      </w:pPr>
      <w:r>
        <w:rPr>
          <w:rFonts w:ascii="Courier New" w:cs="Courier New" w:eastAsia="Courier New" w:hAnsi="Courier New"/>
          <w:sz w:val="18"/>
          <w:szCs w:val="18"/>
          <w:color w:val="auto"/>
        </w:rPr>
        <w:t>To borrow or raise moneys for any of the purposes of the corporation and, from time to time without limit as to amount, to draw, make, accept, endorse, execute and issue promissory notes, drafts, bills of exchange, warrants, bonds, debentures and other negotiable or non-negotiable instruments and evidences of indebtedness, and to secure the payment of any thereof and of the interest thereon by mortgage upon or pledge, conveyance or assignment in trust of the whole or any part of the property of the corporation, whether at the time owned or thereafter acquired, and to sell, pledge or otherwise dispose of such bonds or other obligations of the corporation for its corporate purposes.</w:t>
      </w:r>
    </w:p>
    <w:p>
      <w:pPr>
        <w:spacing w:after="0" w:line="207" w:lineRule="exact"/>
        <w:rPr>
          <w:sz w:val="20"/>
          <w:szCs w:val="20"/>
          <w:color w:val="auto"/>
        </w:rPr>
      </w:pPr>
    </w:p>
    <w:p>
      <w:pPr>
        <w:ind w:left="1260" w:right="2319" w:firstLine="737"/>
        <w:spacing w:after="0" w:line="235" w:lineRule="auto"/>
        <w:rPr>
          <w:sz w:val="20"/>
          <w:szCs w:val="20"/>
          <w:color w:val="auto"/>
        </w:rPr>
      </w:pPr>
      <w:r>
        <w:rPr>
          <w:rFonts w:ascii="Courier New" w:cs="Courier New" w:eastAsia="Courier New" w:hAnsi="Courier New"/>
          <w:sz w:val="18"/>
          <w:szCs w:val="18"/>
          <w:color w:val="auto"/>
        </w:rPr>
        <w:t>To loan to any person, firm or corporation any of its surplus funds, either with or without security.</w:t>
      </w:r>
    </w:p>
    <w:p>
      <w:pPr>
        <w:spacing w:after="0" w:line="208" w:lineRule="exact"/>
        <w:rPr>
          <w:sz w:val="20"/>
          <w:szCs w:val="20"/>
          <w:color w:val="auto"/>
        </w:rPr>
      </w:pPr>
    </w:p>
    <w:p>
      <w:pPr>
        <w:ind w:left="1260" w:right="1779" w:firstLine="737"/>
        <w:spacing w:after="0" w:line="237" w:lineRule="auto"/>
        <w:rPr>
          <w:sz w:val="20"/>
          <w:szCs w:val="20"/>
          <w:color w:val="auto"/>
        </w:rPr>
      </w:pPr>
      <w:r>
        <w:rPr>
          <w:rFonts w:ascii="Courier New" w:cs="Courier New" w:eastAsia="Courier New" w:hAnsi="Courier New"/>
          <w:sz w:val="18"/>
          <w:szCs w:val="18"/>
          <w:color w:val="auto"/>
        </w:rPr>
        <w:t>To purchase, hold, sell and transfer the shares of its own capital stock; provided it shall not use its funds or property for the purchase of its own shares of capital stock when such use would cause any impairment of its capital except as otherwise permitted by law, and provided further that shares of its own capital stock belonging to it shall not be voted upon directly or indirectly.</w:t>
      </w:r>
    </w:p>
    <w:p>
      <w:pPr>
        <w:spacing w:after="0" w:line="211" w:lineRule="exact"/>
        <w:rPr>
          <w:sz w:val="20"/>
          <w:szCs w:val="20"/>
          <w:color w:val="auto"/>
        </w:rPr>
      </w:pPr>
    </w:p>
    <w:p>
      <w:pPr>
        <w:ind w:left="1260" w:right="1779" w:firstLine="737"/>
        <w:spacing w:after="0" w:line="237" w:lineRule="auto"/>
        <w:rPr>
          <w:sz w:val="20"/>
          <w:szCs w:val="20"/>
          <w:color w:val="auto"/>
        </w:rPr>
      </w:pPr>
      <w:r>
        <w:rPr>
          <w:rFonts w:ascii="Courier New" w:cs="Courier New" w:eastAsia="Courier New" w:hAnsi="Courier New"/>
          <w:sz w:val="18"/>
          <w:szCs w:val="18"/>
          <w:color w:val="auto"/>
        </w:rPr>
        <w:t>To have one or more offices, to carry on all or any of its operations and business and without restriction or limit as to amount, to purchase or otherwise acquire, hold, own, mortgage, sell, convey or otherwise dispose of, real and personal property of every class and description in any of the states, districts, territories or colonies of the United States, and in any and all foreign countries, subject to the laws of such state, district, territory, colony or country.</w:t>
      </w:r>
    </w:p>
    <w:p>
      <w:pPr>
        <w:spacing w:after="0" w:line="212" w:lineRule="exact"/>
        <w:rPr>
          <w:sz w:val="20"/>
          <w:szCs w:val="20"/>
          <w:color w:val="auto"/>
        </w:rPr>
      </w:pPr>
    </w:p>
    <w:p>
      <w:pPr>
        <w:ind w:left="1260" w:right="1879" w:firstLine="737"/>
        <w:spacing w:after="0" w:line="237" w:lineRule="auto"/>
        <w:rPr>
          <w:sz w:val="20"/>
          <w:szCs w:val="20"/>
          <w:color w:val="auto"/>
        </w:rPr>
      </w:pPr>
      <w:r>
        <w:rPr>
          <w:rFonts w:ascii="Courier New" w:cs="Courier New" w:eastAsia="Courier New" w:hAnsi="Courier New"/>
          <w:sz w:val="18"/>
          <w:szCs w:val="18"/>
          <w:color w:val="auto"/>
        </w:rPr>
        <w:t>In general, to carry on any other business in connection with the foregoing, and to have and exercise all the powers conferred by the laws of Delaware upon corporations formed under the General Corporation Law of the State of Delaware, and to do any or all of the things hereinbefore set forth to the same extent as natural persons might or could do.</w:t>
      </w:r>
    </w:p>
    <w:p>
      <w:pPr>
        <w:spacing w:after="0" w:line="210" w:lineRule="exact"/>
        <w:rPr>
          <w:sz w:val="20"/>
          <w:szCs w:val="20"/>
          <w:color w:val="auto"/>
        </w:rPr>
      </w:pPr>
    </w:p>
    <w:p>
      <w:pPr>
        <w:ind w:left="1260" w:right="1879" w:firstLine="737"/>
        <w:spacing w:after="0" w:line="237" w:lineRule="auto"/>
        <w:rPr>
          <w:sz w:val="20"/>
          <w:szCs w:val="20"/>
          <w:color w:val="auto"/>
        </w:rPr>
      </w:pPr>
      <w:r>
        <w:rPr>
          <w:rFonts w:ascii="Courier New" w:cs="Courier New" w:eastAsia="Courier New" w:hAnsi="Courier New"/>
          <w:sz w:val="18"/>
          <w:szCs w:val="18"/>
          <w:color w:val="auto"/>
        </w:rPr>
        <w:t>The objects and purposes specified in the foregoing clauses shall, except where otherwise expressed, be in no way limited or restricted by reference to, or inference from the terms of any other clause in this certificate of incorporation, but the objects and purposes specified in each of the foregoing clauses of this article shall be regarded as independent objects and purposes.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9899"/>
          </w:cols>
          <w:pgMar w:left="56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3</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FOURTH: The total number of shares of all classes of stock which the Corporation shall have authority to issue is 41,000,000 shares, of which 1,000,000 shares shall constitute Preferred Stock having a par value of $1.00 per share and 40,000,000 shares shall constitute Common Stock having a par value of $1.00 per share.</w:t>
      </w:r>
    </w:p>
    <w:p>
      <w:pPr>
        <w:spacing w:after="0" w:line="209" w:lineRule="exact"/>
        <w:rPr>
          <w:sz w:val="20"/>
          <w:szCs w:val="20"/>
          <w:color w:val="auto"/>
        </w:rPr>
      </w:pPr>
    </w:p>
    <w:p>
      <w:pPr>
        <w:ind w:left="1580" w:right="1779" w:firstLine="746"/>
        <w:spacing w:after="0" w:line="269" w:lineRule="auto"/>
        <w:tabs>
          <w:tab w:leader="none" w:pos="263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shares of Preferred Stock may be issued from time to time in one or more series.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any such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580" w:right="1879" w:firstLine="746"/>
        <w:spacing w:after="0" w:line="237" w:lineRule="auto"/>
        <w:tabs>
          <w:tab w:leader="none" w:pos="26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all of the rights of the Preferred Stock, dividends may be paid upon the Common Stock as and when declared by the Board of Directors out of funds legally available for payment of dividends.</w:t>
      </w:r>
    </w:p>
    <w:p>
      <w:pPr>
        <w:spacing w:after="0" w:line="207" w:lineRule="exact"/>
        <w:rPr>
          <w:rFonts w:ascii="Courier New" w:cs="Courier New" w:eastAsia="Courier New" w:hAnsi="Courier New"/>
          <w:sz w:val="18"/>
          <w:szCs w:val="18"/>
          <w:color w:val="auto"/>
        </w:rPr>
      </w:pPr>
    </w:p>
    <w:p>
      <w:pPr>
        <w:ind w:left="1580" w:right="1779" w:firstLine="746"/>
        <w:spacing w:after="0" w:line="270" w:lineRule="auto"/>
        <w:tabs>
          <w:tab w:leader="none" w:pos="263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liquidation, dissolution or winding up of the Corporation, whether voluntary or involuntary, and after the holders of the Preferred Stock shall have been paid in full amounts to which they respectively shall be entitled, or an amount sufficient to pay the aggregate amount to which such holders shall be entitled shall have been deposited in trust with a bank or trust company having its principal office in the Borough of Manhattan, City, County and State of New York, or the City of Los Angeles, State of California, having a capital, undivided profits and surplus aggregating at least $5,000,000 for the benefit of the holders of the Preferred Stock, the remaining net assets of the Corporation shall be distributed pro rata to the holders of the Common Stock.</w:t>
      </w:r>
    </w:p>
    <w:p>
      <w:pPr>
        <w:spacing w:after="0" w:line="389" w:lineRule="exact"/>
        <w:rPr>
          <w:rFonts w:ascii="Courier New" w:cs="Courier New" w:eastAsia="Courier New" w:hAnsi="Courier New"/>
          <w:sz w:val="16"/>
          <w:szCs w:val="16"/>
          <w:color w:val="auto"/>
        </w:rPr>
      </w:pPr>
    </w:p>
    <w:p>
      <w:pPr>
        <w:ind w:left="1580" w:right="1779" w:firstLine="746"/>
        <w:spacing w:after="0" w:line="271" w:lineRule="auto"/>
        <w:tabs>
          <w:tab w:leader="none" w:pos="263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entire voting power and all voting rights, except as otherwise required by law, or fixed by resolution or resolutions of the Board of Directors with respect to one or more series of Preferred Stock, shall be vested exclusively in the Common Stock. The amount of either the authorized Preferred Stock or Common Stock, or the amount of both such classes of stock, may be increased or decreased by the affirmative vote of the holders of a majority of the stock of the Corporation entitled to vote.</w:t>
      </w:r>
    </w:p>
    <w:p>
      <w:pPr>
        <w:spacing w:after="0" w:line="200" w:lineRule="exact"/>
        <w:rPr>
          <w:rFonts w:ascii="Courier New" w:cs="Courier New" w:eastAsia="Courier New" w:hAnsi="Courier New"/>
          <w:sz w:val="16"/>
          <w:szCs w:val="16"/>
          <w:color w:val="auto"/>
        </w:rPr>
      </w:pPr>
    </w:p>
    <w:p>
      <w:pPr>
        <w:spacing w:after="0" w:line="385"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4</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ind w:right="2619" w:firstLine="1580"/>
        <w:spacing w:after="0" w:line="235" w:lineRule="auto"/>
        <w:rPr>
          <w:sz w:val="20"/>
          <w:szCs w:val="20"/>
          <w:color w:val="auto"/>
        </w:rPr>
      </w:pPr>
      <w:r>
        <w:rPr>
          <w:rFonts w:ascii="Courier New" w:cs="Courier New" w:eastAsia="Courier New" w:hAnsi="Courier New"/>
          <w:sz w:val="18"/>
          <w:szCs w:val="18"/>
          <w:color w:val="auto"/>
        </w:rPr>
        <w:t>FIFTH: The shareholders of this corporation shall have no pre-emptive rights.</w:t>
      </w:r>
    </w:p>
    <w:p>
      <w:pPr>
        <w:spacing w:after="0" w:line="208"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SIXTH: The minimum amount of capital with which the corporation will commence business is ONE THOUSAND DOLLARS ($1,000).</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SEVENTH: The names and places of residence of the incorporators</w:t>
      </w:r>
    </w:p>
    <w:p>
      <w:pPr>
        <w:spacing w:after="0" w:line="238" w:lineRule="auto"/>
        <w:rPr>
          <w:sz w:val="20"/>
          <w:szCs w:val="20"/>
          <w:color w:val="auto"/>
        </w:rPr>
      </w:pPr>
      <w:r>
        <w:rPr>
          <w:rFonts w:ascii="Courier New" w:cs="Courier New" w:eastAsia="Courier New" w:hAnsi="Courier New"/>
          <w:sz w:val="18"/>
          <w:szCs w:val="18"/>
          <w:color w:val="auto"/>
        </w:rPr>
        <w:t>are as follows: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NAMES</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RESIDENCES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H. K. Webb</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H. C. Broadt</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D. Atwell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Wilmington, Delaware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Wilmington, Delaware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Wilmington, Delaware</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2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EIGHTH: The corporation is to have perpetual existence.</w:t>
      </w:r>
    </w:p>
    <w:p>
      <w:pPr>
        <w:spacing w:after="0" w:line="207"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NINTH: The private property of the stockholders shall not be subject to the payment of corporate debts to any extent whatever.</w:t>
      </w:r>
    </w:p>
    <w:p>
      <w:pPr>
        <w:spacing w:after="0" w:line="208" w:lineRule="exact"/>
        <w:rPr>
          <w:sz w:val="20"/>
          <w:szCs w:val="20"/>
          <w:color w:val="auto"/>
        </w:rPr>
      </w:pPr>
    </w:p>
    <w:p>
      <w:pPr>
        <w:ind w:right="2619" w:firstLine="1580"/>
        <w:spacing w:after="0" w:line="290" w:lineRule="auto"/>
        <w:rPr>
          <w:sz w:val="20"/>
          <w:szCs w:val="20"/>
          <w:color w:val="auto"/>
        </w:rPr>
      </w:pPr>
      <w:r>
        <w:rPr>
          <w:rFonts w:ascii="Courier New" w:cs="Courier New" w:eastAsia="Courier New" w:hAnsi="Courier New"/>
          <w:sz w:val="16"/>
          <w:szCs w:val="16"/>
          <w:color w:val="auto"/>
        </w:rPr>
        <w:t>TENTH: In furtherance and not in limitation of the powers conferred by statute, the board of directors is expressly authorized:</w:t>
      </w:r>
    </w:p>
    <w:p>
      <w:pPr>
        <w:spacing w:after="0" w:line="16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To make, alter or repeal the by-laws of the corporation.</w:t>
      </w:r>
    </w:p>
    <w:p>
      <w:pPr>
        <w:spacing w:after="0" w:line="207" w:lineRule="exact"/>
        <w:rPr>
          <w:sz w:val="20"/>
          <w:szCs w:val="20"/>
          <w:color w:val="auto"/>
        </w:rPr>
      </w:pPr>
    </w:p>
    <w:p>
      <w:pPr>
        <w:ind w:left="1580" w:right="1879" w:firstLine="737"/>
        <w:spacing w:after="0" w:line="235" w:lineRule="auto"/>
        <w:rPr>
          <w:sz w:val="20"/>
          <w:szCs w:val="20"/>
          <w:color w:val="auto"/>
        </w:rPr>
      </w:pPr>
      <w:r>
        <w:rPr>
          <w:rFonts w:ascii="Courier New" w:cs="Courier New" w:eastAsia="Courier New" w:hAnsi="Courier New"/>
          <w:sz w:val="18"/>
          <w:szCs w:val="18"/>
          <w:color w:val="auto"/>
        </w:rPr>
        <w:t>To authorize and cause to be executed mortgages and liens upon the real and personal property of the corporation.</w:t>
      </w:r>
    </w:p>
    <w:p>
      <w:pPr>
        <w:spacing w:after="0" w:line="208" w:lineRule="exact"/>
        <w:rPr>
          <w:sz w:val="20"/>
          <w:szCs w:val="20"/>
          <w:color w:val="auto"/>
        </w:rPr>
      </w:pPr>
    </w:p>
    <w:p>
      <w:pPr>
        <w:ind w:left="1580" w:right="1779" w:firstLine="737"/>
        <w:spacing w:after="0" w:line="237" w:lineRule="auto"/>
        <w:rPr>
          <w:sz w:val="20"/>
          <w:szCs w:val="20"/>
          <w:color w:val="auto"/>
        </w:rPr>
      </w:pPr>
      <w:r>
        <w:rPr>
          <w:rFonts w:ascii="Courier New" w:cs="Courier New" w:eastAsia="Courier New" w:hAnsi="Courier New"/>
          <w:sz w:val="18"/>
          <w:szCs w:val="18"/>
          <w:color w:val="auto"/>
        </w:rPr>
        <w:t>To set apart out of any of the funds of the corporation available for dividends a reserve or reserves for any proper purpose and to abolish any such reserve in the manner in which it was created.</w:t>
      </w:r>
    </w:p>
    <w:p>
      <w:pPr>
        <w:spacing w:after="0" w:line="207" w:lineRule="exact"/>
        <w:rPr>
          <w:sz w:val="20"/>
          <w:szCs w:val="20"/>
          <w:color w:val="auto"/>
        </w:rPr>
      </w:pPr>
    </w:p>
    <w:p>
      <w:pPr>
        <w:ind w:left="1580" w:right="1779" w:firstLine="737"/>
        <w:spacing w:after="0" w:line="270" w:lineRule="auto"/>
        <w:rPr>
          <w:sz w:val="20"/>
          <w:szCs w:val="20"/>
          <w:color w:val="auto"/>
        </w:rPr>
      </w:pPr>
      <w:r>
        <w:rPr>
          <w:rFonts w:ascii="Courier New" w:cs="Courier New" w:eastAsia="Courier New" w:hAnsi="Courier New"/>
          <w:sz w:val="16"/>
          <w:szCs w:val="16"/>
          <w:color w:val="auto"/>
        </w:rPr>
        <w:t>By resolution passed by a majority of the whole board, to designate one or more committees, each committee to consist of two or more of the directors of the corporation, which, to the extent provided in the resolution or in the by-laws of the corporation, shall have and may exercise the powers of the board of directors in the management of the business and affairs of the corporation, and may authorize the seal of the corporation to be affixed to all papers which may require it. Such committee or committees shall have such name or names as may be stated in the by-laws of the corporation or as may be determined from time to time by resolution adopted by the board of directors.</w:t>
      </w:r>
    </w:p>
    <w:p>
      <w:pPr>
        <w:spacing w:after="0" w:line="392" w:lineRule="exact"/>
        <w:rPr>
          <w:sz w:val="20"/>
          <w:szCs w:val="20"/>
          <w:color w:val="auto"/>
        </w:rPr>
      </w:pPr>
    </w:p>
    <w:p>
      <w:pPr>
        <w:ind w:left="1580" w:right="1779" w:firstLine="737"/>
        <w:spacing w:after="0" w:line="272" w:lineRule="auto"/>
        <w:rPr>
          <w:sz w:val="20"/>
          <w:szCs w:val="20"/>
          <w:color w:val="auto"/>
        </w:rPr>
      </w:pPr>
      <w:r>
        <w:rPr>
          <w:rFonts w:ascii="Courier New" w:cs="Courier New" w:eastAsia="Courier New" w:hAnsi="Courier New"/>
          <w:sz w:val="16"/>
          <w:szCs w:val="16"/>
          <w:color w:val="auto"/>
        </w:rPr>
        <w:t>When and as authorized by the affirmative vote of the holders of a majority of the stock issued and outstanding having voting power given at a stockholders' meeting duly called for that purpose, or when authorized by the written consent of the holders of a majority of the voting stock issued and outstanding, to sell, lease or exchange all of the property and</w:t>
      </w: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312"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5</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assets of the corporation, including its good will and its corporate franchises, upon such terms and conditions and for such consideration, which may be in whole or in part shares of stock in, and/or other securities of any other corporation or corporations, as its board of directors shall deem expedient and for the best interests of the corporation.</w:t>
      </w:r>
    </w:p>
    <w:p>
      <w:pPr>
        <w:spacing w:after="0" w:line="210" w:lineRule="exact"/>
        <w:rPr>
          <w:sz w:val="20"/>
          <w:szCs w:val="20"/>
          <w:color w:val="auto"/>
        </w:rPr>
      </w:pPr>
    </w:p>
    <w:p>
      <w:pPr>
        <w:ind w:right="1779" w:firstLine="1580"/>
        <w:spacing w:after="0" w:line="272" w:lineRule="auto"/>
        <w:rPr>
          <w:sz w:val="20"/>
          <w:szCs w:val="20"/>
          <w:color w:val="auto"/>
        </w:rPr>
      </w:pPr>
      <w:r>
        <w:rPr>
          <w:rFonts w:ascii="Courier New" w:cs="Courier New" w:eastAsia="Courier New" w:hAnsi="Courier New"/>
          <w:sz w:val="16"/>
          <w:szCs w:val="16"/>
          <w:color w:val="auto"/>
        </w:rPr>
        <w:t>ELEVENTH: Meetings of stockholders may be held outside the State of Delaware, if the by-laws so provide. The books of the corporation may be kept (subject to any provision contained in the statutes) outside the State of Delaware at such place or places as may be designated from time to time by the board of directors or in the by-laws of the corporation. Elections of directors need not be by ballot unless the by-laws of the corporation shall so provide.</w:t>
      </w:r>
    </w:p>
    <w:p>
      <w:pPr>
        <w:spacing w:after="0" w:line="186"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82"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THIRTEENTH: Every shareholder entitled to vote at any election of directors of this company may cumulate his votes and give one candidate a number of votes equal to the number of directors to be elected multiplied by the number of votes to which his shares are entitled, or distribute his votes on the same principle among as many candidates as he thinks fit. The candidates receiving the highest number of votes up to the number of directors to be elected are elected.</w:t>
      </w:r>
    </w:p>
    <w:p>
      <w:pPr>
        <w:spacing w:after="0" w:line="211"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FOURTEENTH: 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 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as provided in this Certificate of Incorporation.</w:t>
      </w:r>
    </w:p>
    <w:p>
      <w:pPr>
        <w:spacing w:after="0" w:line="211" w:lineRule="exact"/>
        <w:rPr>
          <w:sz w:val="20"/>
          <w:szCs w:val="20"/>
          <w:color w:val="auto"/>
        </w:rPr>
      </w:pPr>
    </w:p>
    <w:p>
      <w:pPr>
        <w:ind w:right="1879" w:firstLine="1580"/>
        <w:spacing w:after="0" w:line="236" w:lineRule="auto"/>
        <w:rPr>
          <w:sz w:val="20"/>
          <w:szCs w:val="20"/>
          <w:color w:val="auto"/>
        </w:rPr>
      </w:pPr>
      <w:r>
        <w:rPr>
          <w:rFonts w:ascii="Courier New" w:cs="Courier New" w:eastAsia="Courier New" w:hAnsi="Courier New"/>
          <w:sz w:val="18"/>
          <w:szCs w:val="18"/>
          <w:color w:val="auto"/>
        </w:rPr>
        <w:t>No Director of the Corporation shall be removed from office as a Director by vote or other action of stockholders or otherwise, unless the Director to be removed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6</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has been convicted of a felony by a court of competent jurisdiction and such conviction is no longer subject to direct appeal, or unless the Director to be removed has been adjudged to be liable for negligence or misconduct in the performance of his duty to the Corporation by a court of competent jurisdiction and such adjudication is no longer subject to direct appeal.</w:t>
      </w:r>
    </w:p>
    <w:p>
      <w:pPr>
        <w:spacing w:after="0" w:line="209" w:lineRule="exact"/>
        <w:rPr>
          <w:sz w:val="20"/>
          <w:szCs w:val="20"/>
          <w:color w:val="auto"/>
        </w:rPr>
      </w:pPr>
    </w:p>
    <w:p>
      <w:pPr>
        <w:ind w:right="1779" w:firstLine="1580"/>
        <w:spacing w:after="0" w:line="269" w:lineRule="auto"/>
        <w:rPr>
          <w:sz w:val="20"/>
          <w:szCs w:val="20"/>
          <w:color w:val="auto"/>
        </w:rPr>
      </w:pPr>
      <w:r>
        <w:rPr>
          <w:rFonts w:ascii="Courier New" w:cs="Courier New" w:eastAsia="Courier New" w:hAnsi="Courier New"/>
          <w:sz w:val="16"/>
          <w:szCs w:val="16"/>
          <w:color w:val="auto"/>
        </w:rPr>
        <w:t>FIFTEENTH: In the event that it is proposed that this Corporation enter into a "business combination" (as hereinafter defined) with any other corporation and such corporation or its affiliates singly or in the aggregate own or control directly or indirectly five (5%) percent or more of the outstanding shares of the common stock of this Corporation (such corporation and its affiliates being referred to herein as a "related party"), the affirmative vote of the holders of not less than 80% of the total voting power of all outstanding shares of stock of this Corporation shall be required for the approval of such proposal; provided, however, that the foregoing shall not apply to any business combination which was approved by resolution of the Board of Directors of this Corporation prior to the acquisition of the ownership or control of ten (10%) percent of the outstanding shares of this Corporation by such related party, nor shall it apply to any business combination between this Corporation and another Corporation, fifty (50%) percent or more of the voting stock of which is owned by this Corporation, and none of which is owned or controlled by a related party, provided that each stockholder of this Corporation receives the same type of consideration in such transaction in proportion to his stockholding. For the purposes hereof, an "affiliate" is any person (including a corporation, partnership, trust, estate or individual) who directly or indirectly, through one or more intermediaries, controls or is controlled by or is under common control with the person specified, and "control" means the possession directly or indirectly of the power to direct or cause the direction of management and policies of a person, whether through the ownership of voting securities, by contract, or otherwise.</w:t>
      </w:r>
    </w:p>
    <w:p>
      <w:pPr>
        <w:spacing w:after="0" w:line="200" w:lineRule="exact"/>
        <w:rPr>
          <w:sz w:val="20"/>
          <w:szCs w:val="20"/>
          <w:color w:val="auto"/>
        </w:rPr>
      </w:pPr>
    </w:p>
    <w:p>
      <w:pPr>
        <w:spacing w:after="0" w:line="395"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For the purposes hereof, the term "business combination" shall mean (a) any merger or consolidation of or with this Corporation, (b) any sale, lease, exchange, transfer or other disposition, including without limitation a mortgage or other security device, of all or any substantial part of the assets of this Corporation or any subsidiary of this Corporation, (c) the acquisition by this Corporation or subsidiary of this Corporation of any securities of a related person, (d) the issuance of any shares of this Corporation or any subsidiary to a related person, or (e) any agreement, contract or other arrangement providing for any of the transactions described in this definition of business combination.</w:t>
      </w:r>
    </w:p>
    <w:p>
      <w:pPr>
        <w:spacing w:after="0" w:line="215" w:lineRule="exact"/>
        <w:rPr>
          <w:sz w:val="20"/>
          <w:szCs w:val="20"/>
          <w:color w:val="auto"/>
        </w:rPr>
      </w:pPr>
    </w:p>
    <w:p>
      <w:pPr>
        <w:jc w:val="both"/>
        <w:ind w:right="2419" w:firstLine="1580"/>
        <w:spacing w:after="0" w:line="236" w:lineRule="auto"/>
        <w:rPr>
          <w:sz w:val="20"/>
          <w:szCs w:val="20"/>
          <w:color w:val="auto"/>
        </w:rPr>
      </w:pPr>
      <w:r>
        <w:rPr>
          <w:rFonts w:ascii="Courier New" w:cs="Courier New" w:eastAsia="Courier New" w:hAnsi="Courier New"/>
          <w:sz w:val="18"/>
          <w:szCs w:val="18"/>
          <w:color w:val="auto"/>
        </w:rPr>
        <w:t>SIXTEENTH: Action shall be taken by stockholders only at an annual or special meeting of stockholders, and stockholders may not act by written consent.</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SEVENTEENTH: The by-laws of this Corporation may be adopted, altered, amended or repealed at any time by affirmative vote of a majority of the authorized number of Directors of this Corporation, and may also be altered, amended or repealed at any annual meeting, or at any special meeting of stockholders duly called for the purpose, by the affirmative vote of the holders of not less than 80% of the issued and outstanding shares of the stock of this Corporation, in any manner not prohibited by this Certificate of Incorporation or by the Delaware Corporation Law as then in effect.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7</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EIGHTEENTH: The provisions set forth in Articles Fourteenth, Fifteenth, Sixteenth, and Seventeenth and in this Article Eighteenth may not be repealed or amended in any respect unless such repeal or amendment is approved by the affirmative vote of the holders of not less than 80% of the total voting power of all outstanding shares of stock of this Corporation.</w:t>
      </w:r>
    </w:p>
    <w:p>
      <w:pPr>
        <w:spacing w:after="0" w:line="209"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NINETEENTH: A director of the Corporation shall not be personally liable to the Corporation or its stockholders for monetary damages for breach of fiduciary duty as a director, except for liability (i) for any breach of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 No amendment to or repeal of this Article NINETEEN shall apply to or have any effect on the liability or alleged liability of any director of the Corporation for or with respect to any acts or omissions of such director occurring prior to such amendment or repeal.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312" w:right="1440" w:bottom="1440" w:gutter="0" w:footer="0" w:header="0"/>
        </w:sectPr>
      </w:pPr>
    </w:p>
    <w:bookmarkStart w:id="20" w:name="page21"/>
    <w:bookmarkEnd w:id="20"/>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1997 AND 1998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DEC-31-1997</w:t>
      </w:r>
    </w:p>
    <w:p>
      <w:pPr>
        <w:ind w:left="3020"/>
        <w:spacing w:after="0"/>
        <w:rPr>
          <w:sz w:val="20"/>
          <w:szCs w:val="20"/>
          <w:color w:val="auto"/>
        </w:rPr>
      </w:pPr>
      <w:r>
        <w:rPr>
          <w:rFonts w:ascii="Courier New" w:cs="Courier New" w:eastAsia="Courier New" w:hAnsi="Courier New"/>
          <w:sz w:val="18"/>
          <w:szCs w:val="18"/>
          <w:color w:val="auto"/>
        </w:rPr>
        <w:t>JAN-01-1998</w:t>
      </w:r>
    </w:p>
    <w:p>
      <w:pPr>
        <w:ind w:left="3240"/>
        <w:spacing w:after="0" w:line="237" w:lineRule="auto"/>
        <w:rPr>
          <w:sz w:val="20"/>
          <w:szCs w:val="20"/>
          <w:color w:val="auto"/>
        </w:rPr>
      </w:pPr>
      <w:r>
        <w:rPr>
          <w:rFonts w:ascii="Courier New" w:cs="Courier New" w:eastAsia="Courier New" w:hAnsi="Courier New"/>
          <w:sz w:val="18"/>
          <w:szCs w:val="18"/>
          <w:color w:val="auto"/>
        </w:rPr>
        <w:t>SEP-30-1998</w:t>
      </w:r>
    </w:p>
    <w:p>
      <w:pPr>
        <w:ind w:left="4400"/>
        <w:spacing w:after="0" w:line="238" w:lineRule="auto"/>
        <w:rPr>
          <w:sz w:val="20"/>
          <w:szCs w:val="20"/>
          <w:color w:val="auto"/>
        </w:rPr>
      </w:pPr>
      <w:r>
        <w:rPr>
          <w:rFonts w:ascii="Courier New" w:cs="Courier New" w:eastAsia="Courier New" w:hAnsi="Courier New"/>
          <w:sz w:val="18"/>
          <w:szCs w:val="18"/>
          <w:color w:val="auto"/>
        </w:rPr>
        <w:t>61,368</w:t>
      </w:r>
    </w:p>
    <w:p>
      <w:pPr>
        <w:ind w:left="3860"/>
        <w:spacing w:after="0"/>
        <w:rPr>
          <w:sz w:val="20"/>
          <w:szCs w:val="20"/>
          <w:color w:val="auto"/>
        </w:rPr>
      </w:pPr>
      <w:r>
        <w:rPr>
          <w:rFonts w:ascii="Courier New" w:cs="Courier New" w:eastAsia="Courier New" w:hAnsi="Courier New"/>
          <w:sz w:val="18"/>
          <w:szCs w:val="18"/>
          <w:color w:val="auto"/>
        </w:rPr>
        <w:t>8,065</w:t>
      </w:r>
    </w:p>
    <w:p>
      <w:pPr>
        <w:ind w:left="3660"/>
        <w:spacing w:after="0" w:line="237" w:lineRule="auto"/>
        <w:rPr>
          <w:sz w:val="20"/>
          <w:szCs w:val="20"/>
          <w:color w:val="auto"/>
        </w:rPr>
      </w:pPr>
      <w:r>
        <w:rPr>
          <w:rFonts w:ascii="Courier New" w:cs="Courier New" w:eastAsia="Courier New" w:hAnsi="Courier New"/>
          <w:sz w:val="18"/>
          <w:szCs w:val="18"/>
          <w:color w:val="auto"/>
        </w:rPr>
        <w:t>27,632</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34,376</w:t>
      </w:r>
    </w:p>
    <w:p>
      <w:pPr>
        <w:ind w:left="3240"/>
        <w:spacing w:after="0"/>
        <w:rPr>
          <w:sz w:val="20"/>
          <w:szCs w:val="20"/>
          <w:color w:val="auto"/>
        </w:rPr>
      </w:pPr>
      <w:r>
        <w:rPr>
          <w:rFonts w:ascii="Courier New" w:cs="Courier New" w:eastAsia="Courier New" w:hAnsi="Courier New"/>
          <w:sz w:val="18"/>
          <w:szCs w:val="18"/>
          <w:color w:val="auto"/>
        </w:rPr>
        <w:t>142,620</w:t>
      </w:r>
    </w:p>
    <w:p>
      <w:pPr>
        <w:ind w:left="4400"/>
        <w:spacing w:after="0" w:line="237" w:lineRule="auto"/>
        <w:rPr>
          <w:sz w:val="20"/>
          <w:szCs w:val="20"/>
          <w:color w:val="auto"/>
        </w:rPr>
      </w:pPr>
      <w:r>
        <w:rPr>
          <w:rFonts w:ascii="Courier New" w:cs="Courier New" w:eastAsia="Courier New" w:hAnsi="Courier New"/>
          <w:sz w:val="18"/>
          <w:szCs w:val="18"/>
          <w:color w:val="auto"/>
        </w:rPr>
        <w:t>33,080</w:t>
      </w:r>
    </w:p>
    <w:p>
      <w:pPr>
        <w:ind w:left="3540"/>
        <w:spacing w:after="0" w:line="238" w:lineRule="auto"/>
        <w:rPr>
          <w:sz w:val="20"/>
          <w:szCs w:val="20"/>
          <w:color w:val="auto"/>
        </w:rPr>
      </w:pPr>
      <w:r>
        <w:rPr>
          <w:rFonts w:ascii="Courier New" w:cs="Courier New" w:eastAsia="Courier New" w:hAnsi="Courier New"/>
          <w:sz w:val="18"/>
          <w:szCs w:val="18"/>
          <w:color w:val="auto"/>
        </w:rPr>
        <w:t>14,415</w:t>
      </w:r>
    </w:p>
    <w:p>
      <w:pPr>
        <w:ind w:left="3440"/>
        <w:spacing w:after="0"/>
        <w:rPr>
          <w:sz w:val="20"/>
          <w:szCs w:val="20"/>
          <w:color w:val="auto"/>
        </w:rPr>
      </w:pPr>
      <w:r>
        <w:rPr>
          <w:rFonts w:ascii="Courier New" w:cs="Courier New" w:eastAsia="Courier New" w:hAnsi="Courier New"/>
          <w:sz w:val="18"/>
          <w:szCs w:val="18"/>
          <w:color w:val="auto"/>
        </w:rPr>
        <w:t>163,572</w:t>
      </w:r>
    </w:p>
    <w:p>
      <w:pPr>
        <w:ind w:left="2820"/>
        <w:spacing w:after="0" w:line="237" w:lineRule="auto"/>
        <w:rPr>
          <w:sz w:val="20"/>
          <w:szCs w:val="20"/>
          <w:color w:val="auto"/>
        </w:rPr>
      </w:pPr>
      <w:r>
        <w:rPr>
          <w:rFonts w:ascii="Courier New" w:cs="Courier New" w:eastAsia="Courier New" w:hAnsi="Courier New"/>
          <w:sz w:val="18"/>
          <w:szCs w:val="18"/>
          <w:color w:val="auto"/>
        </w:rPr>
        <w:t>22,383</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9,738</w:t>
      </w:r>
    </w:p>
    <w:p>
      <w:pPr>
        <w:ind w:left="3860"/>
        <w:spacing w:after="0" w:line="238" w:lineRule="auto"/>
        <w:rPr>
          <w:sz w:val="20"/>
          <w:szCs w:val="20"/>
          <w:color w:val="auto"/>
        </w:rPr>
      </w:pPr>
      <w:r>
        <w:rPr>
          <w:rFonts w:ascii="Courier New" w:cs="Courier New" w:eastAsia="Courier New" w:hAnsi="Courier New"/>
          <w:sz w:val="18"/>
          <w:szCs w:val="18"/>
          <w:color w:val="auto"/>
        </w:rPr>
        <w:t>130,033</w:t>
      </w:r>
    </w:p>
    <w:p>
      <w:pPr>
        <w:ind w:left="1960"/>
        <w:spacing w:after="0"/>
        <w:rPr>
          <w:sz w:val="20"/>
          <w:szCs w:val="20"/>
          <w:color w:val="auto"/>
        </w:rPr>
      </w:pPr>
      <w:r>
        <w:rPr>
          <w:rFonts w:ascii="Courier New" w:cs="Courier New" w:eastAsia="Courier New" w:hAnsi="Courier New"/>
          <w:sz w:val="18"/>
          <w:szCs w:val="18"/>
          <w:color w:val="auto"/>
        </w:rPr>
        <w:t>163,572</w:t>
      </w:r>
    </w:p>
    <w:p>
      <w:pPr>
        <w:ind w:left="4180"/>
        <w:spacing w:after="0" w:line="237" w:lineRule="auto"/>
        <w:rPr>
          <w:sz w:val="20"/>
          <w:szCs w:val="20"/>
          <w:color w:val="auto"/>
        </w:rPr>
      </w:pPr>
      <w:r>
        <w:rPr>
          <w:rFonts w:ascii="Courier New" w:cs="Courier New" w:eastAsia="Courier New" w:hAnsi="Courier New"/>
          <w:sz w:val="18"/>
          <w:szCs w:val="18"/>
          <w:color w:val="auto"/>
        </w:rPr>
        <w:t>146,170</w:t>
      </w:r>
    </w:p>
    <w:p>
      <w:pPr>
        <w:ind w:left="3240"/>
        <w:spacing w:after="0"/>
        <w:rPr>
          <w:sz w:val="20"/>
          <w:szCs w:val="20"/>
          <w:color w:val="auto"/>
        </w:rPr>
      </w:pPr>
      <w:r>
        <w:rPr>
          <w:rFonts w:ascii="Courier New" w:cs="Courier New" w:eastAsia="Courier New" w:hAnsi="Courier New"/>
          <w:sz w:val="18"/>
          <w:szCs w:val="18"/>
          <w:color w:val="auto"/>
        </w:rPr>
        <w:t>146,170</w:t>
      </w:r>
    </w:p>
    <w:p>
      <w:pPr>
        <w:ind w:left="4500"/>
        <w:spacing w:after="0" w:line="237" w:lineRule="auto"/>
        <w:rPr>
          <w:sz w:val="20"/>
          <w:szCs w:val="20"/>
          <w:color w:val="auto"/>
        </w:rPr>
      </w:pPr>
      <w:r>
        <w:rPr>
          <w:rFonts w:ascii="Courier New" w:cs="Courier New" w:eastAsia="Courier New" w:hAnsi="Courier New"/>
          <w:sz w:val="18"/>
          <w:szCs w:val="18"/>
          <w:color w:val="auto"/>
        </w:rPr>
        <w:t>94,598</w:t>
      </w:r>
    </w:p>
    <w:p>
      <w:pPr>
        <w:ind w:left="3660"/>
        <w:spacing w:after="0"/>
        <w:rPr>
          <w:sz w:val="20"/>
          <w:szCs w:val="20"/>
          <w:color w:val="auto"/>
        </w:rPr>
      </w:pPr>
      <w:r>
        <w:rPr>
          <w:rFonts w:ascii="Courier New" w:cs="Courier New" w:eastAsia="Courier New" w:hAnsi="Courier New"/>
          <w:sz w:val="18"/>
          <w:szCs w:val="18"/>
          <w:color w:val="auto"/>
        </w:rPr>
        <w:t>94,598</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21,295</w:t>
      </w:r>
    </w:p>
    <w:p>
      <w:pPr>
        <w:ind w:left="3860"/>
        <w:spacing w:after="0"/>
        <w:rPr>
          <w:sz w:val="20"/>
          <w:szCs w:val="20"/>
          <w:color w:val="auto"/>
        </w:rPr>
      </w:pPr>
      <w:r>
        <w:rPr>
          <w:rFonts w:ascii="Courier New" w:cs="Courier New" w:eastAsia="Courier New" w:hAnsi="Courier New"/>
          <w:sz w:val="18"/>
          <w:szCs w:val="18"/>
          <w:color w:val="auto"/>
        </w:rPr>
        <w:t>7,300</w:t>
      </w:r>
    </w:p>
    <w:p>
      <w:pPr>
        <w:ind w:left="3020"/>
        <w:spacing w:after="0" w:line="237" w:lineRule="auto"/>
        <w:rPr>
          <w:sz w:val="20"/>
          <w:szCs w:val="20"/>
          <w:color w:val="auto"/>
        </w:rPr>
      </w:pPr>
      <w:r>
        <w:rPr>
          <w:rFonts w:ascii="Courier New" w:cs="Courier New" w:eastAsia="Courier New" w:hAnsi="Courier New"/>
          <w:sz w:val="18"/>
          <w:szCs w:val="18"/>
          <w:color w:val="auto"/>
        </w:rPr>
        <w:t>13,995</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019"/>
        <w:spacing w:after="0" w:line="237" w:lineRule="auto"/>
        <w:rPr>
          <w:sz w:val="20"/>
          <w:szCs w:val="20"/>
          <w:color w:val="auto"/>
        </w:rPr>
      </w:pPr>
      <w:r>
        <w:rPr>
          <w:rFonts w:ascii="Courier New" w:cs="Courier New" w:eastAsia="Courier New" w:hAnsi="Courier New"/>
          <w:sz w:val="18"/>
          <w:szCs w:val="18"/>
          <w:color w:val="auto"/>
        </w:rPr>
        <w:t>13,995</w:t>
      </w:r>
    </w:p>
    <w:p>
      <w:pPr>
        <w:jc w:val="center"/>
        <w:ind w:right="2019"/>
        <w:spacing w:after="0" w:line="238" w:lineRule="auto"/>
        <w:rPr>
          <w:sz w:val="20"/>
          <w:szCs w:val="20"/>
          <w:color w:val="auto"/>
        </w:rPr>
      </w:pPr>
      <w:r>
        <w:rPr>
          <w:rFonts w:ascii="Courier New" w:cs="Courier New" w:eastAsia="Courier New" w:hAnsi="Courier New"/>
          <w:sz w:val="18"/>
          <w:szCs w:val="18"/>
          <w:color w:val="auto"/>
        </w:rPr>
        <w:t>1.44</w:t>
      </w:r>
    </w:p>
    <w:p>
      <w:pPr>
        <w:jc w:val="center"/>
        <w:ind w:right="2019"/>
        <w:spacing w:after="0"/>
        <w:rPr>
          <w:sz w:val="20"/>
          <w:szCs w:val="20"/>
          <w:color w:val="auto"/>
        </w:rPr>
      </w:pPr>
      <w:r>
        <w:rPr>
          <w:rFonts w:ascii="Courier New" w:cs="Courier New" w:eastAsia="Courier New" w:hAnsi="Courier New"/>
          <w:sz w:val="18"/>
          <w:szCs w:val="18"/>
          <w:color w:val="auto"/>
        </w:rPr>
        <w:t>1.40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84"/>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2019-12-20T01:26:05Z</dcterms:created>
  <dcterms:modified xsi:type="dcterms:W3CDTF">2019-12-20T01:26:05Z</dcterms:modified>
</cp:coreProperties>
</file>