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SD</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001-04298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95-1934119</w:t>
      </w:r>
    </w:p>
    <w:p>
      <w:pPr>
        <w:spacing w:after="0" w:line="31" w:lineRule="exact"/>
        <w:rPr>
          <w:sz w:val="24"/>
          <w:szCs w:val="24"/>
          <w:color w:val="auto"/>
        </w:rPr>
      </w:pPr>
    </w:p>
    <w:p>
      <w:pPr>
        <w:sectPr>
          <w:pgSz w:w="11900" w:h="16838" w:orient="portrait"/>
          <w:cols w:equalWidth="0" w:num="3">
            <w:col w:w="4740" w:space="720"/>
            <w:col w:w="2980" w:space="720"/>
            <w:col w:w="2040"/>
          </w:cols>
          <w:pgMar w:left="240" w:top="368" w:right="45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44"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12367 Crosthwaite Circle, Poway, California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92064-6817</w:t>
      </w:r>
    </w:p>
    <w:p>
      <w:pPr>
        <w:spacing w:after="0" w:line="50" w:lineRule="exact"/>
        <w:rPr>
          <w:sz w:val="24"/>
          <w:szCs w:val="24"/>
          <w:color w:val="auto"/>
        </w:rPr>
      </w:pPr>
    </w:p>
    <w:p>
      <w:pPr>
        <w:sectPr>
          <w:pgSz w:w="11900" w:h="16838" w:orient="portrait"/>
          <w:cols w:equalWidth="0" w:num="2">
            <w:col w:w="7500" w:space="720"/>
            <w:col w:w="2980"/>
          </w:cols>
          <w:pgMar w:left="240" w:top="368" w:right="45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600" w:space="720"/>
            <w:col w:w="2880"/>
          </w:cols>
          <w:pgMar w:left="240" w:top="368" w:right="459" w:bottom="1440" w:gutter="0" w:footer="0" w:header="0"/>
          <w:type w:val="continuous"/>
        </w:sectPr>
      </w:pPr>
    </w:p>
    <w:p>
      <w:pPr>
        <w:spacing w:after="0" w:line="24"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Jeffrey D. Jones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(858) 848-8100</w:t>
      </w:r>
    </w:p>
    <w:p>
      <w:pPr>
        <w:spacing w:after="0" w:line="50" w:lineRule="exact"/>
        <w:rPr>
          <w:sz w:val="24"/>
          <w:szCs w:val="24"/>
          <w:color w:val="auto"/>
        </w:rPr>
      </w:pPr>
    </w:p>
    <w:p>
      <w:pPr>
        <w:sectPr>
          <w:pgSz w:w="11900" w:h="16838" w:orient="portrait"/>
          <w:cols w:equalWidth="0" w:num="2">
            <w:col w:w="7360" w:space="720"/>
            <w:col w:w="3120"/>
          </w:cols>
          <w:pgMar w:left="240" w:top="368" w:right="459" w:bottom="1440" w:gutter="0" w:footer="0" w:header="0"/>
          <w:type w:val="continuous"/>
        </w:sectPr>
      </w:pPr>
    </w:p>
    <w:p>
      <w:pPr>
        <w:jc w:val="center"/>
        <w:ind w:right="-219"/>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189"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Rule 13p-1 under the Securities Exchange Act (17 CFR 240.13p-1) for the reporting period from January 1 to 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Cohu, Inc. (“Cohu”, “we”, “our” and “us”) is committed to sourcing components and materials from companies that share our values regarding respect for human rights, integrity and environmental responsibility. Cohu not only expects but now requires our suppliers to only obtain materials from environmentally and socially responsible sources. Cohu will not support any vendor or other entity in our supply chain that extracts or transports conflict minerals (tin, tantalum, tungsten, and gold) and uses the resulting financial or other resources to fund or support conflict in the Democratic Republic of the Congo (DRC), or any other country that could potentially contribute to human rights violations.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covered countries (Angola, Burundi, Central Africa Republic, Rwanda, South Sudan, Tanzania, Uganda, and Zambia), the company is then obligated to determine whether the minerals financed or benefitted armed groups in the covered countries.</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foregoing description is qualified in its entirety by our Conflict Minerals Report, which is attached hereto as Exhibit 1.01 and is incorporated by reference. A copy of Cohu’s Conflict Minerals Report is also publicly available at: www.cohu.com/about/responsibility.</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1.01 and Item 2.01.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Cohu, Inc.</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tcPr>
          <w:p>
            <w:pPr>
              <w:spacing w:after="0"/>
              <w:rPr>
                <w:sz w:val="20"/>
                <w:szCs w:val="20"/>
                <w:color w:val="auto"/>
              </w:rPr>
            </w:pPr>
          </w:p>
        </w:tc>
      </w:tr>
      <w:tr>
        <w:trPr>
          <w:trHeight w:val="224"/>
        </w:trPr>
        <w:tc>
          <w:tcPr>
            <w:tcW w:w="4580" w:type="dxa"/>
            <w:vAlign w:val="bottom"/>
          </w:tcPr>
          <w:p>
            <w:pPr>
              <w:jc w:val="center"/>
              <w:spacing w:after="0"/>
              <w:rPr>
                <w:sz w:val="20"/>
                <w:szCs w:val="20"/>
                <w:color w:val="auto"/>
              </w:rPr>
            </w:pPr>
            <w:r>
              <w:rPr>
                <w:rFonts w:ascii="Arial" w:cs="Arial" w:eastAsia="Arial" w:hAnsi="Arial"/>
                <w:sz w:val="18"/>
                <w:szCs w:val="18"/>
                <w:i w:val="1"/>
                <w:iCs w:val="1"/>
                <w:color w:val="auto"/>
                <w:w w:val="91"/>
              </w:rPr>
              <w:t>(Registrant)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58"/>
        </w:trPr>
        <w:tc>
          <w:tcPr>
            <w:tcW w:w="4580" w:type="dxa"/>
            <w:vAlign w:val="bottom"/>
          </w:tcPr>
          <w:p>
            <w:pPr>
              <w:spacing w:after="0"/>
              <w:rPr>
                <w:sz w:val="20"/>
                <w:szCs w:val="20"/>
                <w:color w:val="auto"/>
              </w:rPr>
            </w:pPr>
            <w:r>
              <w:rPr>
                <w:rFonts w:ascii="Arial" w:cs="Arial" w:eastAsia="Arial" w:hAnsi="Arial"/>
                <w:sz w:val="18"/>
                <w:szCs w:val="18"/>
                <w:color w:val="auto"/>
              </w:rPr>
              <w:t>/s/ Jeffrey D. Jones</w:t>
            </w:r>
          </w:p>
        </w:tc>
        <w:tc>
          <w:tcPr>
            <w:tcW w:w="6840" w:type="dxa"/>
            <w:vAlign w:val="bottom"/>
            <w:gridSpan w:val="3"/>
          </w:tcPr>
          <w:p>
            <w:pPr>
              <w:jc w:val="right"/>
              <w:ind w:right="2270"/>
              <w:spacing w:after="0"/>
              <w:rPr>
                <w:sz w:val="20"/>
                <w:szCs w:val="20"/>
                <w:color w:val="auto"/>
              </w:rPr>
            </w:pPr>
            <w:r>
              <w:rPr>
                <w:rFonts w:ascii="Arial" w:cs="Arial" w:eastAsia="Arial" w:hAnsi="Arial"/>
                <w:sz w:val="18"/>
                <w:szCs w:val="18"/>
                <w:color w:val="auto"/>
              </w:rPr>
              <w:t>5/28/2015</w:t>
            </w:r>
          </w:p>
        </w:tc>
      </w:tr>
      <w:tr>
        <w:trPr>
          <w:trHeight w:val="209"/>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D. Jones</w:t>
            </w:r>
          </w:p>
        </w:tc>
        <w:tc>
          <w:tcPr>
            <w:tcW w:w="9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(Date)</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tcPr>
          <w:p>
            <w:pPr>
              <w:spacing w:after="0"/>
              <w:rPr>
                <w:sz w:val="20"/>
                <w:szCs w:val="20"/>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report for the twelve months ended December 31, 2014 is presented to comply with Rule 13p-1 under the Securities Exchange Act of 1934.</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This Form SD contains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primarily whether industry organizations and initiatives such as the Electronic Industry Citizenship Coalition (“EICC”) and Conflict-Free Sourcing Initiative (“CSFI”) remain effective as a recognized source of external support in the conflict minerals compliance process. Such risks and uncertainties may be outside of management’s control and which could cause actual events to differ materially from those expressed or implied by the statements made herein and we undertake no obligation to publicly update any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2010, the United States Congress enacted Section 1502 of the Dodd Frank Financial Reform Act (the “Act”), which issued rules requiring certain companies to disclose their use of conflict minerals if those minerals are “necessary to the functionality or production of a product” manufactured by those companies. Under the Act, those minerals include tantalum, tin, gold and tungsten (3TG) and herein are referred to as “Conflict Minerals”.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Congress enacted this legislation because of concerns that the exploitation and trade of Conflict Minerals by armed groups is helping to finance conflict in the Democratic Republic of Congo (“DRC”) region and surrounding areas (Angola, Burundi, Central Africa Republic, Rwanda, South Sudan, Tanzania, Uganda, and Zambia) and is contributing to a humanitarian crisis.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Adherence to the Law</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and integrity. Environmental responsibility involves taking responsible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Cohu has adopted and published a policy on Conflict Minerals and a supplier code of conduct, which are publicly available on our website at </w:t>
      </w:r>
      <w:r>
        <w:rPr>
          <w:rFonts w:ascii="Arial" w:cs="Arial" w:eastAsia="Arial" w:hAnsi="Arial"/>
          <w:sz w:val="18"/>
          <w:szCs w:val="18"/>
          <w:u w:val="single" w:color="auto"/>
          <w:color w:val="auto"/>
        </w:rPr>
        <w:t>www.cohu.com/about/responsibility</w:t>
      </w:r>
      <w:r>
        <w:rPr>
          <w:rFonts w:ascii="Arial" w:cs="Arial" w:eastAsia="Arial" w:hAnsi="Arial"/>
          <w:sz w:val="18"/>
          <w:szCs w:val="18"/>
          <w:color w:val="auto"/>
        </w:rPr>
        <w:t>. Since the adoption of the Act, we have worked to strengthen our engagement with our suppliers through the adoption of the supplier code of conduct and by incorporating portions of the code of conduct into contracts with our suppliers. In summary, Cohu expects all vendors and suppliers to:</w:t>
      </w:r>
    </w:p>
    <w:p>
      <w:pPr>
        <w:spacing w:after="0" w:line="92"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was established to comply with the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and Products</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Cohu has two reportable segments, semiconductor equipment and mobile microwave communications systems. Cohu’s Semiconductor Equipment Group (“SEG”), encompasses Cohu’s wholly owned subsidiaries Delta Design, Inc. (“Delta”), Rasco GmbH (“Rasco”) and Ismeca Semiconductor Holding SA (“Ismeca”). Delta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1" w:right="259" w:bottom="1440" w:gutter="0" w:footer="0" w:header="0"/>
        </w:sectPr>
      </w:pPr>
    </w:p>
    <w:bookmarkStart w:id="4" w:name="page5"/>
    <w:bookmarkEnd w:id="4"/>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develops, manufactures and sells pick-and-place semiconductor test handling equipment and thermal sub-systems to semiconductor manufacturers and test subcontractors throughout the world. Rasco develops, manufactures and sells gravity-feed and test-in-strip semiconductor test handling equipment and micro-electro-mechanical systems (MEMS) test modules used in final test operations by semiconductor manufacturers and test subcontractors. Ismeca, designs, manufactures and sells turret-based test handling and “back-end” finishing equipment for integrated circuits, light emitting diodes (LED) and discrete components used by semiconductor manufacturers and test subcontractors throughout the world in assembly and packaging of devices.</w:t>
      </w:r>
    </w:p>
    <w:p>
      <w:pPr>
        <w:spacing w:after="0" w:line="15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microwave communications systems segment is comprised of our wholly owned subsidiary Broadcast Microwave Services, Inc. (“BMS”). BMS develops, manufactures and sells mobile microwave communications equipment to government agencies, law enforcement and public safety organizations, unmanned aerial vehicle program contractors, television broadcasters, entertainment companies, professional sports teams and other commercial entities.</w:t>
      </w:r>
    </w:p>
    <w:p>
      <w:pPr>
        <w:spacing w:after="0" w:line="14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Like other companies in the semiconductor and electronics industries, we have a complex globally dispersed supply chain with multiple tiers of suppliers between Cohu and the actual mining of the Conflict Minerals used in our products.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Section 1502 of the Dodd-Frank Wall Street Reform and Consumer Protection Act, the Company is required to make certain inquires and perform certain due diligence with respect to any conflict minerals (as defined in Item 1.01 of Form SD) that are necessary to the functionality or production of a product manufactured (or contracted to be manufactured) by the Company or any of its subsidiaries. Pursuant to SEC guidance issued April 29, 2014 and the SEC order issued May 2, 2014, Cohu is not required to describe any of its products as “DRC conflict free” (as defined in Section 1, Item 1.01(d)(4) of Form SD), “DRC conflict undeterminable” (as defined in Section 1, Item 1.01(d)(5) of Form SD) or “having not been found to be ‘DRC conflict free,’” and therefore makes no conclusion in this regard in the report presented herein. Furthermore, we did not obtain an independent private sector audit of this Conflict Minerals Report as required by Item 1.01(c)(1)(ii) of Form SD promulgated under the Rule since this report falls within the temporary period specified in Instruction 2 to Item 1.01 of Form SD, in accordance with Item 1.01(c)(1)(iv) of Form SD.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those materials and parts provided by our suppliers. Our products, like virtually all companies in the semiconductor and electronics industries, contain various metals, including tantalum, tin, tungsten and gold, which originate in mines around the world. The first step of our internal due diligence over our supply chain was to evaluate our products, as described above, to determine if they contain any Conflict Minerals that are necessary to the product’s functionality. After determining that certain of our products contained Conflict Minerals necessary to the product’s functionality we moved to step two of our internal due diligence process, which involved reviewing our list of suppliers that provide us with those items identified as containing Conflict Minerals and utilized a standardized supplier survey in an effort to understand and evaluate the source and chain of custody of the materials provided. Our survey is based on the standardized reporting template developed by the EICC and we have sent the survey for completion to all of our manufacturing partners and component suppliers. The primary purpose of the survey was to determine the source of the identified Conflict Minerals, including the country of origin, location of the mine or the smelter from which the materials were produced, or determine if the materials originated from scrap or recycled sources. In the future, our goal is to require that suppliers to Cohu provide completed EICC declarations evidencing such supplier’s commitment to becoming conflict-free and documenting countries of origin for the Conflict Minerals that it purchases.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2014, we established an internal conflict minerals compliance team to support our supply chain due diligence. This internal conflict minerals compliance team included appropriate employees within our quality, supply chain, finance and operations departments. Regular reports of our compliance progress generated by our internal conflict minerals compliance team and are provided to members of Cohu’s senior management team. Our internal conflict minerals compliance team categorized our suppliers into three types: manufacturing partners; component suppliers; and logistics and service providers. For purposes of our current year RCOI logistics and service providers were excluded as we concluded that they do not provide Cohu with any materials within the scope of the Act. Subsequently, as it relates to our manufacturing partners and components suppliers surveyed (collectively referred to as “in-scope suppliers”) our RCOI due diligence performed were conducted per guidelines fostered by the EICC and Global e-Sustainability Initiative (“GeSI”) as follows:</w:t>
      </w:r>
    </w:p>
    <w:p>
      <w:pPr>
        <w:spacing w:after="0" w:line="73" w:lineRule="exact"/>
        <w:rPr>
          <w:sz w:val="20"/>
          <w:szCs w:val="20"/>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existing component suppliers and outsourced manufacturing partners that provide products and components that contain one or more Conflict Minerals.</w:t>
      </w:r>
    </w:p>
    <w:p>
      <w:pPr>
        <w:spacing w:after="0" w:line="75" w:lineRule="exact"/>
        <w:rPr>
          <w:rFonts w:ascii="Arial" w:cs="Arial" w:eastAsia="Arial" w:hAnsi="Arial"/>
          <w:sz w:val="18"/>
          <w:szCs w:val="18"/>
          <w:color w:val="auto"/>
        </w:rPr>
      </w:pPr>
    </w:p>
    <w:p>
      <w:pPr>
        <w:ind w:left="900" w:right="280" w:hanging="325"/>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utilized the approved conflict minerals reporting template, standardized by the EICC to collect material sourcing information from our suppliers to identify whether (i) Conflict Minerals sourced by our suppliers originated in the DRC and (ii) whether or not smelters used by our suppliers (or our supplier’s suppliers) have been validated as compliant in accordance with the Conflict Free Smelter Program (“CFSP”).</w:t>
      </w:r>
    </w:p>
    <w:p>
      <w:pPr>
        <w:spacing w:after="0" w:line="52"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employed an application to collect, manage and aggregate the data reported in the templates received from our suppliers and reported the results to senior management.</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used the due diligence framework advocated by the Organization for Economic Co-operation and Development (“OECD”) and, among other actions, implemented the guidance of the OECD as it pertains to Conflict Minerals sourcing.</w:t>
      </w:r>
    </w:p>
    <w:p>
      <w:pPr>
        <w:spacing w:after="0" w:line="75"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supply chain against the Conflict Free Smelter List provided through the CFSI to validate our supplier conformance. This Conflict Free Smelter List was developed for verification of those smelters that are compliant with the CFSP in accordance with the OECD and have been subject to an independent third party audit to assess whether the smelter entity employed policies, practices, and procedures to source conflict free minerals.</w:t>
      </w:r>
    </w:p>
    <w:p>
      <w:pPr>
        <w:spacing w:after="0" w:line="92"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developed a date and version controlled document and conflict minerals audit checklist for use in auditing our major suppliers of Conflict Minerals and have incorporated this checklist into our ongoing supplier audit process.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There are inherent limitations of due diligence.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good faith efforts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 The adoption and utilization of the industry standard templates, tools and auditing program aids us in establishing consistency and transparency throughout our supply chain. Currently, we are working with CFSI’s member companies and our in-scope suppliers in an effort to collaboratively verify status of the identified facilities.</w:t>
      </w:r>
    </w:p>
    <w:p>
      <w:pPr>
        <w:spacing w:after="0" w:line="17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the date of this report, we have only received declarations from approximately 70% of our in-scope suppliers using the EICC conflict minerals reporting template. Through review of the declarations received to-date we have determined that the majority of the respondents have identified facilities included on the Conflict Free Smelter List. We will continue to work with our in-scope suppliers and analyze the information they provide as they respond, however, as of the date of this report we are currently unable to determine if the Conflict Minerals contained in our products did not originate in the DRC.</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Identified 3TG Sourcing Information</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Based on the results of our due diligence procedures described above, the table below sets forth a summary of Conflict Minerals and countries of origin information collected as a result of our RCOI efforts for the current reporting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Conflict Mineral</w:t>
            </w:r>
          </w:p>
        </w:tc>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Countries of origin and other sources may include:</w:t>
            </w:r>
          </w:p>
        </w:tc>
      </w:tr>
      <w:tr>
        <w:trPr>
          <w:trHeight w:val="195"/>
        </w:trPr>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Gold</w:t>
            </w:r>
          </w:p>
        </w:tc>
        <w:tc>
          <w:tcPr>
            <w:tcW w:w="2960" w:type="dxa"/>
            <w:vAlign w:val="bottom"/>
          </w:tcPr>
          <w:p>
            <w:pPr>
              <w:spacing w:after="0"/>
              <w:rPr>
                <w:sz w:val="16"/>
                <w:szCs w:val="16"/>
                <w:color w:val="auto"/>
              </w:rPr>
            </w:pPr>
          </w:p>
        </w:tc>
        <w:tc>
          <w:tcPr>
            <w:tcW w:w="3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Australia, Belgium, Bolivia, Brazil, Canada,</w:t>
            </w:r>
          </w:p>
        </w:tc>
        <w:tc>
          <w:tcPr>
            <w:tcW w:w="4020" w:type="dxa"/>
            <w:vAlign w:val="bottom"/>
          </w:tcPr>
          <w:p>
            <w:pPr>
              <w:ind w:left="120"/>
              <w:spacing w:after="0" w:line="195" w:lineRule="exact"/>
              <w:rPr>
                <w:sz w:val="20"/>
                <w:szCs w:val="20"/>
                <w:color w:val="auto"/>
              </w:rPr>
            </w:pPr>
            <w:r>
              <w:rPr>
                <w:rFonts w:ascii="Arial" w:cs="Arial" w:eastAsia="Arial" w:hAnsi="Arial"/>
                <w:sz w:val="18"/>
                <w:szCs w:val="18"/>
                <w:color w:val="auto"/>
                <w:w w:val="91"/>
              </w:rPr>
              <w:t>Chile, China, Germany, Hong Kong, India, Indonesia,</w:t>
            </w:r>
          </w:p>
        </w:tc>
      </w:tr>
      <w:tr>
        <w:trPr>
          <w:trHeight w:val="216"/>
        </w:trPr>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5"/>
              </w:rPr>
              <w:t>Italy, Japan, Kazakhstan, Korea, Kyrgyzstan, Mexico, Netherlands, Peru, Philippines, Russian</w:t>
            </w:r>
          </w:p>
        </w:tc>
      </w:tr>
      <w:tr>
        <w:trPr>
          <w:trHeight w:val="216"/>
        </w:trPr>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0"/>
              </w:rPr>
              <w:t>Federation, Saudi Arabia, Singapore, South Africa, Spain, Sweden, Switzerland, Taiwan, Thailand,</w:t>
            </w:r>
          </w:p>
        </w:tc>
      </w:tr>
      <w:tr>
        <w:trPr>
          <w:trHeight w:val="230"/>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Turkey, United States</w:t>
            </w:r>
          </w:p>
        </w:tc>
      </w:tr>
      <w:tr>
        <w:trPr>
          <w:trHeight w:val="31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Tin</w:t>
            </w: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Belgium, Bolivia, Brazil, China, Czech Republic, Germany, Hong Kong, Indonesia, Japan, Korea,</w:t>
            </w:r>
          </w:p>
        </w:tc>
      </w:tr>
      <w:tr>
        <w:trPr>
          <w:trHeight w:val="230"/>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9"/>
              </w:rPr>
              <w:t>Malaysia, Peru, Philippines, Poland, Russian Federation, Taiwan, Thailand, United States</w:t>
            </w:r>
          </w:p>
        </w:tc>
      </w:tr>
      <w:tr>
        <w:trPr>
          <w:trHeight w:val="31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Tantalum</w:t>
            </w:r>
          </w:p>
        </w:tc>
        <w:tc>
          <w:tcPr>
            <w:tcW w:w="7140" w:type="dxa"/>
            <w:vAlign w:val="bottom"/>
            <w:gridSpan w:val="2"/>
          </w:tcPr>
          <w:p>
            <w:pPr>
              <w:spacing w:after="0"/>
              <w:rPr>
                <w:sz w:val="20"/>
                <w:szCs w:val="20"/>
                <w:color w:val="auto"/>
              </w:rPr>
            </w:pPr>
            <w:r>
              <w:rPr>
                <w:rFonts w:ascii="Arial" w:cs="Arial" w:eastAsia="Arial" w:hAnsi="Arial"/>
                <w:sz w:val="18"/>
                <w:szCs w:val="18"/>
                <w:color w:val="auto"/>
                <w:w w:val="92"/>
              </w:rPr>
              <w:t>Australia, Brazil, Canada, Austria, China, Estonia, Ethiopia, Germany, India, Japan, Kazakhstan,</w:t>
            </w:r>
          </w:p>
        </w:tc>
      </w:tr>
      <w:tr>
        <w:trPr>
          <w:trHeight w:val="216"/>
        </w:trPr>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1"/>
              </w:rPr>
              <w:t>Korea, Mozambique, Russian Federation, Switzerland, Taiwan, Thailand, United Kingdom, United</w:t>
            </w:r>
          </w:p>
        </w:tc>
      </w:tr>
      <w:tr>
        <w:trPr>
          <w:trHeight w:val="230"/>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States, Vietnam</w:t>
            </w:r>
          </w:p>
        </w:tc>
      </w:tr>
      <w:tr>
        <w:trPr>
          <w:trHeight w:val="31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Tungsten</w:t>
            </w:r>
          </w:p>
        </w:tc>
        <w:tc>
          <w:tcPr>
            <w:tcW w:w="7140" w:type="dxa"/>
            <w:vAlign w:val="bottom"/>
            <w:gridSpan w:val="2"/>
          </w:tcPr>
          <w:p>
            <w:pPr>
              <w:spacing w:after="0"/>
              <w:rPr>
                <w:sz w:val="20"/>
                <w:szCs w:val="20"/>
                <w:color w:val="auto"/>
              </w:rPr>
            </w:pPr>
            <w:r>
              <w:rPr>
                <w:rFonts w:ascii="Arial" w:cs="Arial" w:eastAsia="Arial" w:hAnsi="Arial"/>
                <w:sz w:val="18"/>
                <w:szCs w:val="18"/>
                <w:color w:val="auto"/>
                <w:w w:val="90"/>
              </w:rPr>
              <w:t>Australia, Belgium, China, Canada, France, Germany, Hong Kong, India, Indonesia, Japan, Korea,</w:t>
            </w:r>
          </w:p>
        </w:tc>
      </w:tr>
      <w:tr>
        <w:trPr>
          <w:trHeight w:val="216"/>
        </w:trPr>
        <w:tc>
          <w:tcPr>
            <w:tcW w:w="10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w w:val="94"/>
              </w:rPr>
              <w:t>Peru, Russian Federation, Singapore, Spain, Sweden, Taiwan, United Kingdom, United States,</w:t>
            </w:r>
          </w:p>
        </w:tc>
      </w:tr>
      <w:tr>
        <w:trPr>
          <w:trHeight w:val="230"/>
        </w:trPr>
        <w:tc>
          <w:tcPr>
            <w:tcW w:w="10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Vietnam</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Cohu is committed to sourcing materials from conflict free sources and we will continue to improve our compliance processes and procedures to mitigate the risk of exposure to Conflict Minerals from the DRC and surrounding areas. In particular, we have taken the following steps to continually improve our due diligence processes:</w:t>
      </w:r>
    </w:p>
    <w:p>
      <w:pPr>
        <w:spacing w:after="0" w:line="87" w:lineRule="exact"/>
        <w:rPr>
          <w:sz w:val="20"/>
          <w:szCs w:val="20"/>
          <w:color w:val="auto"/>
        </w:rPr>
      </w:pPr>
    </w:p>
    <w:p>
      <w:pPr>
        <w:ind w:left="90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performance review and retention process and require that all new suppliers be able to provide us with their Conflict Minerals Compliance status during the supplier on-boarding qualification process.</w:t>
      </w:r>
    </w:p>
    <w:p>
      <w:pPr>
        <w:spacing w:after="0" w:line="86"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integrating specific requirements and checkpoints with regard to Conflict Minerals into our business processes for new product development, existing product enhancement and change management.</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establishing a compliance and escalation process, including a “red flag” identification and resolution process to provide management with additional risk monitoring and mitigation. The “red flag” process would be applied to a supplier who reports having obtained materials from the DRC and will involve placing the supplier on notice for corrective action and/or potentially re-sourcing the offending component from a non-DRC source.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we will continue to support, promote and will rely on industry initiatives, such as the EICC/GeSI CFSP, to validate that the minerals used in our products are not contributing to human rights violations.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2019-12-05T08:32:47Z</dcterms:created>
  <dcterms:modified xsi:type="dcterms:W3CDTF">2019-12-05T08:32:47Z</dcterms:modified>
</cp:coreProperties>
</file>