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300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09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Walsh James P</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11/30/2010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6"/>
        <w:spacing w:after="0"/>
        <w:rPr>
          <w:sz w:val="20"/>
          <w:szCs w:val="20"/>
          <w:color w:val="auto"/>
        </w:rPr>
      </w:pPr>
      <w:r>
        <w:rPr>
          <w:rFonts w:ascii="Arial" w:cs="Arial" w:eastAsia="Arial" w:hAnsi="Arial"/>
          <w:sz w:val="17"/>
          <w:szCs w:val="17"/>
          <w:color w:val="0000FF"/>
        </w:rPr>
        <w:t>VP Manufacturing</w:t>
      </w:r>
    </w:p>
    <w:p>
      <w:pPr>
        <w:spacing w:after="0" w:line="329"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60" w:type="dxa"/>
            <w:vAlign w:val="bottom"/>
          </w:tcPr>
          <w:p>
            <w:pPr>
              <w:ind w:left="3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20" w:type="dxa"/>
            <w:vAlign w:val="bottom"/>
            <w:gridSpan w:val="2"/>
          </w:tcPr>
          <w:p>
            <w:pPr>
              <w:ind w:left="860"/>
              <w:spacing w:after="0"/>
              <w:rPr>
                <w:sz w:val="20"/>
                <w:szCs w:val="20"/>
                <w:color w:val="auto"/>
              </w:rPr>
            </w:pPr>
            <w:r>
              <w:rPr>
                <w:rFonts w:ascii="Arial" w:cs="Arial" w:eastAsia="Arial" w:hAnsi="Arial"/>
                <w:sz w:val="17"/>
                <w:szCs w:val="17"/>
                <w:color w:val="0000FF"/>
              </w:rPr>
              <w:t>11/30/2010</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jc w:val="center"/>
              <w:ind w:right="317"/>
              <w:spacing w:after="0"/>
              <w:rPr>
                <w:sz w:val="20"/>
                <w:szCs w:val="20"/>
                <w:color w:val="auto"/>
              </w:rPr>
            </w:pPr>
            <w:r>
              <w:rPr>
                <w:rFonts w:ascii="Arial" w:cs="Arial" w:eastAsia="Arial" w:hAnsi="Arial"/>
                <w:sz w:val="13"/>
                <w:szCs w:val="13"/>
                <w:color w:val="0000FF"/>
              </w:rPr>
              <w:t>M</w:t>
            </w:r>
          </w:p>
        </w:tc>
        <w:tc>
          <w:tcPr>
            <w:tcW w:w="680" w:type="dxa"/>
            <w:vAlign w:val="bottom"/>
          </w:tcPr>
          <w:p>
            <w:pPr>
              <w:ind w:left="160"/>
              <w:spacing w:after="0"/>
              <w:rPr>
                <w:sz w:val="20"/>
                <w:szCs w:val="20"/>
                <w:color w:val="auto"/>
              </w:rPr>
            </w:pPr>
            <w:r>
              <w:rPr>
                <w:rFonts w:ascii="Arial" w:cs="Arial" w:eastAsia="Arial" w:hAnsi="Arial"/>
                <w:sz w:val="17"/>
                <w:szCs w:val="17"/>
                <w:color w:val="0000FF"/>
                <w:w w:val="96"/>
              </w:rPr>
              <w:t>11,250</w:t>
            </w:r>
          </w:p>
        </w:tc>
        <w:tc>
          <w:tcPr>
            <w:tcW w:w="700" w:type="dxa"/>
            <w:vAlign w:val="bottom"/>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7.32</w:t>
            </w:r>
          </w:p>
        </w:tc>
        <w:tc>
          <w:tcPr>
            <w:tcW w:w="140" w:type="dxa"/>
            <w:vAlign w:val="bottom"/>
          </w:tcPr>
          <w:p>
            <w:pPr>
              <w:spacing w:after="0"/>
              <w:rPr>
                <w:sz w:val="23"/>
                <w:szCs w:val="23"/>
                <w:color w:val="auto"/>
              </w:rPr>
            </w:pPr>
          </w:p>
        </w:tc>
        <w:tc>
          <w:tcPr>
            <w:tcW w:w="1240" w:type="dxa"/>
            <w:vAlign w:val="bottom"/>
            <w:gridSpan w:val="2"/>
          </w:tcPr>
          <w:p>
            <w:pPr>
              <w:jc w:val="right"/>
              <w:ind w:right="339"/>
              <w:spacing w:after="0"/>
              <w:rPr>
                <w:sz w:val="20"/>
                <w:szCs w:val="20"/>
                <w:color w:val="auto"/>
              </w:rPr>
            </w:pPr>
            <w:r>
              <w:rPr>
                <w:rFonts w:ascii="Arial" w:cs="Arial" w:eastAsia="Arial" w:hAnsi="Arial"/>
                <w:sz w:val="17"/>
                <w:szCs w:val="17"/>
                <w:color w:val="0000FF"/>
              </w:rPr>
              <w:t>17,207</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11/30/2010</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6"/>
              </w:rPr>
              <w:t>11,250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14.29</w:t>
            </w:r>
            <w:r>
              <w:rPr>
                <w:rFonts w:ascii="Arial" w:cs="Arial" w:eastAsia="Arial" w:hAnsi="Arial"/>
                <w:sz w:val="22"/>
                <w:szCs w:val="22"/>
                <w:color w:val="008000"/>
                <w:w w:val="94"/>
                <w:vertAlign w:val="superscript"/>
              </w:rPr>
              <w:t>(1)</w:t>
            </w:r>
          </w:p>
        </w:tc>
        <w:tc>
          <w:tcPr>
            <w:tcW w:w="1240" w:type="dxa"/>
            <w:vAlign w:val="bottom"/>
            <w:tcBorders>
              <w:bottom w:val="single" w:sz="8" w:color="2C2C2C"/>
            </w:tcBorders>
            <w:gridSpan w:val="2"/>
          </w:tcPr>
          <w:p>
            <w:pPr>
              <w:jc w:val="center"/>
              <w:ind w:right="299"/>
              <w:spacing w:after="0"/>
              <w:rPr>
                <w:sz w:val="20"/>
                <w:szCs w:val="20"/>
                <w:color w:val="auto"/>
              </w:rPr>
            </w:pPr>
            <w:r>
              <w:rPr>
                <w:rFonts w:ascii="Arial" w:cs="Arial" w:eastAsia="Arial" w:hAnsi="Arial"/>
                <w:sz w:val="17"/>
                <w:szCs w:val="17"/>
                <w:color w:val="0000FF"/>
              </w:rPr>
              <w:t>5,957</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jc w:val="center"/>
              <w:ind w:right="13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03/20/2010</w:t>
            </w:r>
            <w:r>
              <w:rPr>
                <w:rFonts w:ascii="Arial" w:cs="Arial" w:eastAsia="Arial" w:hAnsi="Arial"/>
                <w:sz w:val="22"/>
                <w:szCs w:val="22"/>
                <w:color w:val="008000"/>
                <w:vertAlign w:val="superscript"/>
              </w:rPr>
              <w:t>(3)</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11,250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7.32</w:t>
            </w:r>
          </w:p>
        </w:tc>
        <w:tc>
          <w:tcPr>
            <w:tcW w:w="1080" w:type="dxa"/>
            <w:vAlign w:val="bottom"/>
          </w:tcPr>
          <w:p>
            <w:pPr>
              <w:jc w:val="right"/>
              <w:ind w:right="158"/>
              <w:spacing w:after="0" w:line="144" w:lineRule="exact"/>
              <w:rPr>
                <w:sz w:val="20"/>
                <w:szCs w:val="20"/>
                <w:color w:val="auto"/>
              </w:rPr>
            </w:pPr>
            <w:r>
              <w:rPr>
                <w:rFonts w:ascii="Arial" w:cs="Arial" w:eastAsia="Arial" w:hAnsi="Arial"/>
                <w:sz w:val="13"/>
                <w:szCs w:val="13"/>
                <w:color w:val="0000FF"/>
              </w:rPr>
              <w:t>11/30/2010</w:t>
            </w:r>
          </w:p>
        </w:tc>
        <w:tc>
          <w:tcPr>
            <w:tcW w:w="1160" w:type="dxa"/>
            <w:vAlign w:val="bottom"/>
          </w:tcPr>
          <w:p>
            <w:pPr>
              <w:spacing w:after="0"/>
              <w:rPr>
                <w:sz w:val="12"/>
                <w:szCs w:val="12"/>
                <w:color w:val="auto"/>
              </w:rPr>
            </w:pPr>
          </w:p>
        </w:tc>
        <w:tc>
          <w:tcPr>
            <w:tcW w:w="66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900" w:type="dxa"/>
            <w:vAlign w:val="bottom"/>
          </w:tcPr>
          <w:p>
            <w:pPr>
              <w:ind w:left="400"/>
              <w:spacing w:after="0" w:line="144" w:lineRule="exact"/>
              <w:rPr>
                <w:sz w:val="20"/>
                <w:szCs w:val="20"/>
                <w:color w:val="auto"/>
              </w:rPr>
            </w:pPr>
            <w:r>
              <w:rPr>
                <w:rFonts w:ascii="Arial" w:cs="Arial" w:eastAsia="Arial" w:hAnsi="Arial"/>
                <w:sz w:val="13"/>
                <w:szCs w:val="13"/>
                <w:color w:val="0000FF"/>
              </w:rPr>
              <w:t>11,250</w:t>
            </w:r>
          </w:p>
        </w:tc>
        <w:tc>
          <w:tcPr>
            <w:tcW w:w="880" w:type="dxa"/>
            <w:vAlign w:val="bottom"/>
            <w:gridSpan w:val="2"/>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03/20/2019</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380"/>
              <w:spacing w:after="0" w:line="144"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0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with respect to this transaction were sold in multiple trades at prices ranging from $14.25 to $14.35; the price reported above reflects the weighted average price. The reporting person hereby undertakes to provide upon request by the Securities and Exchange Commission staff, the issuer, or a security holder of the issuer, full information regarding the number of shares sold at each separate price.</w:t>
      </w:r>
    </w:p>
    <w:p>
      <w:pPr>
        <w:ind w:left="40" w:right="3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2,333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four equal installments beginning on March 20, 2010 (assuming continued employment).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Jeffrey D. Jones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12/01/2010</w:t>
            </w:r>
          </w:p>
        </w:tc>
        <w:tc>
          <w:tcPr>
            <w:tcW w:w="0" w:type="dxa"/>
            <w:vAlign w:val="bottom"/>
          </w:tcPr>
          <w:p>
            <w:pPr>
              <w:spacing w:after="0"/>
              <w:rPr>
                <w:sz w:val="1"/>
                <w:szCs w:val="1"/>
                <w:color w:val="auto"/>
              </w:rPr>
            </w:pPr>
          </w:p>
        </w:tc>
      </w:tr>
      <w:tr>
        <w:trPr>
          <w:trHeight w:val="92"/>
        </w:trPr>
        <w:tc>
          <w:tcPr>
            <w:tcW w:w="3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0"/>
              </w:rPr>
              <w:t>fact)</w:t>
            </w:r>
          </w:p>
        </w:tc>
        <w:tc>
          <w:tcPr>
            <w:tcW w:w="176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2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9"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2019-12-18T01:44:02Z</dcterms:created>
  <dcterms:modified xsi:type="dcterms:W3CDTF">2019-12-18T01:44:02Z</dcterms:modified>
</cp:coreProperties>
</file>