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Muller Luis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03/26/2018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3,878</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374,194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03/26/2018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4,367</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rPr>
              <w:t>369,827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Decreased number of shares reflects 13,508 performance shares previously reported that have been forfeited as specified performance goals were not fully achieved. Number of shares includes 198,816 RSUs (excluding the impact of shares that will be withheld to cover tax obligations) previously reported that in the future will be converted on a one-for-one basis into shares of Cohu, Inc. Common Stock immediately upon the vesting dates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03/27/2018</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1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2019-12-24T03:47:44Z</dcterms:created>
  <dcterms:modified xsi:type="dcterms:W3CDTF">2019-12-24T03:47:44Z</dcterms:modified>
</cp:coreProperties>
</file>