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(Amendment)</w:t>
      </w:r>
    </w:p>
    <w:p>
      <w:pPr>
        <w:sectPr>
          <w:pgSz w:w="11900" w:h="16910" w:orient="portrait"/>
          <w:cols w:equalWidth="0" w:num="1">
            <w:col w:w="10239"/>
          </w:cols>
          <w:pgMar w:left="220" w:top="225"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COHU INC</w:t>
      </w:r>
    </w:p>
    <w:p>
      <w:pPr>
        <w:spacing w:after="0" w:line="171"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192576106</w:t>
      </w:r>
    </w:p>
    <w:p>
      <w:pPr>
        <w:spacing w:after="0" w:line="200"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146"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10 Pages</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13G</w:t>
      </w:r>
    </w:p>
    <w:p>
      <w:pPr>
        <w:sectPr>
          <w:pgSz w:w="11900" w:h="16910" w:orient="portrait"/>
          <w:cols w:equalWidth="0" w:num="1">
            <w:col w:w="10239"/>
          </w:cols>
          <w:pgMar w:left="220" w:top="225" w:right="1440" w:bottom="0" w:gutter="0" w:footer="0" w:header="0"/>
          <w:type w:val="continuous"/>
        </w:sectPr>
      </w:pPr>
    </w:p>
    <w:p>
      <w:pPr>
        <w:spacing w:after="0" w:line="166"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192576106</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Page 2 of 10 Pages</w:t>
      </w:r>
    </w:p>
    <w:p>
      <w:pPr>
        <w:spacing w:after="0" w:line="9" w:lineRule="exact"/>
        <w:rPr>
          <w:sz w:val="24"/>
          <w:szCs w:val="24"/>
          <w:color w:val="auto"/>
        </w:rPr>
      </w:pPr>
    </w:p>
    <w:p>
      <w:pPr>
        <w:sectPr>
          <w:pgSz w:w="11900" w:h="16910" w:orient="portrait"/>
          <w:cols w:equalWidth="0" w:num="2">
            <w:col w:w="6280" w:space="720"/>
            <w:col w:w="32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spacing w:after="0" w:line="237" w:lineRule="auto"/>
        <w:rPr>
          <w:sz w:val="20"/>
          <w:szCs w:val="20"/>
          <w:color w:val="auto"/>
        </w:rPr>
      </w:pPr>
      <w:r>
        <w:rPr>
          <w:rFonts w:ascii="Courier New" w:cs="Courier New" w:eastAsia="Courier New" w:hAnsi="Courier New"/>
          <w:sz w:val="15"/>
          <w:szCs w:val="15"/>
          <w:color w:val="auto"/>
        </w:rPr>
        <w:t>S.S. or I.R.S. identification no. of above person</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Marsh &amp; McLennan Companies, Inc.</w:t>
      </w:r>
    </w:p>
    <w:p>
      <w:pPr>
        <w:ind w:left="700"/>
        <w:spacing w:after="0" w:line="237" w:lineRule="auto"/>
        <w:rPr>
          <w:sz w:val="20"/>
          <w:szCs w:val="20"/>
          <w:color w:val="auto"/>
        </w:rPr>
      </w:pPr>
      <w:r>
        <w:rPr>
          <w:rFonts w:ascii="Courier New" w:cs="Courier New" w:eastAsia="Courier New" w:hAnsi="Courier New"/>
          <w:sz w:val="15"/>
          <w:szCs w:val="15"/>
          <w:color w:val="auto"/>
        </w:rPr>
        <w:t>36-2668272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700"/>
        <w:spacing w:after="0"/>
        <w:tabs>
          <w:tab w:leader="none" w:pos="1300" w:val="left"/>
          <w:tab w:leader="none" w:pos="2780" w:val="left"/>
          <w:tab w:leader="none" w:pos="34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hanging="691"/>
        <w:spacing w:after="0" w:line="237" w:lineRule="auto"/>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910"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 w:lineRule="exact"/>
        <w:rPr>
          <w:sz w:val="24"/>
          <w:szCs w:val="24"/>
          <w:color w:val="auto"/>
        </w:rPr>
      </w:pPr>
    </w:p>
    <w:p>
      <w:pPr>
        <w:sectPr>
          <w:pgSz w:w="11900" w:h="16910" w:orient="portrait"/>
          <w:cols w:equalWidth="0" w:num="4">
            <w:col w:w="1400" w:space="700"/>
            <w:col w:w="100" w:space="600"/>
            <w:col w:w="180" w:space="520"/>
            <w:col w:w="6739"/>
          </w:cols>
          <w:pgMar w:left="220" w:top="225" w:right="1440" w:bottom="0" w:gutter="0" w:footer="0" w:header="0"/>
          <w:type w:val="continuous"/>
        </w:sectPr>
      </w:pPr>
    </w:p>
    <w:p>
      <w:pPr>
        <w:spacing w:after="0" w:line="4"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Beneficially Owned by each</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ectPr>
          <w:pgSz w:w="11900" w:h="16910" w:orient="portrait"/>
          <w:cols w:equalWidth="0" w:num="3">
            <w:col w:w="1140" w:space="260"/>
            <w:col w:w="1380" w:space="720"/>
            <w:col w:w="6739"/>
          </w:cols>
          <w:pgMar w:left="220" w:top="22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7.</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4"/>
          <w:szCs w:val="24"/>
          <w:color w:val="auto"/>
        </w:rPr>
      </w:pPr>
    </w:p>
    <w:p>
      <w:pPr>
        <w:sectPr>
          <w:pgSz w:w="11900" w:h="16910" w:orient="portrait"/>
          <w:cols w:equalWidth="0" w:num="4">
            <w:col w:w="1060" w:space="340"/>
            <w:col w:w="100" w:space="600"/>
            <w:col w:w="180" w:space="520"/>
            <w:col w:w="7439"/>
          </w:cols>
          <w:pgMar w:left="220" w:top="22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ectPr>
          <w:pgSz w:w="11900" w:h="16910" w:orient="portrait"/>
          <w:cols w:equalWidth="0" w:num="1">
            <w:col w:w="10239"/>
          </w:cols>
          <w:pgMar w:left="220" w:top="225" w:right="1440" w:bottom="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3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LLC. d/b/a/ Putnam Investments</w:t>
      </w:r>
    </w:p>
    <w:p>
      <w:pPr>
        <w:ind w:left="700"/>
        <w:spacing w:after="0" w:line="237" w:lineRule="auto"/>
        <w:rPr>
          <w:sz w:val="20"/>
          <w:szCs w:val="20"/>
          <w:color w:val="auto"/>
        </w:rPr>
      </w:pPr>
      <w:r>
        <w:rPr>
          <w:rFonts w:ascii="Courier New" w:cs="Courier New" w:eastAsia="Courier New" w:hAnsi="Courier New"/>
          <w:sz w:val="15"/>
          <w:szCs w:val="15"/>
          <w:color w:val="auto"/>
        </w:rPr>
        <w:t>36-4488942</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ind w:left="4200"/>
        <w:spacing w:after="0" w:line="232" w:lineRule="auto"/>
        <w:rPr>
          <w:sz w:val="20"/>
          <w:szCs w:val="20"/>
          <w:color w:val="auto"/>
        </w:rPr>
      </w:pPr>
      <w:r>
        <w:rPr>
          <w:rFonts w:ascii="Courier New" w:cs="Courier New" w:eastAsia="Courier New" w:hAnsi="Courier New"/>
          <w:sz w:val="15"/>
          <w:szCs w:val="15"/>
          <w:color w:val="auto"/>
        </w:rPr>
        <w:t>331930</w:t>
      </w:r>
    </w:p>
    <w:p>
      <w:pPr>
        <w:sectPr>
          <w:pgSz w:w="11900" w:h="16838" w:orient="portrait"/>
          <w:cols w:equalWidth="0" w:num="1">
            <w:col w:w="10239"/>
          </w:cols>
          <w:pgMar w:left="220" w:top="303"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380" w:space="720"/>
            <w:col w:w="8139"/>
          </w:cols>
          <w:pgMar w:left="220" w:top="303"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4">
            <w:col w:w="1060" w:space="340"/>
            <w:col w:w="680" w:space="72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1042255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400" w:right="4279" w:hanging="1390"/>
        <w:spacing w:after="0" w:line="46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1042255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4.8%</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4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 Management, LLC.</w:t>
      </w:r>
    </w:p>
    <w:p>
      <w:pPr>
        <w:ind w:left="700"/>
        <w:spacing w:after="0" w:line="237" w:lineRule="auto"/>
        <w:rPr>
          <w:sz w:val="20"/>
          <w:szCs w:val="20"/>
          <w:color w:val="auto"/>
        </w:rPr>
      </w:pPr>
      <w:r>
        <w:rPr>
          <w:rFonts w:ascii="Courier New" w:cs="Courier New" w:eastAsia="Courier New" w:hAnsi="Courier New"/>
          <w:sz w:val="15"/>
          <w:szCs w:val="15"/>
          <w:color w:val="auto"/>
        </w:rPr>
        <w:t>04-2471937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type w:val="continuous"/>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3" w:right="1440" w:bottom="0" w:gutter="0" w:footer="0" w:header="0"/>
          <w:type w:val="continuous"/>
        </w:sectPr>
      </w:pPr>
    </w:p>
    <w:bookmarkStart w:id="2" w:name="page3"/>
    <w:bookmarkEnd w:id="2"/>
    <w:p>
      <w:pPr>
        <w:ind w:left="2800" w:hanging="691"/>
        <w:spacing w:after="0"/>
        <w:tabs>
          <w:tab w:leader="none" w:pos="2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599800</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599800</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5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Putnam Advisory Company, LLC.</w:t>
      </w:r>
    </w:p>
    <w:p>
      <w:pPr>
        <w:ind w:left="700"/>
        <w:spacing w:after="0" w:line="237" w:lineRule="auto"/>
        <w:rPr>
          <w:sz w:val="20"/>
          <w:szCs w:val="20"/>
          <w:color w:val="auto"/>
        </w:rPr>
      </w:pPr>
      <w:r>
        <w:rPr>
          <w:rFonts w:ascii="Courier New" w:cs="Courier New" w:eastAsia="Courier New" w:hAnsi="Courier New"/>
          <w:sz w:val="15"/>
          <w:szCs w:val="15"/>
          <w:color w:val="auto"/>
        </w:rPr>
        <w:t>04-6187127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331930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442455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442455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6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Securities Exchange Act of 1934</w:t>
      </w:r>
    </w:p>
    <w:p>
      <w:pPr>
        <w:sectPr>
          <w:pgSz w:w="11900" w:h="16838" w:orient="portrait"/>
          <w:cols w:equalWidth="0" w:num="1">
            <w:col w:w="10239"/>
          </w:cols>
          <w:pgMar w:left="220" w:top="135" w:right="14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 INC</w:t>
      </w:r>
    </w:p>
    <w:p>
      <w:pPr>
        <w:spacing w:after="0" w:line="178" w:lineRule="exact"/>
        <w:rPr>
          <w:sz w:val="20"/>
          <w:szCs w:val="20"/>
          <w:color w:val="auto"/>
        </w:rPr>
      </w:pPr>
    </w:p>
    <w:p>
      <w:pPr>
        <w:sectPr>
          <w:pgSz w:w="11900" w:h="16838" w:orient="portrait"/>
          <w:cols w:equalWidth="0" w:num="3">
            <w:col w:w="800" w:space="600"/>
            <w:col w:w="1380" w:space="720"/>
            <w:col w:w="67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Issuer's Principal Executive Offices:</w:t>
      </w:r>
    </w:p>
    <w:p>
      <w:pPr>
        <w:spacing w:after="0" w:line="178" w:lineRule="exact"/>
        <w:rPr>
          <w:sz w:val="20"/>
          <w:szCs w:val="20"/>
          <w:color w:val="auto"/>
        </w:rPr>
      </w:pPr>
    </w:p>
    <w:p>
      <w:pPr>
        <w:sectPr>
          <w:pgSz w:w="11900" w:h="16838" w:orient="portrait"/>
          <w:cols w:equalWidth="0" w:num="2">
            <w:col w:w="800" w:space="600"/>
            <w:col w:w="88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5755 Kearny Villa Road, San Diego, California 92123,</w:t>
      </w:r>
    </w:p>
    <w:p>
      <w:pPr>
        <w:sectPr>
          <w:pgSz w:w="11900" w:h="16838" w:orient="portrait"/>
          <w:cols w:equalWidth="0" w:num="1">
            <w:col w:w="10239"/>
          </w:cols>
          <w:pgMar w:left="220" w:top="135"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Item 2(b)</w:t>
      </w:r>
    </w:p>
    <w:p>
      <w:pPr>
        <w:spacing w:after="0" w:line="178" w:lineRule="exact"/>
        <w:rPr>
          <w:sz w:val="20"/>
          <w:szCs w:val="20"/>
          <w:color w:val="auto"/>
        </w:rPr>
      </w:pPr>
    </w:p>
    <w:p>
      <w:pPr>
        <w:sectPr>
          <w:pgSz w:w="11900" w:h="16838" w:orient="portrait"/>
          <w:cols w:equalWidth="0" w:num="2">
            <w:col w:w="4180" w:space="720"/>
            <w:col w:w="53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or Principal Office or, if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Residence:</w:t>
      </w:r>
    </w:p>
    <w:p>
      <w:pPr>
        <w:spacing w:after="0" w:line="166" w:lineRule="exact"/>
        <w:rPr>
          <w:sz w:val="20"/>
          <w:szCs w:val="20"/>
          <w:color w:val="auto"/>
        </w:rPr>
      </w:pPr>
    </w:p>
    <w:p>
      <w:pPr>
        <w:sectPr>
          <w:pgSz w:w="11900" w:h="16838" w:orient="portrait"/>
          <w:cols w:equalWidth="0" w:num="2">
            <w:col w:w="3480" w:space="720"/>
            <w:col w:w="6039"/>
          </w:cols>
          <w:pgMar w:left="220" w:top="13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LLC d/b/a Putnam Investments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Boston, Massachusetts 02109</w:t>
      </w:r>
    </w:p>
    <w:p>
      <w:pPr>
        <w:sectPr>
          <w:pgSz w:w="11900" w:h="16838" w:orient="portrait"/>
          <w:cols w:equalWidth="0" w:num="2">
            <w:col w:w="3160" w:space="340"/>
            <w:col w:w="6739"/>
          </w:cols>
          <w:pgMar w:left="220" w:top="135"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on behalf of itself and:</w:t>
      </w:r>
    </w:p>
    <w:p>
      <w:pPr>
        <w:sectPr>
          <w:pgSz w:w="11900" w:h="16838" w:orient="portrait"/>
          <w:cols w:equalWidth="0" w:num="1">
            <w:col w:w="11540"/>
          </w:cols>
          <w:pgMar w:left="220" w:top="141" w:right="139" w:bottom="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 &amp; McLennan Companies, Inc.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("MMC")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4960"/>
        <w:spacing w:after="0"/>
        <w:rPr>
          <w:sz w:val="20"/>
          <w:szCs w:val="20"/>
          <w:color w:val="auto"/>
        </w:rPr>
      </w:pPr>
      <w:r>
        <w:rPr>
          <w:rFonts w:ascii="Courier New" w:cs="Courier New" w:eastAsia="Courier New" w:hAnsi="Courier New"/>
          <w:sz w:val="14"/>
          <w:szCs w:val="14"/>
          <w:color w:val="auto"/>
        </w:rPr>
        <w:t>1166 Avenue of the Americas</w:t>
      </w:r>
    </w:p>
    <w:p>
      <w:pPr>
        <w:spacing w:after="0" w:line="3" w:lineRule="exact"/>
        <w:rPr>
          <w:sz w:val="20"/>
          <w:szCs w:val="20"/>
          <w:color w:val="auto"/>
        </w:rPr>
      </w:pPr>
    </w:p>
    <w:p>
      <w:pPr>
        <w:jc w:val="right"/>
        <w:ind w:right="4960"/>
        <w:spacing w:after="0"/>
        <w:tabs>
          <w:tab w:leader="none" w:pos="4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spacing w:after="0" w:line="166"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 Management,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170"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Putnam Advisory Company,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204"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Citizenship:</w:t>
        <w:tab/>
        <w:t>PI, PIM and PAC are limited liability companies</w:t>
      </w:r>
    </w:p>
    <w:p>
      <w:pPr>
        <w:spacing w:after="0" w:line="3"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organized under Delaware law.</w:t>
      </w:r>
      <w:r>
        <w:rPr>
          <w:sz w:val="20"/>
          <w:szCs w:val="20"/>
          <w:color w:val="auto"/>
        </w:rPr>
        <w:tab/>
      </w:r>
      <w:r>
        <w:rPr>
          <w:rFonts w:ascii="Courier New" w:cs="Courier New" w:eastAsia="Courier New" w:hAnsi="Courier New"/>
          <w:sz w:val="14"/>
          <w:szCs w:val="14"/>
          <w:color w:val="auto"/>
        </w:rPr>
        <w:t>The citizenship of other</w:t>
      </w:r>
    </w:p>
    <w:p>
      <w:pPr>
        <w:spacing w:after="0" w:line="237" w:lineRule="auto"/>
        <w:rPr>
          <w:sz w:val="20"/>
          <w:szCs w:val="20"/>
          <w:color w:val="auto"/>
        </w:rPr>
      </w:pPr>
      <w:r>
        <w:rPr>
          <w:rFonts w:ascii="Courier New" w:cs="Courier New" w:eastAsia="Courier New" w:hAnsi="Courier New"/>
          <w:sz w:val="15"/>
          <w:szCs w:val="15"/>
          <w:color w:val="auto"/>
        </w:rPr>
        <w:t>persons identified in Item 2(a) is designated as follows:</w:t>
      </w:r>
    </w:p>
    <w:p>
      <w:pPr>
        <w:spacing w:after="0" w:line="167" w:lineRule="exact"/>
        <w:rPr>
          <w:sz w:val="20"/>
          <w:szCs w:val="20"/>
          <w:color w:val="auto"/>
        </w:rPr>
      </w:pPr>
    </w:p>
    <w:p>
      <w:pPr>
        <w:sectPr>
          <w:pgSz w:w="11900" w:h="16838" w:orient="portrait"/>
          <w:cols w:equalWidth="0" w:num="2">
            <w:col w:w="1380" w:space="720"/>
            <w:col w:w="9440"/>
          </w:cols>
          <w:pgMar w:left="220" w:top="141" w:right="139" w:bottom="0" w:gutter="0" w:footer="0" w:header="0"/>
          <w:type w:val="continuous"/>
        </w:sectPr>
      </w:pPr>
    </w:p>
    <w:p>
      <w:pPr>
        <w:ind w:left="2800" w:hanging="691"/>
        <w:spacing w:after="0"/>
        <w:tabs>
          <w:tab w:leader="none" w:pos="2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 Delaware law</w:t>
      </w:r>
    </w:p>
    <w:p>
      <w:pPr>
        <w:spacing w:after="0" w:line="5" w:lineRule="exact"/>
        <w:rPr>
          <w:sz w:val="20"/>
          <w:szCs w:val="20"/>
          <w:color w:val="auto"/>
        </w:rPr>
      </w:pPr>
    </w:p>
    <w:p>
      <w:pPr>
        <w:ind w:left="2800" w:right="3400" w:hanging="691"/>
        <w:spacing w:after="0" w:line="234" w:lineRule="auto"/>
        <w:tabs>
          <w:tab w:leader="none" w:pos="2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association known as Massachusetts business trust - Massachusetts law</w:t>
      </w:r>
    </w:p>
    <w:p>
      <w:pPr>
        <w:sectPr>
          <w:pgSz w:w="11900" w:h="16838" w:orient="portrait"/>
          <w:cols w:equalWidth="0" w:num="1">
            <w:col w:w="11540"/>
          </w:cols>
          <w:pgMar w:left="220" w:top="141" w:right="139"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0"/>
          <w:szCs w:val="20"/>
          <w:color w:val="auto"/>
        </w:rPr>
      </w:pPr>
    </w:p>
    <w:p>
      <w:pPr>
        <w:sectPr>
          <w:pgSz w:w="11900" w:h="16838" w:orient="portrait"/>
          <w:cols w:equalWidth="0" w:num="3">
            <w:col w:w="1380" w:space="720"/>
            <w:col w:w="2540" w:space="260"/>
            <w:col w:w="664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192576106</w:t>
      </w:r>
    </w:p>
    <w:p>
      <w:pPr>
        <w:spacing w:after="0" w:line="178" w:lineRule="exact"/>
        <w:rPr>
          <w:sz w:val="20"/>
          <w:szCs w:val="20"/>
          <w:color w:val="auto"/>
        </w:rPr>
      </w:pPr>
    </w:p>
    <w:p>
      <w:pPr>
        <w:sectPr>
          <w:pgSz w:w="11900" w:h="16838" w:orient="portrait"/>
          <w:cols w:equalWidth="0" w:num="3">
            <w:col w:w="1380" w:space="720"/>
            <w:col w:w="1140" w:space="260"/>
            <w:col w:w="804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Page 6 of 10 Pages</w:t>
      </w:r>
    </w:p>
    <w:p>
      <w:pPr>
        <w:sectPr>
          <w:pgSz w:w="11900" w:h="16838" w:orient="portrait"/>
          <w:cols w:equalWidth="0" w:num="1">
            <w:col w:w="11540"/>
          </w:cols>
          <w:pgMar w:left="220" w:top="14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Item 3. If this</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 is filed pursuant to Rules 13d-1(b), or 13d-2(b),</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check whether the person filing is a:</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Broker or Dealer registered under Section 15 of the Act</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 as defined in Section 3(a)(6) of the Act</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Insurance Company as defined in Section 3(a)(19) of the Act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Company registered under Section 8 of the Investment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Act</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(e)( X )</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Adviser registered under Section 203 of the Investment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Advisers Act of 1940</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Employee Benefit Plan, Pension Fund which is subject to the</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provisions of the Employee Retirement Income Security Act of 1974 or</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Endowment Fund; see (Section 240.13d-1(b)(1)(ii)(F)</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(g)( X )</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Parent Holding Company, in accordance with Section</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240.13d-1(b)(ii)(G)</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Group, in accordance with Section 240.13d-1(b)(1)(ii)(H)</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09"/>
        </w:trPr>
        <w:tc>
          <w:tcPr>
            <w:tcW w:w="62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Page 7 of 10 Pages</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4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4.</w:t>
            </w: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Ownership.</w:t>
            </w:r>
          </w:p>
        </w:tc>
        <w:tc>
          <w:tcPr>
            <w:tcW w:w="1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M&amp;MC</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PIM*</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PAC</w:t>
            </w:r>
          </w:p>
        </w:tc>
        <w:tc>
          <w:tcPr>
            <w:tcW w:w="4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rPr>
              <w:t>PI</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(Parent holding</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advisers</w:t>
            </w: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(Parent company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company to PI)</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&amp; subsidiaries of PI)</w:t>
            </w: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to PIM and PAC)</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Amount Beneficially</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Owned:</w:t>
            </w: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NONE</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599800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442455</w:t>
            </w: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1042255</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of Class:</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NONE</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2.8%</w:t>
            </w:r>
          </w:p>
        </w:tc>
        <w:tc>
          <w:tcPr>
            <w:tcW w:w="740" w:type="dxa"/>
            <w:vAlign w:val="bottom"/>
          </w:tcPr>
          <w:p>
            <w:pPr>
              <w:spacing w:after="0"/>
              <w:rPr>
                <w:sz w:val="24"/>
                <w:szCs w:val="24"/>
                <w:color w:val="auto"/>
              </w:rPr>
            </w:pP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w w:val="88"/>
              </w:rPr>
              <w:t>4.8%</w:t>
            </w:r>
          </w:p>
        </w:tc>
      </w:tr>
    </w:tbl>
    <w:p>
      <w:pPr>
        <w:spacing w:after="0" w:line="166" w:lineRule="exact"/>
        <w:rPr>
          <w:sz w:val="20"/>
          <w:szCs w:val="20"/>
          <w:color w:val="auto"/>
        </w:rPr>
      </w:pPr>
    </w:p>
    <w:p>
      <w:pPr>
        <w:ind w:left="700" w:hanging="690"/>
        <w:spacing w:after="0"/>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such person has:</w:t>
      </w:r>
    </w:p>
    <w:p>
      <w:pPr>
        <w:spacing w:after="0" w:line="167" w:lineRule="exact"/>
        <w:rPr>
          <w:sz w:val="20"/>
          <w:szCs w:val="20"/>
          <w:color w:val="auto"/>
        </w:rPr>
      </w:pPr>
    </w:p>
    <w:p>
      <w:pPr>
        <w:ind w:left="700" w:hanging="690"/>
        <w:spacing w:after="0"/>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to direct the vote;</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w:t>
            </w:r>
          </w:p>
        </w:tc>
        <w:tc>
          <w:tcPr>
            <w:tcW w:w="1300" w:type="dxa"/>
            <w:vAlign w:val="bottom"/>
          </w:tcPr>
          <w:p>
            <w:pPr>
              <w:ind w:left="200"/>
              <w:spacing w:after="0"/>
              <w:rPr>
                <w:sz w:val="20"/>
                <w:szCs w:val="20"/>
                <w:color w:val="auto"/>
              </w:rPr>
            </w:pPr>
            <w:r>
              <w:rPr>
                <w:rFonts w:ascii="Courier New" w:cs="Courier New" w:eastAsia="Courier New" w:hAnsi="Courier New"/>
                <w:sz w:val="15"/>
                <w:szCs w:val="15"/>
                <w:color w:val="auto"/>
                <w:w w:val="99"/>
              </w:rPr>
              <w:t>shared power</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to vote</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or to direct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vote;</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9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3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NONE</w:t>
            </w:r>
          </w:p>
        </w:tc>
        <w:tc>
          <w:tcPr>
            <w:tcW w:w="2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NONE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331930</w:t>
            </w:r>
          </w:p>
        </w:tc>
      </w:tr>
      <w:tr>
        <w:trPr>
          <w:trHeight w:val="168"/>
        </w:trPr>
        <w:tc>
          <w:tcPr>
            <w:tcW w:w="500" w:type="dxa"/>
            <w:vAlign w:val="bottom"/>
          </w:tcPr>
          <w:p>
            <w:pPr>
              <w:spacing w:after="0"/>
              <w:rPr>
                <w:sz w:val="14"/>
                <w:szCs w:val="14"/>
                <w:color w:val="auto"/>
              </w:rPr>
            </w:pPr>
          </w:p>
        </w:tc>
        <w:tc>
          <w:tcPr>
            <w:tcW w:w="1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331930</w:t>
            </w:r>
          </w:p>
        </w:tc>
        <w:tc>
          <w:tcPr>
            <w:tcW w:w="1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8" w:orient="portrait"/>
          <w:cols w:equalWidth="0" w:num="1">
            <w:col w:w="11540"/>
          </w:cols>
          <w:pgMar w:left="220" w:top="141" w:right="139" w:bottom="0" w:gutter="0" w:footer="0" w:header="0"/>
          <w:type w:val="continuous"/>
        </w:sectPr>
      </w:pPr>
    </w:p>
    <w:bookmarkStart w:id="4" w:name="page5"/>
    <w:bookmarkEnd w:id="4"/>
    <w:p>
      <w:pPr>
        <w:ind w:left="700" w:right="9000" w:hanging="690"/>
        <w:spacing w:after="0" w:line="235"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dispose or to direct the disposition of;</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700" w:right="9080" w:hanging="690"/>
        <w:spacing w:after="0" w:line="254"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dispose or to direct</w:t>
      </w:r>
    </w:p>
    <w:p>
      <w:pPr>
        <w:ind w:left="700"/>
        <w:spacing w:after="0" w:line="231" w:lineRule="auto"/>
        <w:rPr>
          <w:sz w:val="20"/>
          <w:szCs w:val="20"/>
          <w:color w:val="auto"/>
        </w:rPr>
      </w:pPr>
      <w:r>
        <w:rPr>
          <w:rFonts w:ascii="Courier New" w:cs="Courier New" w:eastAsia="Courier New" w:hAnsi="Courier New"/>
          <w:sz w:val="15"/>
          <w:szCs w:val="15"/>
          <w:color w:val="auto"/>
        </w:rPr>
        <w:t>the disposition of;</w:t>
      </w:r>
    </w:p>
    <w:p>
      <w:pPr>
        <w:sectPr>
          <w:pgSz w:w="11900" w:h="16838" w:orient="portrait"/>
          <w:cols w:equalWidth="0" w:num="1">
            <w:col w:w="11540"/>
          </w:cols>
          <w:pgMar w:left="220" w:top="141" w:right="139" w:bottom="0"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(but see Item 7)</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ALL</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Courier New" w:cs="Courier New" w:eastAsia="Courier New" w:hAnsi="Courier New"/>
          <w:sz w:val="14"/>
          <w:szCs w:val="14"/>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w:t>
      </w:r>
    </w:p>
    <w:p>
      <w:pPr>
        <w:spacing w:after="0" w:line="204" w:lineRule="exact"/>
        <w:rPr>
          <w:sz w:val="20"/>
          <w:szCs w:val="20"/>
          <w:color w:val="auto"/>
        </w:rPr>
      </w:pPr>
    </w:p>
    <w:p>
      <w:pPr>
        <w:sectPr>
          <w:pgSz w:w="11900" w:h="16838" w:orient="portrait"/>
          <w:cols w:equalWidth="0" w:num="5">
            <w:col w:w="3480" w:space="720"/>
            <w:col w:w="2080" w:space="720"/>
            <w:col w:w="1380" w:space="720"/>
            <w:col w:w="1380" w:space="720"/>
            <w:col w:w="340"/>
          </w:cols>
          <w:pgMar w:left="220" w:top="141" w:right="139" w:bottom="0" w:gutter="0" w:footer="0" w:header="0"/>
          <w:type w:val="continuous"/>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 of 10 Pages</w:t>
      </w:r>
    </w:p>
    <w:p>
      <w:pPr>
        <w:sectPr>
          <w:pgSz w:w="11900" w:h="16838" w:orient="portrait"/>
          <w:cols w:equalWidth="0" w:num="1">
            <w:col w:w="11540"/>
          </w:cols>
          <w:pgMar w:left="220" w:top="14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Ownership of Five Percent or Less of a Class</w:t>
      </w:r>
    </w:p>
    <w:p>
      <w:pPr>
        <w:spacing w:after="0" w:line="173" w:lineRule="exact"/>
        <w:rPr>
          <w:sz w:val="20"/>
          <w:szCs w:val="20"/>
          <w:color w:val="auto"/>
        </w:rPr>
      </w:pPr>
    </w:p>
    <w:p>
      <w:pPr>
        <w:ind w:right="5060"/>
        <w:spacing w:after="0" w:line="258" w:lineRule="auto"/>
        <w:rPr>
          <w:sz w:val="20"/>
          <w:szCs w:val="20"/>
          <w:color w:val="auto"/>
        </w:rPr>
      </w:pPr>
      <w:r>
        <w:rPr>
          <w:rFonts w:ascii="Courier New" w:cs="Courier New" w:eastAsia="Courier New" w:hAnsi="Courier New"/>
          <w:sz w:val="14"/>
          <w:szCs w:val="14"/>
          <w:color w:val="auto"/>
        </w:rPr>
        <w:t>If this statement is being filed to report the fact that as of the date thereof the reporting person has ceased to be the beneficial owner of more than five percent of the class of securities, check the following ( X )</w:t>
      </w:r>
    </w:p>
    <w:p>
      <w:pPr>
        <w:spacing w:after="0" w:line="161" w:lineRule="exact"/>
        <w:rPr>
          <w:sz w:val="20"/>
          <w:szCs w:val="20"/>
          <w:color w:val="auto"/>
        </w:rPr>
      </w:pPr>
    </w:p>
    <w:p>
      <w:pPr>
        <w:ind w:right="5580"/>
        <w:spacing w:after="0" w:line="234" w:lineRule="auto"/>
        <w:rPr>
          <w:sz w:val="20"/>
          <w:szCs w:val="20"/>
          <w:color w:val="auto"/>
        </w:rPr>
      </w:pPr>
      <w:r>
        <w:rPr>
          <w:rFonts w:ascii="Courier New" w:cs="Courier New" w:eastAsia="Courier New" w:hAnsi="Courier New"/>
          <w:sz w:val="15"/>
          <w:szCs w:val="15"/>
          <w:color w:val="auto"/>
        </w:rPr>
        <w:t>Item 6. Ownership of More than Five/Ten Percent on Behalf of Another Person:</w:t>
      </w:r>
    </w:p>
    <w:p>
      <w:pPr>
        <w:spacing w:after="0" w:line="5" w:lineRule="exact"/>
        <w:rPr>
          <w:sz w:val="20"/>
          <w:szCs w:val="20"/>
          <w:color w:val="auto"/>
        </w:rPr>
      </w:pPr>
    </w:p>
    <w:p>
      <w:pPr>
        <w:ind w:right="4800"/>
        <w:spacing w:after="0" w:line="255" w:lineRule="auto"/>
        <w:rPr>
          <w:sz w:val="20"/>
          <w:szCs w:val="20"/>
          <w:color w:val="auto"/>
        </w:rPr>
      </w:pPr>
      <w:r>
        <w:rPr>
          <w:rFonts w:ascii="Courier New" w:cs="Courier New" w:eastAsia="Courier New" w:hAnsi="Courier New"/>
          <w:sz w:val="14"/>
          <w:szCs w:val="14"/>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65" w:lineRule="exact"/>
        <w:rPr>
          <w:sz w:val="20"/>
          <w:szCs w:val="20"/>
          <w:color w:val="auto"/>
        </w:rPr>
      </w:pPr>
    </w:p>
    <w:p>
      <w:pPr>
        <w:ind w:right="5500"/>
        <w:spacing w:after="0" w:line="261"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60" w:lineRule="exact"/>
        <w:rPr>
          <w:sz w:val="20"/>
          <w:szCs w:val="20"/>
          <w:color w:val="auto"/>
        </w:rPr>
      </w:pPr>
    </w:p>
    <w:p>
      <w:pPr>
        <w:ind w:right="4880"/>
        <w:spacing w:after="0" w:line="237" w:lineRule="auto"/>
        <w:rPr>
          <w:sz w:val="20"/>
          <w:szCs w:val="20"/>
          <w:color w:val="auto"/>
        </w:rPr>
      </w:pPr>
      <w:r>
        <w:rPr>
          <w:rFonts w:ascii="Courier New" w:cs="Courier New" w:eastAsia="Courier New" w:hAnsi="Courier New"/>
          <w:sz w:val="15"/>
          <w:szCs w:val="15"/>
          <w:color w:val="auto"/>
        </w:rPr>
        <w:t>PI, which is a wholly-owned subsidiary of M&amp;MC, wholly owns two registered investment advisers: Putnam Investment Management, LLC., which is the investment adviser to the Putnam family of mutual funds and The Putnam Advisory Company, LLC., which is the investment adviser to Putnam's institutional clients. Both subsidiaries have dispository power over the shares as investment managers, but each of the mutual fund's trustees have voting power over the shares held by each fund, and The Putnam Advisory Company, LLC.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Identification and Classification of Members of the Group:</w:t>
      </w:r>
    </w:p>
    <w:p>
      <w:pPr>
        <w:ind w:left="1400"/>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Notice of Dissolution of Group:</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10 Pages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800"/>
        <w:spacing w:after="0" w:line="236"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43" w:lineRule="exact"/>
        <w:rPr>
          <w:sz w:val="20"/>
          <w:szCs w:val="20"/>
          <w:color w:val="auto"/>
        </w:rPr>
      </w:pPr>
    </w:p>
    <w:p>
      <w:pPr>
        <w:ind w:right="5060"/>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LLC.</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/s/Andrew J. Hachey</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Name/Title:</w:t>
      </w:r>
      <w:r>
        <w:rPr>
          <w:sz w:val="20"/>
          <w:szCs w:val="20"/>
          <w:color w:val="auto"/>
        </w:rPr>
        <w:tab/>
      </w:r>
      <w:r>
        <w:rPr>
          <w:rFonts w:ascii="Courier New" w:cs="Courier New" w:eastAsia="Courier New" w:hAnsi="Courier New"/>
          <w:sz w:val="15"/>
          <w:szCs w:val="15"/>
          <w:color w:val="auto"/>
        </w:rPr>
        <w:t>Andrew J. Hachey</w:t>
      </w:r>
    </w:p>
    <w:p>
      <w:pPr>
        <w:ind w:left="700"/>
        <w:spacing w:after="0" w:line="237" w:lineRule="auto"/>
        <w:rPr>
          <w:sz w:val="20"/>
          <w:szCs w:val="20"/>
          <w:color w:val="auto"/>
        </w:rPr>
      </w:pPr>
      <w:r>
        <w:rPr>
          <w:rFonts w:ascii="Courier New" w:cs="Courier New" w:eastAsia="Courier New" w:hAnsi="Courier New"/>
          <w:sz w:val="15"/>
          <w:szCs w:val="15"/>
          <w:color w:val="auto"/>
        </w:rPr>
        <w:t>Senior Vice President and Counsel</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Date:</w:t>
        <w:tab/>
        <w:t>February 9, 2004</w:t>
      </w:r>
    </w:p>
    <w:p>
      <w:pPr>
        <w:spacing w:after="0" w:line="341" w:lineRule="exact"/>
        <w:rPr>
          <w:sz w:val="20"/>
          <w:szCs w:val="20"/>
          <w:color w:val="auto"/>
        </w:rPr>
      </w:pPr>
    </w:p>
    <w:p>
      <w:pPr>
        <w:jc w:val="both"/>
        <w:ind w:right="4800"/>
        <w:spacing w:after="0" w:line="258" w:lineRule="auto"/>
        <w:rPr>
          <w:sz w:val="20"/>
          <w:szCs w:val="20"/>
          <w:color w:val="auto"/>
        </w:rPr>
      </w:pPr>
      <w:r>
        <w:rPr>
          <w:rFonts w:ascii="Courier New" w:cs="Courier New" w:eastAsia="Courier New" w:hAnsi="Courier New"/>
          <w:sz w:val="14"/>
          <w:szCs w:val="14"/>
          <w:color w:val="auto"/>
        </w:rPr>
        <w:t>For this and all future filings, reference is made to Power of Attorney dated April 29, 1999, with respect to duly authorized signatures on behalf of Marsh &amp; McLennan Companies, Inc., Putnam Investments, LLC., Putnam Investment</w:t>
      </w:r>
    </w:p>
    <w:p>
      <w:pPr>
        <w:sectPr>
          <w:pgSz w:w="11900" w:h="16838" w:orient="portrait"/>
          <w:cols w:equalWidth="0" w:num="1">
            <w:col w:w="11540"/>
          </w:cols>
          <w:pgMar w:left="220" w:top="141" w:right="139" w:bottom="0" w:gutter="0" w:footer="0" w:header="0"/>
          <w:type w:val="continuous"/>
        </w:sectPr>
      </w:pPr>
    </w:p>
    <w:bookmarkStart w:id="5" w:name="page6"/>
    <w:bookmarkEnd w:id="5"/>
    <w:p>
      <w:pPr>
        <w:ind w:right="4019"/>
        <w:spacing w:after="0" w:line="234" w:lineRule="auto"/>
        <w:rPr>
          <w:sz w:val="20"/>
          <w:szCs w:val="20"/>
          <w:color w:val="auto"/>
        </w:rPr>
      </w:pPr>
      <w:r>
        <w:rPr>
          <w:rFonts w:ascii="Courier New" w:cs="Courier New" w:eastAsia="Courier New" w:hAnsi="Courier New"/>
          <w:sz w:val="15"/>
          <w:szCs w:val="15"/>
          <w:color w:val="auto"/>
        </w:rPr>
        <w:t>Management, LLC., The Putnam Advisory Company, LLC. and any Putnam Fund wherever applicable.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of 10 Pages</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2"/>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1."/>
      <w:numFmt w:val="decimal"/>
      <w:start w:val="4"/>
    </w:lvl>
  </w:abstractNum>
  <w:abstractNum w:abstractNumId="4">
    <w:nsid w:val="79838CB2"/>
    <w:multiLevelType w:val="hybridMultilevel"/>
    <w:lvl w:ilvl="0">
      <w:lvlJc w:val="left"/>
      <w:lvlText w:val="-"/>
      <w:numFmt w:val="bullet"/>
      <w:start w:val="1"/>
    </w:lvl>
    <w:lvl w:ilvl="1">
      <w:lvlJc w:val="left"/>
      <w:lvlText w:val="%2."/>
      <w:numFmt w:val="decimal"/>
      <w:start w:val="5"/>
    </w:lvl>
  </w:abstractNum>
  <w:abstractNum w:abstractNumId="5">
    <w:nsid w:val="4353D0CD"/>
    <w:multiLevelType w:val="hybridMultilevel"/>
    <w:lvl w:ilvl="0">
      <w:lvlJc w:val="left"/>
      <w:lvlText w:val="%1."/>
      <w:numFmt w:val="decimal"/>
      <w:start w:val="8"/>
    </w:lvl>
  </w:abstractNum>
  <w:abstractNum w:abstractNumId="6">
    <w:nsid w:val="B03E0C6"/>
    <w:multiLevelType w:val="hybridMultilevel"/>
    <w:lvl w:ilvl="0">
      <w:lvlJc w:val="left"/>
      <w:lvlText w:val="%1."/>
      <w:numFmt w:val="decimal"/>
      <w:start w:val="9"/>
    </w:lvl>
  </w:abstractNum>
  <w:abstractNum w:abstractNumId="7">
    <w:nsid w:val="189A769B"/>
    <w:multiLevelType w:val="hybridMultilevel"/>
    <w:lvl w:ilvl="0">
      <w:lvlJc w:val="left"/>
      <w:lvlText w:val="%1."/>
      <w:numFmt w:val="decimal"/>
      <w:start w:val="10"/>
    </w:lvl>
  </w:abstractNum>
  <w:abstractNum w:abstractNumId="8">
    <w:nsid w:val="54E49EB4"/>
    <w:multiLevelType w:val="hybridMultilevel"/>
    <w:lvl w:ilvl="0">
      <w:lvlJc w:val="left"/>
      <w:lvlText w:val="%1."/>
      <w:numFmt w:val="decimal"/>
      <w:start w:val="12"/>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4"/>
    </w:lvl>
  </w:abstractNum>
  <w:abstractNum w:abstractNumId="13">
    <w:nsid w:val="3A95F874"/>
    <w:multiLevelType w:val="hybridMultilevel"/>
    <w:lvl w:ilvl="0">
      <w:lvlJc w:val="left"/>
      <w:lvlText w:val="-"/>
      <w:numFmt w:val="bullet"/>
      <w:start w:val="1"/>
    </w:lvl>
    <w:lvl w:ilvl="1">
      <w:lvlJc w:val="left"/>
      <w:lvlText w:val="%2."/>
      <w:numFmt w:val="decimal"/>
      <w:start w:val="5"/>
    </w:lvl>
  </w:abstractNum>
  <w:abstractNum w:abstractNumId="14">
    <w:nsid w:val="8138641"/>
    <w:multiLevelType w:val="hybridMultilevel"/>
    <w:lvl w:ilvl="0">
      <w:lvlJc w:val="left"/>
      <w:lvlText w:val="%1."/>
      <w:numFmt w:val="decimal"/>
      <w:start w:val="8"/>
    </w:lvl>
  </w:abstractNum>
  <w:abstractNum w:abstractNumId="15">
    <w:nsid w:val="1E7FF521"/>
    <w:multiLevelType w:val="hybridMultilevel"/>
    <w:lvl w:ilvl="0">
      <w:lvlJc w:val="left"/>
      <w:lvlText w:val="%1."/>
      <w:numFmt w:val="decimal"/>
      <w:start w:val="9"/>
    </w:lvl>
  </w:abstractNum>
  <w:abstractNum w:abstractNumId="16">
    <w:nsid w:val="7C3DBD3D"/>
    <w:multiLevelType w:val="hybridMultilevel"/>
    <w:lvl w:ilvl="0">
      <w:lvlJc w:val="left"/>
      <w:lvlText w:val="%1."/>
      <w:numFmt w:val="decimal"/>
      <w:start w:val="10"/>
    </w:lvl>
  </w:abstractNum>
  <w:abstractNum w:abstractNumId="17">
    <w:nsid w:val="737B8DDC"/>
    <w:multiLevelType w:val="hybridMultilevel"/>
    <w:lvl w:ilvl="0">
      <w:lvlJc w:val="left"/>
      <w:lvlText w:val="%1."/>
      <w:numFmt w:val="decimal"/>
      <w:start w:val="11"/>
    </w:lvl>
  </w:abstractNum>
  <w:abstractNum w:abstractNumId="18">
    <w:nsid w:val="6CEAF087"/>
    <w:multiLevelType w:val="hybridMultilevel"/>
    <w:lvl w:ilvl="0">
      <w:lvlJc w:val="left"/>
      <w:lvlText w:val="%1."/>
      <w:numFmt w:val="decimal"/>
      <w:start w:val="12"/>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2"/>
    </w:lvl>
  </w:abstractNum>
  <w:abstractNum w:abstractNumId="21">
    <w:nsid w:val="3006C83E"/>
    <w:multiLevelType w:val="hybridMultilevel"/>
    <w:lvl w:ilvl="0">
      <w:lvlJc w:val="left"/>
      <w:lvlText w:val="%1."/>
      <w:numFmt w:val="decimal"/>
      <w:start w:val="3"/>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
      <w:numFmt w:val="bullet"/>
      <w:start w:val="1"/>
    </w:lvl>
    <w:lvl w:ilvl="1">
      <w:lvlJc w:val="left"/>
      <w:lvlText w:val="%2."/>
      <w:numFmt w:val="decimal"/>
      <w:start w:val="5"/>
    </w:lvl>
  </w:abstractNum>
  <w:abstractNum w:abstractNumId="24">
    <w:nsid w:val="5577F8E1"/>
    <w:multiLevelType w:val="hybridMultilevel"/>
    <w:lvl w:ilvl="0">
      <w:lvlJc w:val="left"/>
      <w:lvlText w:val="%1."/>
      <w:numFmt w:val="decimal"/>
      <w:start w:val="8"/>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1."/>
      <w:numFmt w:val="decimal"/>
      <w:start w:val="10"/>
    </w:lvl>
  </w:abstractNum>
  <w:abstractNum w:abstractNumId="27">
    <w:nsid w:val="3804823E"/>
    <w:multiLevelType w:val="hybridMultilevel"/>
    <w:lvl w:ilvl="0">
      <w:lvlJc w:val="left"/>
      <w:lvlText w:val="%1."/>
      <w:numFmt w:val="decimal"/>
      <w:start w:val="11"/>
    </w:lvl>
  </w:abstractNum>
  <w:abstractNum w:abstractNumId="28">
    <w:nsid w:val="77465F01"/>
    <w:multiLevelType w:val="hybridMultilevel"/>
    <w:lvl w:ilvl="0">
      <w:lvlJc w:val="left"/>
      <w:lvlText w:val="%1."/>
      <w:numFmt w:val="decimal"/>
      <w:start w:val="12"/>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
      <w:numFmt w:val="bullet"/>
      <w:start w:val="1"/>
    </w:lvl>
    <w:lvl w:ilvl="1">
      <w:lvlJc w:val="left"/>
      <w:lvlText w:val="%2."/>
      <w:numFmt w:val="decimal"/>
      <w:start w:val="5"/>
    </w:lvl>
  </w:abstractNum>
  <w:abstractNum w:abstractNumId="34">
    <w:nsid w:val="2D517796"/>
    <w:multiLevelType w:val="hybridMultilevel"/>
    <w:lvl w:ilvl="0">
      <w:lvlJc w:val="left"/>
      <w:lvlText w:val="%1."/>
      <w:numFmt w:val="decimal"/>
      <w:start w:val="8"/>
    </w:lvl>
  </w:abstractNum>
  <w:abstractNum w:abstractNumId="35">
    <w:nsid w:val="580BD78F"/>
    <w:multiLevelType w:val="hybridMultilevel"/>
    <w:lvl w:ilvl="0">
      <w:lvlJc w:val="left"/>
      <w:lvlText w:val="%1."/>
      <w:numFmt w:val="decimal"/>
      <w:start w:val="9"/>
    </w:lvl>
  </w:abstractNum>
  <w:abstractNum w:abstractNumId="36">
    <w:nsid w:val="153EA438"/>
    <w:multiLevelType w:val="hybridMultilevel"/>
    <w:lvl w:ilvl="0">
      <w:lvlJc w:val="left"/>
      <w:lvlText w:val="%1."/>
      <w:numFmt w:val="decimal"/>
      <w:start w:val="10"/>
    </w:lvl>
  </w:abstractNum>
  <w:abstractNum w:abstractNumId="37">
    <w:nsid w:val="3855585C"/>
    <w:multiLevelType w:val="hybridMultilevel"/>
    <w:lvl w:ilvl="0">
      <w:lvlJc w:val="left"/>
      <w:lvlText w:val="%1."/>
      <w:numFmt w:val="decimal"/>
      <w:start w:val="11"/>
    </w:lvl>
  </w:abstractNum>
  <w:abstractNum w:abstractNumId="38">
    <w:nsid w:val="70A64E2A"/>
    <w:multiLevelType w:val="hybridMultilevel"/>
    <w:lvl w:ilvl="0">
      <w:lvlJc w:val="left"/>
      <w:lvlText w:val="%1."/>
      <w:numFmt w:val="decimal"/>
      <w:start w:val="12"/>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3"/>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3"/>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2019-12-12T22:54:42Z</dcterms:created>
  <dcterms:modified xsi:type="dcterms:W3CDTF">2019-12-12T22:54:42Z</dcterms:modified>
</cp:coreProperties>
</file>