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404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CURRENT REPORT</w:t>
            </w:r>
          </w:p>
        </w:tc>
        <w:tc>
          <w:tcPr>
            <w:tcW w:w="1400" w:type="dxa"/>
            <w:vAlign w:val="bottom"/>
          </w:tcPr>
          <w:p>
            <w:pPr>
              <w:spacing w:after="0"/>
              <w:rPr>
                <w:sz w:val="20"/>
                <w:szCs w:val="20"/>
                <w:color w:val="auto"/>
              </w:rPr>
            </w:pPr>
          </w:p>
        </w:tc>
      </w:tr>
      <w:tr>
        <w:trPr>
          <w:trHeight w:val="432"/>
        </w:trPr>
        <w:tc>
          <w:tcPr>
            <w:tcW w:w="826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1400" w:type="dxa"/>
            <w:vAlign w:val="bottom"/>
          </w:tcPr>
          <w:p>
            <w:pPr>
              <w:spacing w:after="0"/>
              <w:rPr>
                <w:sz w:val="24"/>
                <w:szCs w:val="24"/>
                <w:color w:val="auto"/>
              </w:rPr>
            </w:pPr>
          </w:p>
        </w:tc>
      </w:tr>
      <w:tr>
        <w:trPr>
          <w:trHeight w:val="43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739"/>
        </w:trPr>
        <w:tc>
          <w:tcPr>
            <w:tcW w:w="4220" w:type="dxa"/>
            <w:vAlign w:val="bottom"/>
          </w:tcPr>
          <w:p>
            <w:pPr>
              <w:spacing w:after="0"/>
              <w:rPr>
                <w:sz w:val="24"/>
                <w:szCs w:val="24"/>
                <w:color w:val="auto"/>
              </w:rPr>
            </w:pPr>
          </w:p>
        </w:tc>
        <w:tc>
          <w:tcPr>
            <w:tcW w:w="4040" w:type="dxa"/>
            <w:vAlign w:val="bottom"/>
            <w:gridSpan w:val="2"/>
          </w:tcPr>
          <w:p>
            <w:pPr>
              <w:jc w:val="center"/>
              <w:ind w:right="1240"/>
              <w:spacing w:after="0"/>
              <w:rPr>
                <w:sz w:val="20"/>
                <w:szCs w:val="20"/>
                <w:color w:val="auto"/>
              </w:rPr>
            </w:pPr>
            <w:r>
              <w:rPr>
                <w:rFonts w:ascii="Times New Roman" w:cs="Times New Roman" w:eastAsia="Times New Roman" w:hAnsi="Times New Roman"/>
                <w:sz w:val="43"/>
                <w:szCs w:val="43"/>
                <w:color w:val="auto"/>
                <w:w w:val="99"/>
              </w:rPr>
              <w:t>Cohu, Inc.</w:t>
            </w:r>
          </w:p>
        </w:tc>
        <w:tc>
          <w:tcPr>
            <w:tcW w:w="1400" w:type="dxa"/>
            <w:vAlign w:val="bottom"/>
          </w:tcPr>
          <w:p>
            <w:pPr>
              <w:spacing w:after="0"/>
              <w:rPr>
                <w:sz w:val="24"/>
                <w:szCs w:val="24"/>
                <w:color w:val="auto"/>
              </w:rPr>
            </w:pPr>
          </w:p>
        </w:tc>
      </w:tr>
      <w:tr>
        <w:trPr>
          <w:trHeight w:val="246"/>
        </w:trPr>
        <w:tc>
          <w:tcPr>
            <w:tcW w:w="422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8260" w:type="dxa"/>
            <w:vAlign w:val="bottom"/>
            <w:gridSpan w:val="3"/>
          </w:tcPr>
          <w:p>
            <w:pPr>
              <w:jc w:val="center"/>
              <w:ind w:left="28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00" w:type="dxa"/>
            <w:vAlign w:val="bottom"/>
          </w:tcPr>
          <w:p>
            <w:pPr>
              <w:spacing w:after="0"/>
              <w:rPr>
                <w:sz w:val="22"/>
                <w:szCs w:val="22"/>
                <w:color w:val="auto"/>
              </w:rPr>
            </w:pPr>
          </w:p>
        </w:tc>
      </w:tr>
      <w:tr>
        <w:trPr>
          <w:trHeight w:val="414"/>
        </w:trPr>
        <w:tc>
          <w:tcPr>
            <w:tcW w:w="42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Delaware</w:t>
            </w:r>
          </w:p>
        </w:tc>
        <w:tc>
          <w:tcPr>
            <w:tcW w:w="280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001-04298</w:t>
            </w:r>
          </w:p>
        </w:tc>
        <w:tc>
          <w:tcPr>
            <w:tcW w:w="12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95-1934119</w:t>
            </w:r>
          </w:p>
        </w:tc>
      </w:tr>
      <w:tr>
        <w:trPr>
          <w:trHeight w:val="216"/>
        </w:trPr>
        <w:tc>
          <w:tcPr>
            <w:tcW w:w="42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_____________________</w:t>
            </w:r>
          </w:p>
        </w:tc>
        <w:tc>
          <w:tcPr>
            <w:tcW w:w="28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_____________</w:t>
            </w:r>
          </w:p>
        </w:tc>
        <w:tc>
          <w:tcPr>
            <w:tcW w:w="1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4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(Commission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File Number)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2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17087 Via Del Campo, San Diego, California</w:t>
            </w:r>
          </w:p>
        </w:tc>
        <w:tc>
          <w:tcPr>
            <w:tcW w:w="2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92127-1711</w:t>
            </w:r>
          </w:p>
        </w:tc>
      </w:tr>
      <w:tr>
        <w:trPr>
          <w:trHeight w:val="216"/>
        </w:trPr>
        <w:tc>
          <w:tcPr>
            <w:tcW w:w="4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4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432"/>
        </w:trPr>
        <w:tc>
          <w:tcPr>
            <w:tcW w:w="4220" w:type="dxa"/>
            <w:vAlign w:val="bottom"/>
          </w:tcPr>
          <w:p>
            <w:pPr>
              <w:spacing w:after="0"/>
              <w:rPr>
                <w:sz w:val="24"/>
                <w:szCs w:val="24"/>
                <w:color w:val="auto"/>
              </w:rPr>
            </w:pPr>
          </w:p>
        </w:tc>
        <w:tc>
          <w:tcPr>
            <w:tcW w:w="4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300" w:type="dxa"/>
            <w:vAlign w:val="bottom"/>
          </w:tcPr>
          <w:p>
            <w:pPr>
              <w:spacing w:after="0"/>
              <w:rPr>
                <w:sz w:val="24"/>
                <w:szCs w:val="24"/>
                <w:color w:val="auto"/>
              </w:rPr>
            </w:pPr>
          </w:p>
        </w:tc>
        <w:tc>
          <w:tcPr>
            <w:tcW w:w="338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68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7"/>
              </w:rPr>
              <w:t>COHU</w:t>
            </w:r>
          </w:p>
        </w:tc>
        <w:tc>
          <w:tcPr>
            <w:tcW w:w="7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October 28, 2026, the Company issued a press release regarding its financial results for the third fiscal quarter ended September 26, 2026. The Company’s press release is attached as Exhibit 99.1 to this Current Report on Form 8-K and incorporated by reference herein.</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Included within this current report are non-GAAP financial measures, including non-GAAP gross margin/profit, net income (loss) and net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the effects and related income tax impacts of: share-based compensation, the amortization of purchased intangible assets, restructuring costs, manufacturing transition and severance costs, change in indemnification receivable, duplicate facility costs, acquisition and financing costs and associated professional fees, fair value adjustment to contingent consideration, pension curtailment adjustments, impairment charges, and amortization of cloud-based software implementation costs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current report and accompanying materials may be considered forward-looking statements within the meaning of the U.S. Private Securities Litigation Reform Act of 1995, including statements regarding our fourth quarter 2026 outlook; the size, maturation, timing, and conversion of our opportunity pipeline, including AI-driven and high-performance computing opportunities; anticipated customer qualifications, adoption, and production ramps of our Eclipse thermal solutions and other products, including forecasted 2027 system volumes; plans to expand manufacturing capacity and supply partner capabilities; expected demand for and performance of our recurring revenue business; growth in certain vertical markets; product market projected growth, market sizes, and related revenue opportunities; estimates regarding capital expenditures and other costs related to the ramp in the business; estimates related to tax expenses;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 rate exposure; high customer concentration and rapid innovation cycles; semiconductor industry consolidation; operational strain from rapid shifts in demands; failure to meet innovation demands of customers and industries; talent attraction and retention challenges; AI-related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 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Forward-looking statements speak only as of the date of this release. Except as required by applicable law, Cohu does not undertake any obligation to revise or update any forward-looking statement,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90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57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Third Quarter 2026 Earnings Release, dated October 28, 2026,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620" w:val="left"/>
          <w:tab w:leader="none" w:pos="622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-126365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Title: Senior VP Finance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64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8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340" w:type="dxa"/>
            <w:vAlign w:val="bottom"/>
            <w:vMerge w:val="restart"/>
          </w:tcPr>
          <w:p>
            <w:pPr>
              <w:spacing w:after="0"/>
              <w:rPr>
                <w:sz w:val="18"/>
                <w:szCs w:val="18"/>
                <w:color w:val="auto"/>
              </w:rPr>
            </w:pPr>
          </w:p>
        </w:tc>
        <w:tc>
          <w:tcPr>
            <w:tcW w:w="8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vMerge w:val="continue"/>
          </w:tcPr>
          <w:p>
            <w:pPr>
              <w:spacing w:after="0"/>
              <w:rPr>
                <w:sz w:val="19"/>
                <w:szCs w:val="19"/>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2026 Earnings Release, dated October 28, 2026, of Cohu, Inc.</w:t>
            </w:r>
          </w:p>
        </w:tc>
        <w:tc>
          <w:tcPr>
            <w:tcW w:w="0" w:type="dxa"/>
            <w:vAlign w:val="bottom"/>
          </w:tcPr>
          <w:p>
            <w:pPr>
              <w:spacing w:after="0"/>
              <w:rPr>
                <w:sz w:val="1"/>
                <w:szCs w:val="1"/>
                <w:color w:val="auto"/>
              </w:rPr>
            </w:pP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3831590" cy="1680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159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Third Quarter 2026 Results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net sales increased 37% year-over-year to $173.0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45.5%; non-GAAP gross margin of 45.7%</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Estimated test cell utilization increased 200 bps sequentially to 82%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Bookings increased 126% year-over-year with systems up 318% and recurring up 36%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AI-driven compute opportunity pipeline grew 18% sequentially to ~ $1.0 billion</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SAN DIEGO, Calif., October 28, 2026 – Cohu, Inc. (NASDAQ: COHU), a global supplier of equipment and services optimizing semiconductor manufacturing yield and productivity, today reported fiscal 2026 third quarter net sales of $173.0 million and GAAP income of $12.1 million or $0.22 per share. Net sales for the first nine months of 2026 were $447.1 million and GAAP loss was $0.1 million or $0.00 per share.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Cohu also reported non-GAAP results, with third quarter 2026 income of $23.3 million or $0.43 per share and income of $37.9 million or $0.73 per share for the first nine months of 2026.</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428"/>
        </w:trPr>
        <w:tc>
          <w:tcPr>
            <w:tcW w:w="30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right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60" w:type="dxa"/>
            <w:vAlign w:val="bottom"/>
            <w:tcBorders>
              <w:lef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06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3"/>
        </w:trPr>
        <w:tc>
          <w:tcPr>
            <w:tcW w:w="306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3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Non-GAAP Results</w:t>
            </w:r>
          </w:p>
        </w:tc>
        <w:tc>
          <w:tcPr>
            <w:tcW w:w="220" w:type="dxa"/>
            <w:vAlign w:val="bottom"/>
          </w:tcPr>
          <w:p>
            <w:pPr>
              <w:spacing w:after="0"/>
              <w:rPr>
                <w:sz w:val="24"/>
                <w:szCs w:val="2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20" w:type="dxa"/>
            <w:vAlign w:val="bottom"/>
          </w:tcPr>
          <w:p>
            <w:pPr>
              <w:spacing w:after="0"/>
              <w:rPr>
                <w:sz w:val="24"/>
                <w:szCs w:val="24"/>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160" w:type="dxa"/>
            <w:vAlign w:val="bottom"/>
          </w:tcPr>
          <w:p>
            <w:pPr>
              <w:spacing w:after="0"/>
              <w:rPr>
                <w:sz w:val="24"/>
                <w:szCs w:val="24"/>
                <w:color w:val="auto"/>
              </w:rPr>
            </w:pPr>
          </w:p>
        </w:tc>
        <w:tc>
          <w:tcPr>
            <w:tcW w:w="1240" w:type="dxa"/>
            <w:vAlign w:val="bottom"/>
            <w:tcBorders>
              <w:right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60" w:type="dxa"/>
            <w:vAlign w:val="bottom"/>
            <w:tcBorders>
              <w:lef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06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3"/>
        </w:trPr>
        <w:tc>
          <w:tcPr>
            <w:tcW w:w="3060" w:type="dxa"/>
            <w:vAlign w:val="bottom"/>
            <w:tcBorders>
              <w:left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cash and investments at the end of third quarter 2026 were $507.9 million. Cohu did not repurchase any shares of its common stock during third quarter 2026.</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“Third-quarter results reflected broad-based improvement, with revenue increasing 37% year-over-year to $173 million and bookings increasing 126%. Growing customer adoption of our Eclipse thermal solutions for high-performance computing was a key driver for systems demand as customers respond to increasing device complexity, higher power requirements, and greater test intensity. We also continue to benefit from the strength of our recurring revenue business, where customer demand for services, consumables, and software provide a stable foundation and support long-term value creation,” said Cohu President and CEO Luis Müller. “Our high-performance computing opportunity pipeline expanded to approximately $1 billion and continues to mature as more customer programs advance through qualification and into production. We are raising our fiscal year 2026 high-performance computing revenue outlook to approximately $120 million. With several hundred Eclipse systems currently forecasted for 2027, we are focused on expanding manufacturing capacity and working closely with supply partners to support potential customer production ramps.”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fourth quarter 2026 sales to be up 46% year-over-year and in the range of $178 million +/- $7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third quarter 2026 results at 1:30 p.m. Pacific Time/4:30 p.m. Eastern Time on October 28, 2026. Interested parties may listen live via webcast on Cohu’s investor relations website at </w:t>
      </w:r>
      <w:r>
        <w:rPr>
          <w:rFonts w:ascii="Times New Roman" w:cs="Times New Roman" w:eastAsia="Times New Roman" w:hAnsi="Times New Roman"/>
          <w:sz w:val="18"/>
          <w:szCs w:val="18"/>
          <w:u w:val="single" w:color="auto"/>
          <w:color w:val="auto"/>
        </w:rPr>
        <w:t>https://edge.media-server.com/mmc/p/ygnkqpb4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To participate via telephone and join the call live, please register in advance at </w:t>
      </w:r>
      <w:r>
        <w:rPr>
          <w:rFonts w:ascii="Times New Roman" w:cs="Times New Roman" w:eastAsia="Times New Roman" w:hAnsi="Times New Roman"/>
          <w:sz w:val="18"/>
          <w:szCs w:val="18"/>
          <w:u w:val="single" w:color="auto"/>
          <w:color w:val="auto"/>
        </w:rPr>
        <w:t>https://register-conf.media-server.com/register/BIad1b2ccbdfe544aaac705d3f90eab8f1</w:t>
      </w:r>
      <w:r>
        <w:rPr>
          <w:rFonts w:ascii="Times New Roman" w:cs="Times New Roman" w:eastAsia="Times New Roman" w:hAnsi="Times New Roman"/>
          <w:sz w:val="18"/>
          <w:szCs w:val="18"/>
          <w:color w:val="auto"/>
        </w:rPr>
        <w:t xml:space="preserve"> to receive the dial-in number along with a unique PIN number that can be used to access the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Cohu (NASDAQ: COHU) was founded in 1947 and is a global technology leader supplying test, automation, inspection &amp; metrology products, software analytics solutions and services to the semiconductor industry.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net income (loss) and net income (loss) adjusted earnings per share, operating income (loss),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the effects and related income tax impacts of: share-based compensation, the amortization of purchased intangible assets, restructuring costs, manufacturing transition and severance costs, change in indemnification receivable, duplicate facility costs, acquisition and financing costs and associated professional fees, fair value adjustment to contingent consideration, pension curtailment adjustments, impairment charges, and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our fourth quarter 2026 outlook; the size, maturation, timing, and conversion of our opportunity pipeline, including AI-driven and high-performance computing opportunities; anticipated customer qualifications, adoption, and production ramps of our Eclipse thermal solutions and other products, including forecasted 2027 system volumes; plans to expand manufacturing capacity and supply partner capabilities; expected demand for and performance of our recurring revenue business; growth in certain vertical markets; product market projected growth, market sizes, and related revenue opportunities; estimates regarding capital expenditures and other costs related to the ramp in the business; estimates related to tax expenses;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rapid technology changes and product transition and investment risks; industry cyclicality, seasonality and volatility; outsourced manufacturing and supply chain disruptions or dependencies; product defects and quality issues; supplier concentration and part shortages; inflation and interest rate exposure; high customer concentration and rapid innovation cycles; semiconductor industry consolidation; operational strain from rapid shifts in demands; failure to meet innovation demands of customers and industries; talent attraction and retention challenges; AI-related risks; international operations complexity; trade barriers and tariffs; geopolitical instability; natural disasters and health events; climate transition and physical risks; stakeholder ESG expectations; M&amp;A and strategic transaction risks; acquisition integration risks; risks related to gaining access to capital; foreign currency exposure; restructuring and impairment charges; financial institution instability; goodwill and intangible asset impairment charges; stock price volatility; underperformance against stock price or financial metric targets; indebtedness and covenant limits; dilution from equity issuances or note conversions; share repurchase uncertainties; anti-takeover provisions; export controls and trade regulation; tax law changes and audits; environmental regulatory compliance; changing U.S. and foreign policy landscape; cybersecurity breaches or threats; IP protection challenges; IP infringement claims; data privacy obligations; or litigation risk.</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Forward-looking statements speak only as of the date of this release. Except as required by applicable law, Cohu does not undertake any obligation to revise or update any forward-looking statement,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Hutton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 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Pr>
          <w:p>
            <w:pPr>
              <w:spacing w:after="0"/>
              <w:rPr>
                <w:sz w:val="20"/>
                <w:szCs w:val="20"/>
                <w:color w:val="auto"/>
              </w:rPr>
            </w:pPr>
          </w:p>
        </w:tc>
        <w:tc>
          <w:tcPr>
            <w:tcW w:w="24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0"/>
                <w:szCs w:val="20"/>
                <w:color w:val="auto"/>
              </w:rPr>
            </w:pPr>
          </w:p>
        </w:tc>
        <w:tc>
          <w:tcPr>
            <w:tcW w:w="236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 xml:space="preserve">Nine Months Ended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27,</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line="239" w:lineRule="exact"/>
              <w:rPr>
                <w:sz w:val="20"/>
                <w:szCs w:val="20"/>
                <w:color w:val="auto"/>
              </w:rPr>
            </w:pPr>
            <w:r>
              <w:rPr>
                <w:rFonts w:ascii="Times New Roman" w:cs="Times New Roman" w:eastAsia="Times New Roman" w:hAnsi="Times New Roman"/>
                <w:sz w:val="17"/>
                <w:szCs w:val="17"/>
                <w:color w:val="auto"/>
              </w:rPr>
              <w:t xml:space="preserve">2025 </w:t>
            </w:r>
            <w:r>
              <w:rPr>
                <w:rFonts w:ascii="Times New Roman" w:cs="Times New Roman" w:eastAsia="Times New Roman" w:hAnsi="Times New Roman"/>
                <w:sz w:val="27"/>
                <w:szCs w:val="27"/>
                <w:color w:val="auto"/>
                <w:vertAlign w:val="superscript"/>
              </w:rPr>
              <w:t>(2)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2026 </w:t>
            </w:r>
            <w:r>
              <w:rPr>
                <w:rFonts w:ascii="Times New Roman" w:cs="Times New Roman" w:eastAsia="Times New Roman" w:hAnsi="Times New Roman"/>
                <w:sz w:val="27"/>
                <w:szCs w:val="27"/>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line="239" w:lineRule="exact"/>
              <w:rPr>
                <w:sz w:val="20"/>
                <w:szCs w:val="20"/>
                <w:color w:val="auto"/>
              </w:rPr>
            </w:pPr>
            <w:r>
              <w:rPr>
                <w:rFonts w:ascii="Times New Roman" w:cs="Times New Roman" w:eastAsia="Times New Roman" w:hAnsi="Times New Roman"/>
                <w:sz w:val="17"/>
                <w:szCs w:val="17"/>
                <w:color w:val="auto"/>
              </w:rPr>
              <w:t xml:space="preserve">2025 </w:t>
            </w:r>
            <w:r>
              <w:rPr>
                <w:rFonts w:ascii="Times New Roman" w:cs="Times New Roman" w:eastAsia="Times New Roman" w:hAnsi="Times New Roman"/>
                <w:sz w:val="27"/>
                <w:szCs w:val="27"/>
                <w:color w:val="auto"/>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172,956</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126,249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447,077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330,726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94,237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242,863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186,036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25,558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76,888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68,794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32,748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101,794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91,645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7,177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21,754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160,155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135,965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445,138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385,004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3,854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11,564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curtailment gain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14,323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7,299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2,194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7,397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12,129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(51,785)</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0.26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0.22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used in computing income (loss) per share: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47,410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47,245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54,366</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46,748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47,245</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46,685</w:t>
            </w:r>
          </w:p>
        </w:tc>
        <w:tc>
          <w:tcPr>
            <w:tcW w:w="0" w:type="dxa"/>
            <w:vAlign w:val="bottom"/>
          </w:tcPr>
          <w:p>
            <w:pPr>
              <w:spacing w:after="0"/>
              <w:rPr>
                <w:sz w:val="1"/>
                <w:szCs w:val="1"/>
                <w:color w:val="auto"/>
              </w:rPr>
            </w:pPr>
          </w:p>
        </w:tc>
      </w:tr>
      <w:tr>
        <w:trPr>
          <w:trHeight w:val="34"/>
        </w:trPr>
        <w:tc>
          <w:tcPr>
            <w:tcW w:w="598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00" w:right="860" w:hanging="330"/>
        <w:spacing w:after="0" w:line="261"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nine-month periods ended September 26, 2026, and September 27, 2025, were both comprised of 13 weeks and 39 weeks, respectively.</w:t>
      </w:r>
    </w:p>
    <w:p>
      <w:pPr>
        <w:ind w:left="500" w:right="380" w:hanging="330"/>
        <w:spacing w:after="0" w:line="26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nine-month period ended September 26, 2026, and for the three- and nine-month periods ended September 27, 2025, potentially dilutive securities were excluded from the per share computations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December 27,</w:t>
            </w:r>
          </w:p>
        </w:tc>
        <w:tc>
          <w:tcPr>
            <w:tcW w:w="0" w:type="dxa"/>
            <w:vAlign w:val="bottom"/>
          </w:tcPr>
          <w:p>
            <w:pPr>
              <w:spacing w:after="0"/>
              <w:rPr>
                <w:sz w:val="1"/>
                <w:szCs w:val="1"/>
                <w:color w:val="auto"/>
              </w:rPr>
            </w:pPr>
          </w:p>
        </w:tc>
      </w:tr>
      <w:tr>
        <w:trPr>
          <w:trHeight w:val="207"/>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507,948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145,243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149,049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34,095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28,249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836,335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75,312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76,987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278,721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57,013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79,272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26,913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29,271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23,429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24,435</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1,297,723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15,636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135,837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89,401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162,232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285,212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29,266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31,646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790,980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785,539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1,297,723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June 27,</w:t>
            </w:r>
          </w:p>
        </w:tc>
        <w:tc>
          <w:tcPr>
            <w:tcW w:w="16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4"/>
        </w:trPr>
        <w:tc>
          <w:tcPr>
            <w:tcW w:w="6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5,301</w:t>
            </w:r>
          </w:p>
        </w:tc>
        <w:tc>
          <w:tcPr>
            <w:tcW w:w="16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7,277</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transition and severance costs included in (e):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indemnification receivable included in SG&amp;A (g)</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Duplicate facility costs included in SG&amp;A (h)</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financing costs included in SG&amp;A (i)</w:t>
            </w:r>
          </w:p>
        </w:tc>
        <w:tc>
          <w:tcPr>
            <w:tcW w:w="1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non-GAAP basis (j)</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12,129</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14,782</w:t>
            </w:r>
          </w:p>
        </w:tc>
        <w:tc>
          <w:tcPr>
            <w:tcW w:w="16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17,426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curtailment gain (l)</w:t>
            </w:r>
          </w:p>
        </w:tc>
        <w:tc>
          <w:tcPr>
            <w:tcW w:w="1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 - diluted (m)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54"/>
        </w:trPr>
        <w:tc>
          <w:tcPr>
            <w:tcW w:w="6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manufacturing transition and severance costs have been excluded because such expense is not used by management to assess the core profitability of the Company’s business operations. Impairment charges have been excluded as these amounts are infrequent and are unrelated to the operational performance of Cohu. Management believes the change in an uncertain tax position liability and related indemnification receivable is better reflected within income tax expense rather than SG&amp;A. Duplicate facility costs have been excluded to provide investors a clearer view of ongoing operational performance by removing temporary expenses that do not reflect the Company’s ongoing operations. Acquisition costs and certain professional service costs related to the issuance of convertible notes have been excluded by management, as they are not related to the core operating activities of the Company and can vary significantly from period to period. Excluding this data provides investors with a basis to compare the Company’s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3" w:lineRule="exact"/>
        <w:rPr>
          <w:sz w:val="20"/>
          <w:szCs w:val="20"/>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7.4%, 0.2% and (7.7)% of net sales, respectively.</w:t>
      </w:r>
    </w:p>
    <w:p>
      <w:pPr>
        <w:spacing w:after="0" w:line="66"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compensation expense for employee stock options, stock units and our employee stock purchase plan.</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amortization of acquired intangible assets.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restructuring costs incurred.</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manufacturing transition and severance costs.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impact of the impairment of the Company’s investment in Fraes-und Technologiezentrum GmbH Frasdorf.</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impact of the change in an uncertain tax position liability and related indemnification receivable.</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duplicative facility-related expenses incurred in connection with the build-out of new locations and other restructuring activities.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certain professional service fees and other direct incremental expenses incurred in connection with acquisitions and the issuance of convertible notes.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14.7%, 10.1% and 6.1% of net sales, respectively.</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adjust the provision for income taxes related to the adjustments described above based on applicable tax rates.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pension curtailment adjustment recognized associated with headcount reductions made as part of the 2025 Strategic Restructuring plan.</w:t>
      </w:r>
    </w:p>
    <w:p>
      <w:pPr>
        <w:spacing w:after="0" w:line="82" w:lineRule="exact"/>
        <w:rPr>
          <w:rFonts w:ascii="Times New Roman" w:cs="Times New Roman" w:eastAsia="Times New Roman" w:hAnsi="Times New Roman"/>
          <w:sz w:val="14"/>
          <w:szCs w:val="14"/>
          <w:color w:val="auto"/>
        </w:rPr>
      </w:pPr>
    </w:p>
    <w:p>
      <w:pPr>
        <w:ind w:left="500" w:right="80" w:hanging="330"/>
        <w:spacing w:after="0" w:line="241"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months ended June 27, 2026, were calculated using 53,435 diluted shares as the effect of dilutive securities was excluded from GAAP diluted weighted-average shares outstanding due to the GAAP net loss reported for that period but was included in the calculation of non-GAAP diluted earnings per share because the Company reported non-GAAP net income. For all other periods presented, non-GAAP diluted earnings per share were calculated using the same diluted weighted-average shares outstanding as reported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84"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60" w:type="dxa"/>
            <w:vAlign w:val="bottom"/>
          </w:tcPr>
          <w:p>
            <w:pPr>
              <w:spacing w:after="0"/>
              <w:rPr>
                <w:sz w:val="20"/>
                <w:szCs w:val="20"/>
                <w:color w:val="auto"/>
              </w:rPr>
            </w:pPr>
          </w:p>
        </w:tc>
        <w:tc>
          <w:tcPr>
            <w:tcW w:w="3080" w:type="dxa"/>
            <w:vAlign w:val="bottom"/>
            <w:gridSpan w:val="6"/>
            <w:vMerge w:val="restart"/>
          </w:tcPr>
          <w:p>
            <w:pPr>
              <w:jc w:val="right"/>
              <w:ind w:right="861"/>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September 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September 27,</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12,411</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transition and severance costs included in (e):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indemnification receivable included in SG&amp;A (g)</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Duplicate facility costs included in SG&amp;A (h)</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financing costs included in SG&amp;A (i)</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contingent consideration included in SG&amp;A (j)</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non-GAAP basis (k)</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56,351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curtailment gain (m)</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per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(loss) per share - diluted (n)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54"/>
        </w:trPr>
        <w:tc>
          <w:tcPr>
            <w:tcW w:w="8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and improve our cost structure. Restructuring, manufacturing transition and severance costs have been excluded because such expense is not used by Management to assess the core profitability of the Company’s business operations. Impairment charges have been excluded as these amounts are infrequent and are unrelated to the operational performance of Cohu. Management believes the change in an uncertain tax position liability and related indemnification receivable is better reflected within income tax expense rather than SG&amp;A. Duplicate facility costs have been excluded to provide investors a clearer view of ongoing operational performance by removing temporary expenses that do not reflect the Company’s ongoing operations. Acquisition costs, certain professional service costs related to convertible notes, and fair value adjustments to contingent consideration have been excluded by management as they are not indicative of core operating performance. Excluding this data provides investors with a basis to compare the Company’s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3"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 and (16.4)% of net sales, respectively.</w:t>
      </w:r>
    </w:p>
    <w:p>
      <w:pPr>
        <w:spacing w:after="0" w:line="66"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compensation expense for employee stock options, stock units and our employee stock purchase plan.</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amortization of acquired intangible assets.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restructuring costs incurred.</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manufacturing transition and severance costs.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impact of the impairment of the Company’s investment in Fraes-und Technologiezentrum GmbH Frasdorf.</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impact of the change in an uncertain tax position liability and related indemnification receivable.</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duplicative facility-related expenses incurred in connection with the build-out of new locations and other restructuring activities.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certain professional service fees and other direct incremental expenses incurred in connection with acquisitions and the issuance of convertible notes.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fair value adjustment to contingent consideration related to the acquisition of Tignis.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 and 0.6% of net sales, respectively.</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adjust the provision for income taxes related to the adjustments described above based on applicable tax rates.</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eliminate the pension curtailment adjustments recognized associated with headcount reductions made as part of the 2025 Strategic Restructuring plan.</w:t>
      </w:r>
    </w:p>
    <w:p>
      <w:pPr>
        <w:spacing w:after="0" w:line="82" w:lineRule="exact"/>
        <w:rPr>
          <w:rFonts w:ascii="Times New Roman" w:cs="Times New Roman" w:eastAsia="Times New Roman" w:hAnsi="Times New Roman"/>
          <w:sz w:val="14"/>
          <w:szCs w:val="14"/>
          <w:color w:val="auto"/>
        </w:rPr>
      </w:pPr>
    </w:p>
    <w:p>
      <w:pPr>
        <w:jc w:val="both"/>
        <w:ind w:left="500" w:right="60" w:hanging="330"/>
        <w:spacing w:after="0" w:line="261"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 Company reported a GAAP net loss but non-GAAP net income for the nine months ended September 26, 2026, non-GAAP diluted earnings per share was calculated using 52,144 diluted weighted-average shares outstanding, while potential common shares were excluded from the GAAP diluted weighted-average shares outstanding due to their anti-dilutive effect.</w:t>
      </w:r>
    </w:p>
    <w:p>
      <w:pPr>
        <w:sectPr>
          <w:pgSz w:w="11900" w:h="16838" w:orient="portrait"/>
          <w:cols w:equalWidth="0" w:num="1">
            <w:col w:w="11240"/>
          </w:cols>
          <w:pgMar w:left="320" w:top="576" w:right="339" w:bottom="0" w:gutter="0" w:footer="0" w:header="0"/>
        </w:sectPr>
      </w:pPr>
    </w:p>
    <w:bookmarkStart w:id="12" w:name="page13"/>
    <w:bookmarkEnd w:id="12"/>
    <w:p>
      <w:pPr>
        <w:jc w:val="both"/>
        <w:spacing w:after="0" w:line="261"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35"/>
        </w:trPr>
        <w:tc>
          <w:tcPr>
            <w:tcW w:w="5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September 26,</w:t>
            </w:r>
          </w:p>
        </w:tc>
        <w:tc>
          <w:tcPr>
            <w:tcW w:w="120" w:type="dxa"/>
            <w:vAlign w:val="bottom"/>
          </w:tcPr>
          <w:p>
            <w:pPr>
              <w:spacing w:after="0"/>
              <w:rPr>
                <w:sz w:val="11"/>
                <w:szCs w:val="11"/>
                <w:color w:val="auto"/>
              </w:rPr>
            </w:pPr>
          </w:p>
        </w:tc>
        <w:tc>
          <w:tcPr>
            <w:tcW w:w="16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1"/>
                <w:szCs w:val="11"/>
                <w:color w:val="auto"/>
              </w:rPr>
            </w:pP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September 27,</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color w:val="auto"/>
              </w:rPr>
              <w:t>June 27,</w:t>
            </w: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 Reconciliation</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 xml:space="preserve">Gross profit - GAAP basis (excluding amortization) </w:t>
            </w:r>
            <w:r>
              <w:rPr>
                <w:rFonts w:ascii="Times New Roman" w:cs="Times New Roman" w:eastAsia="Times New Roman" w:hAnsi="Times New Roman"/>
                <w:sz w:val="11"/>
                <w:szCs w:val="11"/>
                <w:color w:val="auto"/>
              </w:rPr>
              <w:t>(1)</w:t>
            </w:r>
          </w:p>
        </w:tc>
        <w:tc>
          <w:tcPr>
            <w:tcW w:w="114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78,719</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67,590</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55,264</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Non-GAAP adjustments to cost of sales (as scheduled above)</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42"/>
        </w:trPr>
        <w:tc>
          <w:tcPr>
            <w:tcW w:w="5200" w:type="dxa"/>
            <w:vAlign w:val="bottom"/>
            <w:tcBorders>
              <w:top w:val="single" w:sz="8" w:color="CCEEFF"/>
              <w:bottom w:val="single" w:sz="8" w:color="CCEEFF"/>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Gross profit - Non-GAAP basis</w:t>
            </w:r>
          </w:p>
        </w:tc>
        <w:tc>
          <w:tcPr>
            <w:tcW w:w="9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78,987</w:t>
            </w:r>
          </w:p>
        </w:tc>
        <w:tc>
          <w:tcPr>
            <w:tcW w:w="2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67,808</w:t>
            </w:r>
          </w:p>
        </w:tc>
        <w:tc>
          <w:tcPr>
            <w:tcW w:w="30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55,658</w:t>
            </w:r>
          </w:p>
        </w:tc>
        <w:tc>
          <w:tcPr>
            <w:tcW w:w="18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As a percentage of net sales: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GAAP gross profit</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Non-GAAP gross profit</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8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EBITDA Reconciliation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 (loss) - GAAP Basis</w:t>
            </w:r>
          </w:p>
        </w:tc>
        <w:tc>
          <w:tcPr>
            <w:tcW w:w="114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12,129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(4,101)</w:t>
            </w: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2,194</w:t>
            </w:r>
          </w:p>
        </w:tc>
        <w:tc>
          <w:tcPr>
            <w:tcW w:w="120" w:type="dxa"/>
            <w:vAlign w:val="bottom"/>
          </w:tcPr>
          <w:p>
            <w:pPr>
              <w:spacing w:after="0"/>
              <w:rPr>
                <w:sz w:val="12"/>
                <w:szCs w:val="12"/>
                <w:color w:val="auto"/>
              </w:rPr>
            </w:pPr>
          </w:p>
        </w:tc>
        <w:tc>
          <w:tcPr>
            <w:tcW w:w="1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18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(3,714)</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1,813</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9"/>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(3,854)</w:t>
            </w: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18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(1,335)</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Amortization of purchased intangible assets</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7,177</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7,277</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10,249</w:t>
            </w: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3,101</w:t>
            </w:r>
          </w:p>
        </w:tc>
        <w:tc>
          <w:tcPr>
            <w:tcW w:w="120" w:type="dxa"/>
            <w:vAlign w:val="bottom"/>
          </w:tcPr>
          <w:p>
            <w:pPr>
              <w:spacing w:after="0"/>
              <w:rPr>
                <w:sz w:val="12"/>
                <w:szCs w:val="12"/>
                <w:color w:val="auto"/>
              </w:rPr>
            </w:pPr>
          </w:p>
        </w:tc>
        <w:tc>
          <w:tcPr>
            <w:tcW w:w="1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3,139</w:t>
            </w:r>
          </w:p>
        </w:tc>
        <w:tc>
          <w:tcPr>
            <w:tcW w:w="1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xml:space="preserve">Amortization of cloud-based software implementation costs </w:t>
            </w:r>
            <w:r>
              <w:rPr>
                <w:rFonts w:ascii="Times New Roman" w:cs="Times New Roman" w:eastAsia="Times New Roman" w:hAnsi="Times New Roman"/>
                <w:sz w:val="11"/>
                <w:szCs w:val="11"/>
                <w:color w:val="auto"/>
              </w:rPr>
              <w:t>(2)</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Pension curtailment gain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non-GAAP adjustments (as scheduled above)</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5,481</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7,505</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7,177</w:t>
            </w:r>
          </w:p>
        </w:tc>
        <w:tc>
          <w:tcPr>
            <w:tcW w:w="0" w:type="dxa"/>
            <w:vAlign w:val="bottom"/>
          </w:tcPr>
          <w:p>
            <w:pPr>
              <w:spacing w:after="0"/>
              <w:rPr>
                <w:sz w:val="1"/>
                <w:szCs w:val="1"/>
                <w:color w:val="auto"/>
              </w:rPr>
            </w:pPr>
          </w:p>
        </w:tc>
      </w:tr>
      <w:tr>
        <w:trPr>
          <w:trHeight w:val="142"/>
        </w:trPr>
        <w:tc>
          <w:tcPr>
            <w:tcW w:w="5200" w:type="dxa"/>
            <w:vAlign w:val="bottom"/>
            <w:tcBorders>
              <w:top w:val="single" w:sz="8" w:color="CCEEFF"/>
              <w:bottom w:val="single" w:sz="8" w:color="CCEEFF"/>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9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28,771</w:t>
            </w:r>
          </w:p>
        </w:tc>
        <w:tc>
          <w:tcPr>
            <w:tcW w:w="2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18,392</w:t>
            </w:r>
          </w:p>
        </w:tc>
        <w:tc>
          <w:tcPr>
            <w:tcW w:w="30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11,652</w:t>
            </w:r>
          </w:p>
        </w:tc>
        <w:tc>
          <w:tcPr>
            <w:tcW w:w="18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As a percentage of net sales: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(loss) - GAAP Basis</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2"/>
                <w:szCs w:val="12"/>
                <w:color w:val="auto"/>
              </w:rPr>
            </w:pPr>
          </w:p>
        </w:tc>
        <w:tc>
          <w:tcPr>
            <w:tcW w:w="1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 Reconciliation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Expense - GAAP basis</w:t>
            </w:r>
          </w:p>
        </w:tc>
        <w:tc>
          <w:tcPr>
            <w:tcW w:w="114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65,918</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67,298</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64,980</w:t>
            </w: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Non-GAAP adjustments to operating expenses (as scheduled above)</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(12,390)</w:t>
            </w:r>
          </w:p>
        </w:tc>
        <w:tc>
          <w:tcPr>
            <w:tcW w:w="120" w:type="dxa"/>
            <w:vAlign w:val="bottom"/>
          </w:tcPr>
          <w:p>
            <w:pPr>
              <w:spacing w:after="0"/>
              <w:rPr>
                <w:sz w:val="12"/>
                <w:szCs w:val="12"/>
                <w:color w:val="auto"/>
              </w:rPr>
            </w:pPr>
          </w:p>
        </w:tc>
        <w:tc>
          <w:tcPr>
            <w:tcW w:w="1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(14,564)</w:t>
            </w:r>
          </w:p>
        </w:tc>
        <w:tc>
          <w:tcPr>
            <w:tcW w:w="18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(17,032)</w:t>
            </w:r>
          </w:p>
        </w:tc>
        <w:tc>
          <w:tcPr>
            <w:tcW w:w="0" w:type="dxa"/>
            <w:vAlign w:val="bottom"/>
          </w:tcPr>
          <w:p>
            <w:pPr>
              <w:spacing w:after="0"/>
              <w:rPr>
                <w:sz w:val="1"/>
                <w:szCs w:val="1"/>
                <w:color w:val="auto"/>
              </w:rPr>
            </w:pPr>
          </w:p>
        </w:tc>
      </w:tr>
      <w:tr>
        <w:trPr>
          <w:trHeight w:val="182"/>
        </w:trPr>
        <w:tc>
          <w:tcPr>
            <w:tcW w:w="5200" w:type="dxa"/>
            <w:vAlign w:val="bottom"/>
            <w:tcBorders>
              <w:bottom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Operating Expenses - Non-GAAP basis</w:t>
            </w: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53,528</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52,734</w:t>
            </w: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47,948</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hanging="33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purchased intangibles of $4,830, $4,916 and $7,873 for the three months ending September 26, 2026, June 27, 2026, and September 27, 2025, respectively.</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amortization of capitalized implementation costs related to cloud-based software arrangements that are included within SG&amp;A.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gridSpan w:val="5"/>
          </w:tcPr>
          <w:p>
            <w:pPr>
              <w:jc w:val="right"/>
              <w:ind w:right="124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2"/>
        </w:trPr>
        <w:tc>
          <w:tcPr>
            <w:tcW w:w="6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September 26,</w:t>
            </w:r>
          </w:p>
        </w:tc>
        <w:tc>
          <w:tcPr>
            <w:tcW w:w="20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September 27,</w:t>
            </w:r>
          </w:p>
        </w:tc>
      </w:tr>
      <w:tr>
        <w:trPr>
          <w:trHeight w:val="171"/>
        </w:trPr>
        <w:tc>
          <w:tcPr>
            <w:tcW w:w="60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bottom w:val="single" w:sz="8" w:color="CCEEFF"/>
            </w:tcBorders>
          </w:tcPr>
          <w:p>
            <w:pPr>
              <w:spacing w:after="0"/>
              <w:rPr>
                <w:sz w:val="14"/>
                <w:szCs w:val="14"/>
                <w:color w:val="auto"/>
              </w:rPr>
            </w:pPr>
          </w:p>
        </w:tc>
      </w:tr>
      <w:tr>
        <w:trPr>
          <w:trHeight w:val="142"/>
        </w:trPr>
        <w:tc>
          <w:tcPr>
            <w:tcW w:w="6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 Reconciliation</w:t>
            </w: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6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 xml:space="preserve">Gross profit - GAAP basis (excluding amortization) </w:t>
            </w:r>
            <w:r>
              <w:rPr>
                <w:rFonts w:ascii="Times New Roman" w:cs="Times New Roman" w:eastAsia="Times New Roman" w:hAnsi="Times New Roman"/>
                <w:sz w:val="11"/>
                <w:szCs w:val="11"/>
                <w:color w:val="auto"/>
              </w:rPr>
              <w:t>(1)</w:t>
            </w:r>
          </w:p>
        </w:tc>
        <w:tc>
          <w:tcPr>
            <w:tcW w:w="196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204,214</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144,690</w:t>
            </w:r>
          </w:p>
        </w:tc>
      </w:tr>
      <w:tr>
        <w:trPr>
          <w:trHeight w:val="162"/>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Non-GAAP adjustments to cost of sales (as scheduled above)</w:t>
            </w: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756</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1,572</w:t>
            </w:r>
          </w:p>
        </w:tc>
      </w:tr>
      <w:tr>
        <w:trPr>
          <w:trHeight w:val="195"/>
        </w:trPr>
        <w:tc>
          <w:tcPr>
            <w:tcW w:w="6040" w:type="dxa"/>
            <w:vAlign w:val="bottom"/>
            <w:tcBorders>
              <w:bottom w:val="single" w:sz="8" w:color="CCEEFF"/>
            </w:tcBorders>
          </w:tcPr>
          <w:p>
            <w:pPr>
              <w:ind w:left="180"/>
              <w:spacing w:after="0" w:line="155" w:lineRule="exact"/>
              <w:rPr>
                <w:sz w:val="20"/>
                <w:szCs w:val="20"/>
                <w:color w:val="auto"/>
              </w:rPr>
            </w:pPr>
            <w:r>
              <w:rPr>
                <w:rFonts w:ascii="Times New Roman" w:cs="Times New Roman" w:eastAsia="Times New Roman" w:hAnsi="Times New Roman"/>
                <w:sz w:val="14"/>
                <w:szCs w:val="14"/>
                <w:color w:val="auto"/>
              </w:rPr>
              <w:t>Gross profit - Non-GAAP basis</w:t>
            </w:r>
          </w:p>
        </w:tc>
        <w:tc>
          <w:tcPr>
            <w:tcW w:w="17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204,970</w:t>
            </w:r>
          </w:p>
        </w:tc>
        <w:tc>
          <w:tcPr>
            <w:tcW w:w="2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146,262</w:t>
            </w:r>
          </w:p>
        </w:tc>
        <w:tc>
          <w:tcPr>
            <w:tcW w:w="180" w:type="dxa"/>
            <w:vAlign w:val="bottom"/>
            <w:tcBorders>
              <w:bottom w:val="single" w:sz="8" w:color="CCEEFF"/>
            </w:tcBorders>
          </w:tcPr>
          <w:p>
            <w:pPr>
              <w:spacing w:after="0"/>
              <w:rPr>
                <w:sz w:val="17"/>
                <w:szCs w:val="17"/>
                <w:color w:val="auto"/>
              </w:rPr>
            </w:pPr>
          </w:p>
        </w:tc>
      </w:tr>
      <w:tr>
        <w:trPr>
          <w:trHeight w:val="129"/>
        </w:trPr>
        <w:tc>
          <w:tcPr>
            <w:tcW w:w="6040" w:type="dxa"/>
            <w:vAlign w:val="bottom"/>
            <w:tcBorders>
              <w:bottom w:val="single" w:sz="8" w:color="auto"/>
            </w:tcBorders>
            <w:shd w:val="clear" w:color="auto" w:fill="CCEEFF"/>
          </w:tcPr>
          <w:p>
            <w:pPr>
              <w:spacing w:after="0"/>
              <w:rPr>
                <w:sz w:val="11"/>
                <w:szCs w:val="11"/>
                <w:color w:val="auto"/>
              </w:rPr>
            </w:pPr>
          </w:p>
        </w:tc>
        <w:tc>
          <w:tcPr>
            <w:tcW w:w="17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r>
      <w:tr>
        <w:trPr>
          <w:trHeight w:val="142"/>
        </w:trPr>
        <w:tc>
          <w:tcPr>
            <w:tcW w:w="60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As a percentage of net sales:</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6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GAAP gross profit</w:t>
            </w: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w:t>
            </w:r>
          </w:p>
        </w:tc>
      </w:tr>
      <w:tr>
        <w:trPr>
          <w:trHeight w:val="148"/>
        </w:trPr>
        <w:tc>
          <w:tcPr>
            <w:tcW w:w="6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Non-GAAP gross profit</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2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44.2%</w:t>
            </w:r>
          </w:p>
        </w:tc>
      </w:tr>
      <w:tr>
        <w:trPr>
          <w:trHeight w:val="149"/>
        </w:trPr>
        <w:tc>
          <w:tcPr>
            <w:tcW w:w="60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6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EBITDA Reconciliation</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6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 (loss) - GAAP Basis</w:t>
            </w:r>
          </w:p>
        </w:tc>
        <w:tc>
          <w:tcPr>
            <w:tcW w:w="196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(51,785)</w:t>
            </w:r>
          </w:p>
        </w:tc>
      </w:tr>
      <w:tr>
        <w:trPr>
          <w:trHeight w:val="148"/>
        </w:trPr>
        <w:tc>
          <w:tcPr>
            <w:tcW w:w="6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7,397</w:t>
            </w:r>
          </w:p>
        </w:tc>
        <w:tc>
          <w:tcPr>
            <w:tcW w:w="20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3,173</w:t>
            </w:r>
          </w:p>
        </w:tc>
      </w:tr>
      <w:tr>
        <w:trPr>
          <w:trHeight w:val="148"/>
        </w:trPr>
        <w:tc>
          <w:tcPr>
            <w:tcW w:w="6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5,054</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434</w:t>
            </w:r>
          </w:p>
        </w:tc>
      </w:tr>
      <w:tr>
        <w:trPr>
          <w:trHeight w:val="149"/>
        </w:trPr>
        <w:tc>
          <w:tcPr>
            <w:tcW w:w="6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(11,564)</w:t>
            </w:r>
          </w:p>
        </w:tc>
        <w:tc>
          <w:tcPr>
            <w:tcW w:w="20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(4,334)</w:t>
            </w:r>
          </w:p>
        </w:tc>
      </w:tr>
      <w:tr>
        <w:trPr>
          <w:trHeight w:val="148"/>
        </w:trPr>
        <w:tc>
          <w:tcPr>
            <w:tcW w:w="6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Amortization of purchased intangible assets</w:t>
            </w: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21,754</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30,182</w:t>
            </w:r>
          </w:p>
        </w:tc>
      </w:tr>
      <w:tr>
        <w:trPr>
          <w:trHeight w:val="148"/>
        </w:trPr>
        <w:tc>
          <w:tcPr>
            <w:tcW w:w="6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9,363</w:t>
            </w:r>
          </w:p>
        </w:tc>
        <w:tc>
          <w:tcPr>
            <w:tcW w:w="20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9,953</w:t>
            </w:r>
          </w:p>
        </w:tc>
      </w:tr>
      <w:tr>
        <w:trPr>
          <w:trHeight w:val="149"/>
        </w:trPr>
        <w:tc>
          <w:tcPr>
            <w:tcW w:w="6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 xml:space="preserve">Amortization of cloud-based software implementation costs </w:t>
            </w:r>
            <w:r>
              <w:rPr>
                <w:rFonts w:ascii="Times New Roman" w:cs="Times New Roman" w:eastAsia="Times New Roman" w:hAnsi="Times New Roman"/>
                <w:sz w:val="11"/>
                <w:szCs w:val="11"/>
                <w:color w:val="auto"/>
              </w:rPr>
              <w:t>(2)</w:t>
            </w: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2,127</w:t>
            </w:r>
          </w:p>
        </w:tc>
      </w:tr>
      <w:tr>
        <w:trPr>
          <w:trHeight w:val="148"/>
        </w:trPr>
        <w:tc>
          <w:tcPr>
            <w:tcW w:w="6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Pension curtailment gain</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(2,317)</w:t>
            </w:r>
          </w:p>
        </w:tc>
      </w:tr>
      <w:tr>
        <w:trPr>
          <w:trHeight w:val="162"/>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non-GAAP adjustments (as scheduled above)</w:t>
            </w: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20,049</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26,169</w:t>
            </w:r>
          </w:p>
        </w:tc>
      </w:tr>
      <w:tr>
        <w:trPr>
          <w:trHeight w:val="195"/>
        </w:trPr>
        <w:tc>
          <w:tcPr>
            <w:tcW w:w="6040" w:type="dxa"/>
            <w:vAlign w:val="bottom"/>
            <w:tcBorders>
              <w:bottom w:val="single" w:sz="8" w:color="CCEEFF"/>
            </w:tcBorders>
          </w:tcPr>
          <w:p>
            <w:pPr>
              <w:ind w:left="180"/>
              <w:spacing w:after="0" w:line="155" w:lineRule="exact"/>
              <w:rPr>
                <w:sz w:val="20"/>
                <w:szCs w:val="20"/>
                <w:color w:val="auto"/>
              </w:rPr>
            </w:pPr>
            <w:r>
              <w:rPr>
                <w:rFonts w:ascii="Times New Roman" w:cs="Times New Roman" w:eastAsia="Times New Roman" w:hAnsi="Times New Roman"/>
                <w:sz w:val="14"/>
                <w:szCs w:val="14"/>
                <w:color w:val="auto"/>
              </w:rPr>
              <w:t>Adjusted EBITDA</w:t>
            </w:r>
          </w:p>
        </w:tc>
        <w:tc>
          <w:tcPr>
            <w:tcW w:w="17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54,124</w:t>
            </w:r>
          </w:p>
        </w:tc>
        <w:tc>
          <w:tcPr>
            <w:tcW w:w="2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13,602</w:t>
            </w:r>
          </w:p>
        </w:tc>
        <w:tc>
          <w:tcPr>
            <w:tcW w:w="180" w:type="dxa"/>
            <w:vAlign w:val="bottom"/>
            <w:tcBorders>
              <w:bottom w:val="single" w:sz="8" w:color="CCEEFF"/>
            </w:tcBorders>
          </w:tcPr>
          <w:p>
            <w:pPr>
              <w:spacing w:after="0"/>
              <w:rPr>
                <w:sz w:val="17"/>
                <w:szCs w:val="17"/>
                <w:color w:val="auto"/>
              </w:rPr>
            </w:pPr>
          </w:p>
        </w:tc>
      </w:tr>
      <w:tr>
        <w:trPr>
          <w:trHeight w:val="129"/>
        </w:trPr>
        <w:tc>
          <w:tcPr>
            <w:tcW w:w="6040" w:type="dxa"/>
            <w:vAlign w:val="bottom"/>
            <w:tcBorders>
              <w:bottom w:val="single" w:sz="8" w:color="auto"/>
            </w:tcBorders>
            <w:shd w:val="clear" w:color="auto" w:fill="CCEEFF"/>
          </w:tcPr>
          <w:p>
            <w:pPr>
              <w:spacing w:after="0"/>
              <w:rPr>
                <w:sz w:val="11"/>
                <w:szCs w:val="11"/>
                <w:color w:val="auto"/>
              </w:rPr>
            </w:pPr>
          </w:p>
        </w:tc>
        <w:tc>
          <w:tcPr>
            <w:tcW w:w="17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r>
      <w:tr>
        <w:trPr>
          <w:trHeight w:val="142"/>
        </w:trPr>
        <w:tc>
          <w:tcPr>
            <w:tcW w:w="604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As a percentage of net sales:</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6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(loss) - GAAP Basis</w:t>
            </w: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w:t>
            </w:r>
          </w:p>
        </w:tc>
      </w:tr>
      <w:tr>
        <w:trPr>
          <w:trHeight w:val="148"/>
        </w:trPr>
        <w:tc>
          <w:tcPr>
            <w:tcW w:w="6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00" w:type="dxa"/>
            <w:vAlign w:val="bottom"/>
          </w:tcPr>
          <w:p>
            <w:pPr>
              <w:spacing w:after="0"/>
              <w:rPr>
                <w:sz w:val="12"/>
                <w:szCs w:val="12"/>
                <w:color w:val="auto"/>
              </w:rPr>
            </w:pPr>
          </w:p>
        </w:tc>
        <w:tc>
          <w:tcPr>
            <w:tcW w:w="1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r>
      <w:tr>
        <w:trPr>
          <w:trHeight w:val="149"/>
        </w:trPr>
        <w:tc>
          <w:tcPr>
            <w:tcW w:w="60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6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 Reconciliation</w:t>
            </w: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6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Expense - GAAP basis</w:t>
            </w:r>
          </w:p>
        </w:tc>
        <w:tc>
          <w:tcPr>
            <w:tcW w:w="196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202,275</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198,968</w:t>
            </w:r>
          </w:p>
        </w:tc>
      </w:tr>
      <w:tr>
        <w:trPr>
          <w:trHeight w:val="162"/>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Non-GAAP adjustments to operating expenses (as scheduled above)</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(41,047)</w:t>
            </w:r>
          </w:p>
        </w:tc>
        <w:tc>
          <w:tcPr>
            <w:tcW w:w="20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(54,779)</w:t>
            </w:r>
          </w:p>
        </w:tc>
      </w:tr>
      <w:tr>
        <w:trPr>
          <w:trHeight w:val="156"/>
        </w:trPr>
        <w:tc>
          <w:tcPr>
            <w:tcW w:w="6040" w:type="dxa"/>
            <w:vAlign w:val="bottom"/>
            <w:tcBorders>
              <w:top w:val="single" w:sz="8" w:color="CCEEFF"/>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Operating Expenses - Non-GAAP basis</w:t>
            </w:r>
          </w:p>
        </w:tc>
        <w:tc>
          <w:tcPr>
            <w:tcW w:w="17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161,228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144,189</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6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
        </w:trPr>
        <w:tc>
          <w:tcPr>
            <w:tcW w:w="60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pacing w:after="0" w:line="31" w:lineRule="exact"/>
        <w:rPr>
          <w:sz w:val="20"/>
          <w:szCs w:val="20"/>
          <w:color w:val="auto"/>
        </w:rPr>
      </w:pPr>
    </w:p>
    <w:p>
      <w:pPr>
        <w:ind w:left="500" w:hanging="33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purchased intangibles of $14,677 and $23,171 for the nine months ending September 26, 2026, and September 27, 2025, respectively.</w:t>
      </w:r>
    </w:p>
    <w:p>
      <w:pPr>
        <w:spacing w:after="0" w:line="82"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amortization of capitalized implementation costs related to cloud-based software arrangements that are included within SG&amp;A.</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2026-10-28T15:20:08Z</dcterms:created>
  <dcterms:modified xsi:type="dcterms:W3CDTF">2026-10-28T15:20:08Z</dcterms:modified>
</cp:coreProperties>
</file>