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bookmarkStart w:id="0" w:name="cohu20260627_10q.htm"/>
      <w:bookmarkStart w:id="1" w:name="kscohu20260627_10q"/>
      <w:bookmarkEnd w:id="0"/>
      <w:bookmarkEnd w:id="1"/>
      <w:r>
        <w:rPr/>
        <w:t> </w:t>
      </w:r>
      <w:r>
        <mc:AlternateContent>
          <mc:Choice Requires="wps">
            <w:drawing>
              <wp:anchor behindDoc="0" distT="0" distB="0" distL="0" distR="0" simplePos="0" locked="0" layoutInCell="1" allowOverlap="1" relativeHeight="3">
                <wp:simplePos x="0" y="0"/>
                <wp:positionH relativeFrom="page">
                  <wp:posOffset>371475</wp:posOffset>
                </wp:positionH>
                <wp:positionV relativeFrom="page">
                  <wp:posOffset>446760600</wp:posOffset>
                </wp:positionV>
                <wp:extent cx="66675" cy="333375"/>
                <wp:effectExtent l="0" t="0" r="0" b="0"/>
                <wp:wrapNone/>
                <wp:docPr id="1" name="Frame2"/>
                <a:graphic xmlns:a="http://schemas.openxmlformats.org/drawingml/2006/main">
                  <a:graphicData uri="http://schemas.microsoft.com/office/word/2010/wordprocessingShape">
                    <wps:wsp>
                      <wps:cNvSpPr txBox="1"/>
                      <wps:spPr>
                        <a:xfrm>
                          <a:off x="0" y="0"/>
                          <a:ext cx="66675" cy="333375"/>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5.25pt;height:26.25pt;mso-wrap-distance-left:0pt;mso-wrap-distance-right:0pt;mso-wrap-distance-top:0pt;mso-wrap-distance-bottom:0pt;margin-top:35178pt;mso-position-vertical-relative:page;margin-left:29.25pt;mso-position-horizontal-relative:page">
                <v:textbox inset="0in,0in,0in,0in">
                  <w:txbxContent>
                    <w:p>
                      <w:pPr>
                        <w:pStyle w:val="TextBody"/>
                        <w:bidi w:val="0"/>
                        <w:spacing w:before="0" w:after="283"/>
                        <w:jc w:val="left"/>
                        <w:rPr/>
                      </w:pPr>
                      <w:r>
                        <w:rPr/>
                      </w:r>
                    </w:p>
                  </w:txbxContent>
                </v:textbox>
                <w10:wrap type="none"/>
              </v:rect>
            </w:pict>
          </mc:Fallback>
        </mc:AlternateContent>
      </w:r>
      <w:r>
        <mc:AlternateContent>
          <mc:Choice Requires="wps">
            <w:drawing>
              <wp:anchor behindDoc="0" distT="0" distB="0" distL="0" distR="0" simplePos="0" locked="0" layoutInCell="1" allowOverlap="1" relativeHeight="2">
                <wp:simplePos x="0" y="0"/>
                <wp:positionH relativeFrom="page">
                  <wp:posOffset>16868775</wp:posOffset>
                </wp:positionH>
                <wp:positionV relativeFrom="page">
                  <wp:posOffset>314305950</wp:posOffset>
                </wp:positionV>
                <wp:extent cx="28575" cy="333375"/>
                <wp:effectExtent l="0" t="0" r="0" b="0"/>
                <wp:wrapNone/>
                <wp:docPr id="2" name="Frame1"/>
                <a:graphic xmlns:a="http://schemas.openxmlformats.org/drawingml/2006/main">
                  <a:graphicData uri="http://schemas.microsoft.com/office/word/2010/wordprocessingShape">
                    <wps:wsp>
                      <wps:cNvSpPr txBox="1"/>
                      <wps:spPr>
                        <a:xfrm>
                          <a:off x="0" y="0"/>
                          <a:ext cx="28575" cy="333375"/>
                        </a:xfrm>
                        <a:prstGeom prst="rect"/>
                        <a:solidFill>
                          <a:srgbClr val="FFFFFF"/>
                        </a:solidFill>
                      </wps:spPr>
                      <wps:txbx>
                        <w:txbxContent>
                          <w:p>
                            <w:pPr>
                              <w:pStyle w:val="TextBody"/>
                              <w:bidi w:val="0"/>
                              <w:spacing w:before="0" w:after="283"/>
                              <w:jc w:val="left"/>
                              <w:rPr/>
                            </w:pPr>
                            <w:r>
                              <w:rPr/>
                            </w:r>
                          </w:p>
                        </w:txbxContent>
                      </wps:txbx>
                      <wps:bodyPr anchor="t" lIns="0" tIns="0" rIns="0" bIns="0">
                        <a:noAutofit/>
                      </wps:bodyPr>
                    </wps:wsp>
                  </a:graphicData>
                </a:graphic>
              </wp:anchor>
            </w:drawing>
          </mc:Choice>
          <mc:Fallback>
            <w:pict>
              <v:rect style="position:absolute;rotation:-0;width:2.25pt;height:26.25pt;mso-wrap-distance-left:0pt;mso-wrap-distance-right:0pt;mso-wrap-distance-top:0pt;mso-wrap-distance-bottom:0pt;margin-top:24748.5pt;mso-position-vertical-relative:page;margin-left:1328.25pt;mso-position-horizontal-relative:page">
                <v:textbox inset="0in,0in,0in,0in">
                  <w:txbxContent>
                    <w:p>
                      <w:pPr>
                        <w:pStyle w:val="TextBody"/>
                        <w:bidi w:val="0"/>
                        <w:spacing w:before="0" w:after="283"/>
                        <w:jc w:val="left"/>
                        <w:rPr/>
                      </w:pPr>
                      <w:r>
                        <w:rPr/>
                      </w:r>
                    </w:p>
                  </w:txbxContent>
                </v:textbox>
                <w10:wrap type="none"/>
              </v:rect>
            </w:pict>
          </mc:Fallback>
        </mc:AlternateConten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pPr>
      <w:hyperlink w:anchor="toc">
        <w:r>
          <w:rPr>
            <w:rStyle w:val="InternetLink"/>
            <w:rFonts w:ascii="Times New Roman" w:hAnsi="Times New Roman"/>
            <w:caps w:val="false"/>
            <w:smallCaps w:val="false"/>
            <w:sz w:val="20"/>
          </w:rPr>
          <w:t>Table of Contents</w:t>
        </w:r>
      </w:hyperlink>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UNITED STATES</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SECURITIES AND EXCHANGE COMMISSION</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Washington, D.C. 20549</w:t>
      </w:r>
    </w:p>
    <w:p>
      <w:pPr>
        <w:pStyle w:val="TextBody"/>
        <w:bidi w:val="0"/>
        <w:spacing w:before="0" w:after="0"/>
        <w:ind w:left="0" w:right="0" w:hanging="0"/>
        <w:jc w:val="center"/>
        <w:rPr>
          <w:rFonts w:ascii="Times New Roman" w:hAnsi="Times New Roman"/>
          <w:b/>
          <w:caps w:val="false"/>
          <w:smallCaps w:val="false"/>
          <w:sz w:val="24"/>
        </w:rPr>
      </w:pPr>
      <w:r>
        <w:rPr>
          <w:rFonts w:ascii="Times New Roman" w:hAnsi="Times New Roman"/>
          <w:b/>
          <w:caps w:val="false"/>
          <w:smallCaps w:val="false"/>
          <w:sz w:val="24"/>
        </w:rPr>
        <w:t>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(Mark One)</w:t>
      </w:r>
    </w:p>
    <w:tbl>
      <w:tblPr>
        <w:tblW w:w="10205" w:type="dxa"/>
        <w:jc w:val="left"/>
        <w:tblInd w:w="0" w:type="dxa"/>
        <w:tblLayout w:type="fixed"/>
        <w:tblCellMar>
          <w:top w:w="0" w:type="dxa"/>
          <w:left w:w="0" w:type="dxa"/>
          <w:bottom w:w="0" w:type="dxa"/>
          <w:right w:w="0" w:type="dxa"/>
        </w:tblCellMar>
      </w:tblPr>
      <w:tblGrid>
        <w:gridCol w:w="60"/>
        <w:gridCol w:w="289"/>
        <w:gridCol w:w="9856"/>
      </w:tblGrid>
      <w:tr>
        <w:trPr/>
        <w:tc>
          <w:tcPr>
            <w:tcW w:w="6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0"/>
              <w:ind w:left="0" w:right="0" w:hanging="0"/>
              <w:jc w:val="both"/>
              <w:rPr/>
            </w:pPr>
            <w:r>
              <w:rPr/>
              <w:t xml:space="preserve">☑ </w:t>
            </w:r>
          </w:p>
        </w:tc>
        <w:tc>
          <w:tcPr>
            <w:tcW w:w="985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QUARTERLY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quarterly period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OR</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89"/>
        <w:gridCol w:w="9856"/>
      </w:tblGrid>
      <w:tr>
        <w:trPr/>
        <w:tc>
          <w:tcPr>
            <w:tcW w:w="60" w:type="dxa"/>
            <w:tcBorders/>
            <w:vAlign w:val="center"/>
          </w:tcPr>
          <w:p>
            <w:pPr>
              <w:pStyle w:val="TableContents"/>
              <w:bidi w:val="0"/>
              <w:spacing w:before="0" w:after="283"/>
              <w:jc w:val="left"/>
              <w:rPr/>
            </w:pPr>
            <w:r>
              <w:rPr/>
              <w:t> </w:t>
            </w:r>
          </w:p>
        </w:tc>
        <w:tc>
          <w:tcPr>
            <w:tcW w:w="289" w:type="dxa"/>
            <w:tcBorders/>
            <w:vAlign w:val="center"/>
          </w:tcPr>
          <w:p>
            <w:pPr>
              <w:pStyle w:val="TableContents"/>
              <w:bidi w:val="0"/>
              <w:spacing w:before="0" w:after="0"/>
              <w:ind w:left="0" w:right="0" w:hanging="0"/>
              <w:jc w:val="both"/>
              <w:rPr/>
            </w:pPr>
            <w:r>
              <w:rPr/>
              <w:t xml:space="preserve">☐ </w:t>
            </w:r>
          </w:p>
        </w:tc>
        <w:tc>
          <w:tcPr>
            <w:tcW w:w="9856"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TRANSITION REPORT PURSUANT TO SECTION 13 OR 15(d) OF THE SECURITIES EXCHANGE ACT OF 1934</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 the transition period from to</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Commission file number 001-04298</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36"/>
        </w:rPr>
      </w:pPr>
      <w:r>
        <w:rPr>
          <w:rFonts w:ascii="Times New Roman" w:hAnsi="Times New Roman"/>
          <w:b/>
          <w:caps w:val="false"/>
          <w:smallCaps w:val="false"/>
          <w:sz w:val="36"/>
        </w:rPr>
        <w:t>COHU, INC.</w:t>
      </w:r>
    </w:p>
    <w:p>
      <w:pPr>
        <w:pStyle w:val="TextBody"/>
        <w:bidi w:val="0"/>
        <w:spacing w:before="0" w:after="0"/>
        <w:ind w:left="0" w:right="0" w:hanging="0"/>
        <w:jc w:val="center"/>
        <w:rPr>
          <w:rFonts w:ascii="Times New Roman" w:hAnsi="Times New Roman"/>
          <w:i/>
          <w:caps w:val="false"/>
          <w:smallCaps w:val="false"/>
          <w:sz w:val="20"/>
        </w:rPr>
      </w:pPr>
      <w:r>
        <w:rPr>
          <w:rFonts w:ascii="Times New Roman" w:hAnsi="Times New Roman"/>
          <w:i/>
          <w:caps w:val="false"/>
          <w:smallCaps w:val="false"/>
          <w:sz w:val="20"/>
        </w:rPr>
        <w:t>(Exact name of registrant as specified in its charter)</w:t>
      </w:r>
    </w:p>
    <w:p>
      <w:pPr>
        <w:pStyle w:val="TextBody"/>
        <w:bidi w:val="0"/>
        <w:spacing w:before="0" w:after="0"/>
        <w:ind w:left="0" w:right="0" w:hanging="0"/>
        <w:jc w:val="center"/>
        <w:rPr>
          <w:caps w:val="false"/>
          <w:smallCaps w:val="false"/>
        </w:rPr>
      </w:pPr>
      <w:r>
        <w:rPr>
          <w:caps w:val="false"/>
          <w:smallCaps w:val="false"/>
        </w:rPr>
        <w:t> </w:t>
      </w:r>
    </w:p>
    <w:tbl>
      <w:tblPr>
        <w:tblW w:w="6850" w:type="dxa"/>
        <w:jc w:val="left"/>
        <w:tblInd w:w="0" w:type="dxa"/>
        <w:tblLayout w:type="fixed"/>
        <w:tblCellMar>
          <w:top w:w="0" w:type="dxa"/>
          <w:left w:w="0" w:type="dxa"/>
          <w:bottom w:w="0" w:type="dxa"/>
          <w:right w:w="0" w:type="dxa"/>
        </w:tblCellMar>
      </w:tblPr>
      <w:tblGrid>
        <w:gridCol w:w="3950"/>
        <w:gridCol w:w="2900"/>
      </w:tblGrid>
      <w:tr>
        <w:trPr/>
        <w:tc>
          <w:tcPr>
            <w:tcW w:w="395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Delaware</w:t>
            </w:r>
          </w:p>
        </w:tc>
        <w:tc>
          <w:tcPr>
            <w:tcW w:w="29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95-1934119</w:t>
            </w:r>
          </w:p>
        </w:tc>
      </w:tr>
      <w:tr>
        <w:trPr/>
        <w:tc>
          <w:tcPr>
            <w:tcW w:w="3950" w:type="dxa"/>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(State or other jurisdiction of</w:t>
            </w:r>
          </w:p>
        </w:tc>
        <w:tc>
          <w:tcPr>
            <w:tcW w:w="2900" w:type="dxa"/>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(I.R.S. Employer Identification No.)</w:t>
            </w:r>
          </w:p>
        </w:tc>
      </w:tr>
      <w:tr>
        <w:trPr/>
        <w:tc>
          <w:tcPr>
            <w:tcW w:w="3950" w:type="dxa"/>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incorporation or organization)</w:t>
            </w:r>
          </w:p>
        </w:tc>
        <w:tc>
          <w:tcPr>
            <w:tcW w:w="2900" w:type="dxa"/>
            <w:tcBorders/>
            <w:vAlign w:val="center"/>
          </w:tcPr>
          <w:p>
            <w:pPr>
              <w:pStyle w:val="TableContents"/>
              <w:bidi w:val="0"/>
              <w:spacing w:before="0" w:after="283"/>
              <w:jc w:val="center"/>
              <w:rPr/>
            </w:pPr>
            <w:r>
              <w:rPr/>
              <w:t> </w:t>
            </w:r>
          </w:p>
        </w:tc>
      </w:tr>
      <w:tr>
        <w:trPr/>
        <w:tc>
          <w:tcPr>
            <w:tcW w:w="3950" w:type="dxa"/>
            <w:tcBorders/>
            <w:vAlign w:val="center"/>
          </w:tcPr>
          <w:p>
            <w:pPr>
              <w:pStyle w:val="TableContents"/>
              <w:bidi w:val="0"/>
              <w:spacing w:before="0" w:after="283"/>
              <w:jc w:val="left"/>
              <w:rPr/>
            </w:pPr>
            <w:r>
              <w:rPr/>
              <w:t> </w:t>
            </w:r>
          </w:p>
        </w:tc>
        <w:tc>
          <w:tcPr>
            <w:tcW w:w="290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17087 Via Del Campo, San Diego, California</w:t>
            </w:r>
            <w:r>
              <w:rPr>
                <w:rFonts w:ascii="Times New Roman;Times;serif" w:hAnsi="Times New Roman;Times;serif"/>
                <w:caps w:val="false"/>
                <w:smallCaps w:val="false"/>
                <w:sz w:val="20"/>
              </w:rPr>
              <w:t>   </w:t>
            </w:r>
          </w:p>
        </w:tc>
        <w:tc>
          <w:tcPr>
            <w:tcW w:w="290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92127-1711</w:t>
            </w:r>
          </w:p>
        </w:tc>
      </w:tr>
      <w:tr>
        <w:trPr/>
        <w:tc>
          <w:tcPr>
            <w:tcW w:w="3950" w:type="dxa"/>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(Address of principal executive offices)</w:t>
            </w:r>
          </w:p>
        </w:tc>
        <w:tc>
          <w:tcPr>
            <w:tcW w:w="2900" w:type="dxa"/>
            <w:tcBorders/>
            <w:vAlign w:val="center"/>
          </w:tcPr>
          <w:p>
            <w:pPr>
              <w:pStyle w:val="TableContents"/>
              <w:bidi w:val="0"/>
              <w:spacing w:before="0" w:after="0"/>
              <w:ind w:left="0" w:right="0" w:hanging="0"/>
              <w:jc w:val="center"/>
              <w:rPr>
                <w:rFonts w:ascii="Times New Roman;Times;serif" w:hAnsi="Times New Roman;Times;serif"/>
                <w:i/>
                <w:caps w:val="false"/>
                <w:smallCaps w:val="false"/>
                <w:sz w:val="20"/>
              </w:rPr>
            </w:pPr>
            <w:r>
              <w:rPr>
                <w:rFonts w:ascii="Times New Roman;Times;serif" w:hAnsi="Times New Roman;Times;serif"/>
                <w:i/>
                <w:caps w:val="false"/>
                <w:smallCaps w:val="false"/>
                <w:sz w:val="20"/>
              </w:rPr>
              <w:t>(Zip Code)</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b/>
          <w:caps w:val="false"/>
          <w:smallCaps w:val="false"/>
          <w:sz w:val="20"/>
        </w:rPr>
        <w:t>Registrant</w:t>
      </w:r>
      <w:r>
        <w:rPr>
          <w:rFonts w:ascii="Times New Roman" w:hAnsi="Times New Roman"/>
          <w:caps w:val="false"/>
          <w:smallCaps w:val="false"/>
          <w:sz w:val="20"/>
        </w:rPr>
        <w:t>’</w:t>
      </w:r>
      <w:r>
        <w:rPr>
          <w:rFonts w:ascii="Times New Roman" w:hAnsi="Times New Roman"/>
          <w:b/>
          <w:caps w:val="false"/>
          <w:smallCaps w:val="false"/>
          <w:sz w:val="20"/>
        </w:rPr>
        <w:t>s telephone number, including area code (858) 848-8100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Securities registered pursuant to Section 12(b) of the Act:</w:t>
      </w:r>
    </w:p>
    <w:p>
      <w:pPr>
        <w:pStyle w:val="TextBody"/>
        <w:bidi w:val="0"/>
        <w:spacing w:before="0" w:after="0"/>
        <w:ind w:left="0" w:right="0" w:hanging="0"/>
        <w:jc w:val="left"/>
        <w:rPr>
          <w:caps w:val="false"/>
          <w:smallCaps w:val="false"/>
        </w:rPr>
      </w:pPr>
      <w:r>
        <w:rPr>
          <w:caps w:val="false"/>
          <w:smallCaps w:val="false"/>
        </w:rPr>
        <w:t> </w:t>
      </w:r>
    </w:p>
    <w:tbl>
      <w:tblPr>
        <w:tblW w:w="7770" w:type="dxa"/>
        <w:jc w:val="left"/>
        <w:tblInd w:w="0" w:type="dxa"/>
        <w:tblLayout w:type="fixed"/>
        <w:tblCellMar>
          <w:top w:w="0" w:type="dxa"/>
          <w:left w:w="0" w:type="dxa"/>
          <w:bottom w:w="0" w:type="dxa"/>
          <w:right w:w="0" w:type="dxa"/>
        </w:tblCellMar>
      </w:tblPr>
      <w:tblGrid>
        <w:gridCol w:w="2735"/>
        <w:gridCol w:w="1610"/>
        <w:gridCol w:w="3425"/>
      </w:tblGrid>
      <w:tr>
        <w:trPr/>
        <w:tc>
          <w:tcPr>
            <w:tcW w:w="273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Title of Each Class</w:t>
            </w:r>
          </w:p>
        </w:tc>
        <w:tc>
          <w:tcPr>
            <w:tcW w:w="16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Trading Symbol(s)</w:t>
            </w:r>
          </w:p>
        </w:tc>
        <w:tc>
          <w:tcPr>
            <w:tcW w:w="3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Name of Exchange on Which Registered</w:t>
            </w:r>
          </w:p>
        </w:tc>
      </w:tr>
      <w:tr>
        <w:trPr/>
        <w:tc>
          <w:tcPr>
            <w:tcW w:w="273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b/>
                <w:caps w:val="false"/>
                <w:smallCaps w:val="false"/>
                <w:sz w:val="20"/>
              </w:rPr>
              <w:t>Common Stock, $1.00</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par value</w:t>
            </w:r>
          </w:p>
        </w:tc>
        <w:tc>
          <w:tcPr>
            <w:tcW w:w="1610"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COHU</w:t>
            </w:r>
          </w:p>
        </w:tc>
        <w:tc>
          <w:tcPr>
            <w:tcW w:w="3425" w:type="dxa"/>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rPr>
            </w:pPr>
            <w:r>
              <w:rPr>
                <w:rFonts w:ascii="Times New Roman;Times;serif" w:hAnsi="Times New Roman;Times;serif"/>
                <w:b/>
                <w:caps w:val="false"/>
                <w:smallCaps w:val="false"/>
                <w:sz w:val="20"/>
              </w:rPr>
              <w:t>The Nasdaq Stock Market LLC</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Large accelerated filer ☑      Accelerated filer ☐      Non-accelerated filer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Smaller reporting company ☐      Emerging growth company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an emerging growth company, indicate by check mark if the registrant has elected not to use the extended transition period for complying with any new or revised financial accounting standards provided pursuant to Section 13(a) of the Exchange Act.  ☐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Indicate by check mark whether the registrant is a shell company (as defined in Rule 12b-2 of the Act). Yes ☐   No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As of July 21, 2026, the Registrant had 47,338,433 shares of its $1.00 par value common stock outstanding.</w:t>
      </w:r>
    </w:p>
    <w:p>
      <w:pPr>
        <w:pStyle w:val="TextBody"/>
        <w:bidi w:val="0"/>
        <w:spacing w:before="0" w:after="0"/>
        <w:ind w:left="0" w:right="0" w:hanging="0"/>
        <w:jc w:val="both"/>
        <w:rPr>
          <w:caps w:val="false"/>
          <w:smallCaps w:val="false"/>
        </w:rPr>
      </w:pPr>
      <w:r>
        <w:rPr>
          <w:caps w:val="false"/>
          <w:smallCaps w:val="false"/>
        </w:rPr>
        <w:t>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 w:name="toc"/>
      <w:bookmarkEnd w:id="2"/>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INDEX</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FORM 10-Q</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37"/>
        <w:gridCol w:w="8507"/>
        <w:gridCol w:w="798"/>
        <w:gridCol w:w="263"/>
      </w:tblGrid>
      <w:tr>
        <w:trPr/>
        <w:tc>
          <w:tcPr>
            <w:tcW w:w="637"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Part I</w:t>
            </w:r>
          </w:p>
        </w:tc>
        <w:tc>
          <w:tcPr>
            <w:tcW w:w="8507" w:type="dxa"/>
            <w:tcBorders/>
            <w:vAlign w:val="center"/>
          </w:tcPr>
          <w:p>
            <w:pPr>
              <w:pStyle w:val="TableContents"/>
              <w:bidi w:val="0"/>
              <w:spacing w:before="0" w:after="0"/>
              <w:ind w:left="0" w:right="0" w:hanging="0"/>
              <w:jc w:val="both"/>
              <w:rPr/>
            </w:pPr>
            <w:hyperlink w:anchor="item_1">
              <w:r>
                <w:rPr>
                  <w:rStyle w:val="InternetLink"/>
                  <w:rFonts w:ascii="Times New Roman;Times;serif" w:hAnsi="Times New Roman;Times;serif"/>
                  <w:b/>
                  <w:caps w:val="false"/>
                  <w:smallCaps w:val="false"/>
                  <w:sz w:val="20"/>
                </w:rPr>
                <w:t>Financial Information</w:t>
              </w:r>
            </w:hyperlink>
          </w:p>
        </w:tc>
        <w:tc>
          <w:tcPr>
            <w:tcW w:w="1061" w:type="dxa"/>
            <w:gridSpan w:val="2"/>
            <w:tcBorders/>
            <w:vAlign w:val="center"/>
          </w:tcPr>
          <w:p>
            <w:pPr>
              <w:pStyle w:val="TableContents"/>
              <w:bidi w:val="0"/>
              <w:spacing w:before="0" w:after="0"/>
              <w:ind w:left="0" w:right="0" w:hanging="0"/>
              <w:jc w:val="center"/>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Page Number</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507" w:type="dxa"/>
            <w:tcBorders/>
            <w:vAlign w:val="center"/>
          </w:tcPr>
          <w:p>
            <w:pPr>
              <w:pStyle w:val="TableContents"/>
              <w:bidi w:val="0"/>
              <w:spacing w:before="0" w:after="0"/>
              <w:ind w:left="0" w:right="0" w:hanging="0"/>
              <w:jc w:val="both"/>
              <w:rPr/>
            </w:pPr>
            <w:hyperlink w:anchor="item_1">
              <w:r>
                <w:rPr>
                  <w:rStyle w:val="InternetLink"/>
                  <w:rFonts w:ascii="Times New Roman;Times;serif" w:hAnsi="Times New Roman;Times;serif"/>
                  <w:caps w:val="false"/>
                  <w:smallCaps w:val="false"/>
                  <w:sz w:val="20"/>
                </w:rPr>
                <w:t>Financial Statements:</w:t>
              </w:r>
            </w:hyperlink>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0"/>
              <w:ind w:left="0" w:right="0" w:hanging="0"/>
              <w:jc w:val="both"/>
              <w:rPr/>
            </w:pPr>
            <w:hyperlink w:anchor="bs">
              <w:r>
                <w:rPr>
                  <w:rStyle w:val="InternetLink"/>
                  <w:rFonts w:ascii="Times New Roman;Times;serif" w:hAnsi="Times New Roman;Times;serif"/>
                  <w:caps w:val="false"/>
                  <w:smallCaps w:val="false"/>
                  <w:sz w:val="20"/>
                </w:rPr>
                <w:t>Condensed Consolidated Balance Sheets June 27, 2026 (unaudited) and December 27, 2025</w:t>
              </w:r>
            </w:hyperlink>
          </w:p>
        </w:tc>
        <w:tc>
          <w:tcPr>
            <w:tcW w:w="798" w:type="dxa"/>
            <w:tcBorders/>
            <w:vAlign w:val="center"/>
          </w:tcPr>
          <w:p>
            <w:pPr>
              <w:pStyle w:val="TableContents"/>
              <w:bidi w:val="0"/>
              <w:spacing w:before="0" w:after="283"/>
              <w:jc w:val="right"/>
              <w:rPr/>
            </w:pPr>
            <w:hyperlink w:anchor="bs">
              <w:r>
                <w:rPr>
                  <w:rStyle w:val="InternetLink"/>
                  <w:rFonts w:ascii="Times New Roman;Times;serif" w:hAnsi="Times New Roman;Times;serif"/>
                  <w:sz w:val="20"/>
                </w:rPr>
                <w:t>3</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0"/>
              <w:ind w:left="0" w:right="0" w:hanging="0"/>
              <w:jc w:val="both"/>
              <w:rPr/>
            </w:pPr>
            <w:hyperlink w:anchor="stmt_ops">
              <w:r>
                <w:rPr>
                  <w:rStyle w:val="InternetLink"/>
                  <w:rFonts w:ascii="Times New Roman;Times;serif" w:hAnsi="Times New Roman;Times;serif"/>
                  <w:caps w:val="false"/>
                  <w:smallCaps w:val="false"/>
                  <w:sz w:val="20"/>
                </w:rPr>
                <w:t>Condensed Consolidated Statements of Operations (unaudited) Three and Six Months Ended June 27, 2026 and June 28, 2025</w:t>
              </w:r>
            </w:hyperlink>
          </w:p>
        </w:tc>
        <w:tc>
          <w:tcPr>
            <w:tcW w:w="798" w:type="dxa"/>
            <w:tcBorders/>
            <w:vAlign w:val="center"/>
          </w:tcPr>
          <w:p>
            <w:pPr>
              <w:pStyle w:val="TableContents"/>
              <w:bidi w:val="0"/>
              <w:spacing w:before="0" w:after="283"/>
              <w:jc w:val="right"/>
              <w:rPr/>
            </w:pPr>
            <w:hyperlink w:anchor="stmt_ops">
              <w:r>
                <w:rPr>
                  <w:rStyle w:val="InternetLink"/>
                  <w:rFonts w:ascii="Times New Roman;Times;serif" w:hAnsi="Times New Roman;Times;serif"/>
                  <w:sz w:val="20"/>
                </w:rPr>
                <w:t>4</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0"/>
              <w:ind w:left="0" w:right="0" w:hanging="0"/>
              <w:jc w:val="both"/>
              <w:rPr/>
            </w:pPr>
            <w:hyperlink w:anchor="comp_loss">
              <w:r>
                <w:rPr>
                  <w:rStyle w:val="InternetLink"/>
                  <w:rFonts w:ascii="Times New Roman;Times;serif" w:hAnsi="Times New Roman;Times;serif"/>
                  <w:caps w:val="false"/>
                  <w:smallCaps w:val="false"/>
                  <w:sz w:val="20"/>
                </w:rPr>
                <w:t>Condensed Consolidated Statements of Comprehensive Loss (unaudited) Three and Six Months Ended June 27, 2026 and June 28, 2025</w:t>
              </w:r>
            </w:hyperlink>
          </w:p>
        </w:tc>
        <w:tc>
          <w:tcPr>
            <w:tcW w:w="798" w:type="dxa"/>
            <w:tcBorders/>
            <w:vAlign w:val="center"/>
          </w:tcPr>
          <w:p>
            <w:pPr>
              <w:pStyle w:val="TableContents"/>
              <w:bidi w:val="0"/>
              <w:spacing w:before="0" w:after="283"/>
              <w:jc w:val="right"/>
              <w:rPr/>
            </w:pPr>
            <w:hyperlink w:anchor="comp_loss">
              <w:r>
                <w:rPr>
                  <w:rStyle w:val="InternetLink"/>
                  <w:rFonts w:ascii="Times New Roman;Times;serif" w:hAnsi="Times New Roman;Times;serif"/>
                  <w:sz w:val="20"/>
                </w:rPr>
                <w:t>5</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0"/>
              <w:ind w:left="0" w:right="0" w:hanging="0"/>
              <w:jc w:val="both"/>
              <w:rPr/>
            </w:pPr>
            <w:hyperlink w:anchor="equity">
              <w:r>
                <w:rPr>
                  <w:rStyle w:val="InternetLink"/>
                  <w:rFonts w:ascii="Times New Roman;Times;serif" w:hAnsi="Times New Roman;Times;serif"/>
                  <w:caps w:val="false"/>
                  <w:smallCaps w:val="false"/>
                  <w:sz w:val="20"/>
                </w:rPr>
                <w:t>Condensed Consolidated Statements of Stockholders’ Equity (unaudited) Three and Six Months Ended June 27, 2026 and June 28, 2025</w:t>
              </w:r>
            </w:hyperlink>
          </w:p>
        </w:tc>
        <w:tc>
          <w:tcPr>
            <w:tcW w:w="798" w:type="dxa"/>
            <w:tcBorders/>
            <w:vAlign w:val="center"/>
          </w:tcPr>
          <w:p>
            <w:pPr>
              <w:pStyle w:val="TableContents"/>
              <w:bidi w:val="0"/>
              <w:spacing w:before="0" w:after="283"/>
              <w:jc w:val="right"/>
              <w:rPr/>
            </w:pPr>
            <w:hyperlink w:anchor="equity">
              <w:r>
                <w:rPr>
                  <w:rStyle w:val="InternetLink"/>
                  <w:rFonts w:ascii="Times New Roman;Times;serif" w:hAnsi="Times New Roman;Times;serif"/>
                  <w:sz w:val="20"/>
                </w:rPr>
                <w:t>6</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0"/>
              <w:ind w:left="0" w:right="0" w:hanging="0"/>
              <w:jc w:val="both"/>
              <w:rPr/>
            </w:pPr>
            <w:hyperlink w:anchor="cf">
              <w:r>
                <w:rPr>
                  <w:rStyle w:val="InternetLink"/>
                  <w:rFonts w:ascii="Times New Roman;Times;serif" w:hAnsi="Times New Roman;Times;serif"/>
                  <w:caps w:val="false"/>
                  <w:smallCaps w:val="false"/>
                  <w:sz w:val="20"/>
                </w:rPr>
                <w:t>Condensed Consolidated Statements of Cash Flows (unaudited) Six Months Ended June 27, 2026 and June 28, 2025</w:t>
              </w:r>
            </w:hyperlink>
          </w:p>
        </w:tc>
        <w:tc>
          <w:tcPr>
            <w:tcW w:w="798" w:type="dxa"/>
            <w:tcBorders/>
            <w:vAlign w:val="center"/>
          </w:tcPr>
          <w:p>
            <w:pPr>
              <w:pStyle w:val="TableContents"/>
              <w:bidi w:val="0"/>
              <w:spacing w:before="0" w:after="283"/>
              <w:jc w:val="right"/>
              <w:rPr/>
            </w:pPr>
            <w:hyperlink w:anchor="cf">
              <w:r>
                <w:rPr>
                  <w:rStyle w:val="InternetLink"/>
                  <w:rFonts w:ascii="Times New Roman;Times;serif" w:hAnsi="Times New Roman;Times;serif"/>
                  <w:sz w:val="20"/>
                </w:rPr>
                <w:t>7</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0"/>
              <w:ind w:left="0" w:right="0" w:hanging="0"/>
              <w:jc w:val="both"/>
              <w:rPr/>
            </w:pPr>
            <w:hyperlink w:anchor="notes">
              <w:r>
                <w:rPr>
                  <w:rStyle w:val="InternetLink"/>
                  <w:rFonts w:ascii="Times New Roman;Times;serif" w:hAnsi="Times New Roman;Times;serif"/>
                  <w:caps w:val="false"/>
                  <w:smallCaps w:val="false"/>
                  <w:sz w:val="20"/>
                </w:rPr>
                <w:t>Notes to Unaudited Condensed Consolidated Financial Statements</w:t>
              </w:r>
            </w:hyperlink>
          </w:p>
        </w:tc>
        <w:tc>
          <w:tcPr>
            <w:tcW w:w="798" w:type="dxa"/>
            <w:tcBorders/>
            <w:vAlign w:val="center"/>
          </w:tcPr>
          <w:p>
            <w:pPr>
              <w:pStyle w:val="TableContents"/>
              <w:bidi w:val="0"/>
              <w:spacing w:before="0" w:after="283"/>
              <w:jc w:val="right"/>
              <w:rPr/>
            </w:pPr>
            <w:hyperlink w:anchor="notes">
              <w:r>
                <w:rPr>
                  <w:rStyle w:val="InternetLink"/>
                  <w:rFonts w:ascii="Times New Roman;Times;serif" w:hAnsi="Times New Roman;Times;serif"/>
                  <w:sz w:val="20"/>
                </w:rPr>
                <w:t>8</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507" w:type="dxa"/>
            <w:tcBorders/>
            <w:vAlign w:val="center"/>
          </w:tcPr>
          <w:p>
            <w:pPr>
              <w:pStyle w:val="TableContents"/>
              <w:bidi w:val="0"/>
              <w:spacing w:before="0" w:after="0"/>
              <w:ind w:left="0" w:right="0" w:hanging="0"/>
              <w:jc w:val="both"/>
              <w:rPr/>
            </w:pPr>
            <w:hyperlink w:anchor="item_2">
              <w:r>
                <w:rPr>
                  <w:rStyle w:val="InternetLink"/>
                  <w:rFonts w:ascii="Times New Roman;Times;serif" w:hAnsi="Times New Roman;Times;serif"/>
                  <w:caps w:val="false"/>
                  <w:smallCaps w:val="false"/>
                  <w:sz w:val="20"/>
                </w:rPr>
                <w:t>Management's Discussion and Analysis of Financial Condition and Results of Operations</w:t>
              </w:r>
            </w:hyperlink>
          </w:p>
        </w:tc>
        <w:tc>
          <w:tcPr>
            <w:tcW w:w="798" w:type="dxa"/>
            <w:tcBorders/>
            <w:vAlign w:val="center"/>
          </w:tcPr>
          <w:p>
            <w:pPr>
              <w:pStyle w:val="TableContents"/>
              <w:bidi w:val="0"/>
              <w:spacing w:before="0" w:after="283"/>
              <w:jc w:val="right"/>
              <w:rPr/>
            </w:pPr>
            <w:hyperlink w:anchor="item_2">
              <w:r>
                <w:rPr>
                  <w:rStyle w:val="InternetLink"/>
                  <w:rFonts w:ascii="Times New Roman;Times;serif" w:hAnsi="Times New Roman;Times;serif"/>
                  <w:sz w:val="20"/>
                </w:rPr>
                <w:t>31</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507" w:type="dxa"/>
            <w:tcBorders/>
            <w:vAlign w:val="center"/>
          </w:tcPr>
          <w:p>
            <w:pPr>
              <w:pStyle w:val="TableContents"/>
              <w:bidi w:val="0"/>
              <w:spacing w:before="0" w:after="0"/>
              <w:ind w:left="0" w:right="0" w:hanging="0"/>
              <w:jc w:val="both"/>
              <w:rPr/>
            </w:pPr>
            <w:hyperlink w:anchor="item_3">
              <w:r>
                <w:rPr>
                  <w:rStyle w:val="InternetLink"/>
                  <w:rFonts w:ascii="Times New Roman;Times;serif" w:hAnsi="Times New Roman;Times;serif"/>
                  <w:caps w:val="false"/>
                  <w:smallCaps w:val="false"/>
                  <w:sz w:val="20"/>
                </w:rPr>
                <w:t>Quantitative and Qualitative Disclosures About Market Risk</w:t>
              </w:r>
            </w:hyperlink>
          </w:p>
        </w:tc>
        <w:tc>
          <w:tcPr>
            <w:tcW w:w="798" w:type="dxa"/>
            <w:tcBorders/>
            <w:vAlign w:val="center"/>
          </w:tcPr>
          <w:p>
            <w:pPr>
              <w:pStyle w:val="TableContents"/>
              <w:bidi w:val="0"/>
              <w:spacing w:before="0" w:after="283"/>
              <w:jc w:val="right"/>
              <w:rPr/>
            </w:pPr>
            <w:hyperlink w:anchor="item_3">
              <w:r>
                <w:rPr>
                  <w:rStyle w:val="InternetLink"/>
                  <w:rFonts w:ascii="Times New Roman;Times;serif" w:hAnsi="Times New Roman;Times;serif"/>
                  <w:sz w:val="20"/>
                </w:rPr>
                <w:t>42</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507" w:type="dxa"/>
            <w:tcBorders/>
            <w:vAlign w:val="center"/>
          </w:tcPr>
          <w:p>
            <w:pPr>
              <w:pStyle w:val="TableContents"/>
              <w:bidi w:val="0"/>
              <w:spacing w:before="0" w:after="0"/>
              <w:ind w:left="0" w:right="0" w:hanging="0"/>
              <w:jc w:val="both"/>
              <w:rPr/>
            </w:pPr>
            <w:hyperlink w:anchor="item_4">
              <w:r>
                <w:rPr>
                  <w:rStyle w:val="InternetLink"/>
                  <w:rFonts w:ascii="Times New Roman;Times;serif" w:hAnsi="Times New Roman;Times;serif"/>
                  <w:caps w:val="false"/>
                  <w:smallCaps w:val="false"/>
                  <w:sz w:val="20"/>
                </w:rPr>
                <w:t>Controls and Procedures</w:t>
              </w:r>
            </w:hyperlink>
          </w:p>
        </w:tc>
        <w:tc>
          <w:tcPr>
            <w:tcW w:w="798" w:type="dxa"/>
            <w:tcBorders/>
            <w:vAlign w:val="center"/>
          </w:tcPr>
          <w:p>
            <w:pPr>
              <w:pStyle w:val="TableContents"/>
              <w:bidi w:val="0"/>
              <w:spacing w:before="0" w:after="283"/>
              <w:jc w:val="right"/>
              <w:rPr/>
            </w:pPr>
            <w:hyperlink w:anchor="item_4">
              <w:r>
                <w:rPr>
                  <w:rStyle w:val="InternetLink"/>
                  <w:rFonts w:ascii="Times New Roman;Times;serif" w:hAnsi="Times New Roman;Times;serif"/>
                  <w:sz w:val="20"/>
                </w:rPr>
                <w:t>43</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left"/>
              <w:rPr/>
            </w:pPr>
            <w:r>
              <w:rPr/>
              <w:t> </w:t>
            </w:r>
          </w:p>
        </w:tc>
        <w:tc>
          <w:tcPr>
            <w:tcW w:w="263" w:type="dxa"/>
            <w:tcBorders/>
            <w:vAlign w:val="center"/>
          </w:tcPr>
          <w:p>
            <w:pPr>
              <w:pStyle w:val="TableContents"/>
              <w:bidi w:val="0"/>
              <w:spacing w:before="0" w:after="283"/>
              <w:jc w:val="lef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Part II</w:t>
            </w:r>
          </w:p>
        </w:tc>
        <w:tc>
          <w:tcPr>
            <w:tcW w:w="8507" w:type="dxa"/>
            <w:tcBorders/>
            <w:vAlign w:val="center"/>
          </w:tcPr>
          <w:p>
            <w:pPr>
              <w:pStyle w:val="TableContents"/>
              <w:bidi w:val="0"/>
              <w:spacing w:before="0" w:after="0"/>
              <w:ind w:left="0" w:right="0" w:hanging="0"/>
              <w:jc w:val="both"/>
              <w:rPr/>
            </w:pPr>
            <w:hyperlink w:anchor="p2">
              <w:r>
                <w:rPr>
                  <w:rStyle w:val="InternetLink"/>
                  <w:rFonts w:ascii="Times New Roman;Times;serif" w:hAnsi="Times New Roman;Times;serif"/>
                  <w:b/>
                  <w:caps w:val="false"/>
                  <w:smallCaps w:val="false"/>
                  <w:sz w:val="20"/>
                </w:rPr>
                <w:t>Other Information</w:t>
              </w:r>
            </w:hyperlink>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w:t>
            </w:r>
          </w:p>
        </w:tc>
        <w:tc>
          <w:tcPr>
            <w:tcW w:w="8507" w:type="dxa"/>
            <w:tcBorders/>
            <w:vAlign w:val="center"/>
          </w:tcPr>
          <w:p>
            <w:pPr>
              <w:pStyle w:val="TableContents"/>
              <w:bidi w:val="0"/>
              <w:spacing w:before="0" w:after="0"/>
              <w:ind w:left="0" w:right="0" w:hanging="0"/>
              <w:jc w:val="both"/>
              <w:rPr/>
            </w:pPr>
            <w:hyperlink w:anchor="item1">
              <w:r>
                <w:rPr>
                  <w:rStyle w:val="InternetLink"/>
                  <w:rFonts w:ascii="Times New Roman;Times;serif" w:hAnsi="Times New Roman;Times;serif"/>
                  <w:caps w:val="false"/>
                  <w:smallCaps w:val="false"/>
                  <w:sz w:val="20"/>
                </w:rPr>
                <w:t>Legal Proceedings</w:t>
              </w:r>
            </w:hyperlink>
          </w:p>
        </w:tc>
        <w:tc>
          <w:tcPr>
            <w:tcW w:w="798" w:type="dxa"/>
            <w:tcBorders/>
            <w:vAlign w:val="center"/>
          </w:tcPr>
          <w:p>
            <w:pPr>
              <w:pStyle w:val="TableContents"/>
              <w:bidi w:val="0"/>
              <w:spacing w:before="0" w:after="283"/>
              <w:jc w:val="right"/>
              <w:rPr/>
            </w:pPr>
            <w:hyperlink w:anchor="item1">
              <w:r>
                <w:rPr>
                  <w:rStyle w:val="InternetLink"/>
                  <w:rFonts w:ascii="Times New Roman;Times;serif" w:hAnsi="Times New Roman;Times;serif"/>
                  <w:sz w:val="20"/>
                </w:rPr>
                <w:t>44</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1A.</w:t>
            </w:r>
          </w:p>
        </w:tc>
        <w:tc>
          <w:tcPr>
            <w:tcW w:w="8507" w:type="dxa"/>
            <w:tcBorders/>
            <w:vAlign w:val="center"/>
          </w:tcPr>
          <w:p>
            <w:pPr>
              <w:pStyle w:val="TableContents"/>
              <w:bidi w:val="0"/>
              <w:spacing w:before="0" w:after="0"/>
              <w:ind w:left="0" w:right="0" w:hanging="0"/>
              <w:jc w:val="both"/>
              <w:rPr/>
            </w:pPr>
            <w:hyperlink w:anchor="item1a">
              <w:r>
                <w:rPr>
                  <w:rStyle w:val="InternetLink"/>
                  <w:rFonts w:ascii="Times New Roman;Times;serif" w:hAnsi="Times New Roman;Times;serif"/>
                  <w:caps w:val="false"/>
                  <w:smallCaps w:val="false"/>
                  <w:sz w:val="20"/>
                </w:rPr>
                <w:t>Risk Factors</w:t>
              </w:r>
            </w:hyperlink>
          </w:p>
        </w:tc>
        <w:tc>
          <w:tcPr>
            <w:tcW w:w="798" w:type="dxa"/>
            <w:tcBorders/>
            <w:vAlign w:val="center"/>
          </w:tcPr>
          <w:p>
            <w:pPr>
              <w:pStyle w:val="TableContents"/>
              <w:bidi w:val="0"/>
              <w:spacing w:before="0" w:after="283"/>
              <w:jc w:val="right"/>
              <w:rPr/>
            </w:pPr>
            <w:hyperlink w:anchor="item1a">
              <w:r>
                <w:rPr>
                  <w:rStyle w:val="InternetLink"/>
                  <w:rFonts w:ascii="Times New Roman;Times;serif" w:hAnsi="Times New Roman;Times;serif"/>
                  <w:sz w:val="20"/>
                </w:rPr>
                <w:t>44</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2.</w:t>
            </w:r>
          </w:p>
        </w:tc>
        <w:tc>
          <w:tcPr>
            <w:tcW w:w="8507" w:type="dxa"/>
            <w:tcBorders/>
            <w:vAlign w:val="center"/>
          </w:tcPr>
          <w:p>
            <w:pPr>
              <w:pStyle w:val="TableContents"/>
              <w:bidi w:val="0"/>
              <w:spacing w:before="0" w:after="0"/>
              <w:ind w:left="0" w:right="0" w:hanging="0"/>
              <w:jc w:val="both"/>
              <w:rPr/>
            </w:pPr>
            <w:hyperlink w:anchor="item2">
              <w:r>
                <w:rPr>
                  <w:rStyle w:val="InternetLink"/>
                  <w:rFonts w:ascii="Times New Roman;Times;serif" w:hAnsi="Times New Roman;Times;serif"/>
                  <w:caps w:val="false"/>
                  <w:smallCaps w:val="false"/>
                  <w:sz w:val="20"/>
                </w:rPr>
                <w:t>Unregistered Sales of Equity Securities and Use of Proceeds</w:t>
              </w:r>
            </w:hyperlink>
          </w:p>
        </w:tc>
        <w:tc>
          <w:tcPr>
            <w:tcW w:w="798" w:type="dxa"/>
            <w:tcBorders/>
            <w:vAlign w:val="center"/>
          </w:tcPr>
          <w:p>
            <w:pPr>
              <w:pStyle w:val="TableContents"/>
              <w:bidi w:val="0"/>
              <w:spacing w:before="0" w:after="283"/>
              <w:jc w:val="right"/>
              <w:rPr/>
            </w:pPr>
            <w:hyperlink w:anchor="item2">
              <w:r>
                <w:rPr>
                  <w:rStyle w:val="InternetLink"/>
                  <w:rFonts w:ascii="Times New Roman;Times;serif" w:hAnsi="Times New Roman;Times;serif"/>
                  <w:sz w:val="20"/>
                </w:rPr>
                <w:t>44</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3.</w:t>
            </w:r>
          </w:p>
        </w:tc>
        <w:tc>
          <w:tcPr>
            <w:tcW w:w="8507" w:type="dxa"/>
            <w:tcBorders/>
            <w:vAlign w:val="center"/>
          </w:tcPr>
          <w:p>
            <w:pPr>
              <w:pStyle w:val="TableContents"/>
              <w:bidi w:val="0"/>
              <w:spacing w:before="0" w:after="0"/>
              <w:ind w:left="0" w:right="0" w:hanging="0"/>
              <w:jc w:val="both"/>
              <w:rPr/>
            </w:pPr>
            <w:hyperlink w:anchor="item3">
              <w:r>
                <w:rPr>
                  <w:rStyle w:val="InternetLink"/>
                  <w:rFonts w:ascii="Times New Roman;Times;serif" w:hAnsi="Times New Roman;Times;serif"/>
                  <w:caps w:val="false"/>
                  <w:smallCaps w:val="false"/>
                  <w:sz w:val="20"/>
                </w:rPr>
                <w:t>Defaults Upon Senior Securities</w:t>
              </w:r>
            </w:hyperlink>
          </w:p>
        </w:tc>
        <w:tc>
          <w:tcPr>
            <w:tcW w:w="798" w:type="dxa"/>
            <w:tcBorders/>
            <w:vAlign w:val="center"/>
          </w:tcPr>
          <w:p>
            <w:pPr>
              <w:pStyle w:val="TableContents"/>
              <w:bidi w:val="0"/>
              <w:spacing w:before="0" w:after="283"/>
              <w:jc w:val="right"/>
              <w:rPr/>
            </w:pPr>
            <w:hyperlink w:anchor="item3">
              <w:r>
                <w:rPr>
                  <w:rStyle w:val="InternetLink"/>
                  <w:rFonts w:ascii="Times New Roman;Times;serif" w:hAnsi="Times New Roman;Times;serif"/>
                  <w:sz w:val="20"/>
                </w:rPr>
                <w:t>44</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4.</w:t>
            </w:r>
          </w:p>
        </w:tc>
        <w:tc>
          <w:tcPr>
            <w:tcW w:w="8507" w:type="dxa"/>
            <w:tcBorders/>
            <w:vAlign w:val="center"/>
          </w:tcPr>
          <w:p>
            <w:pPr>
              <w:pStyle w:val="TableContents"/>
              <w:bidi w:val="0"/>
              <w:spacing w:before="0" w:after="0"/>
              <w:ind w:left="0" w:right="0" w:hanging="0"/>
              <w:jc w:val="both"/>
              <w:rPr/>
            </w:pPr>
            <w:hyperlink w:anchor="item4">
              <w:r>
                <w:rPr>
                  <w:rStyle w:val="InternetLink"/>
                  <w:rFonts w:ascii="Times New Roman;Times;serif" w:hAnsi="Times New Roman;Times;serif"/>
                  <w:caps w:val="false"/>
                  <w:smallCaps w:val="false"/>
                  <w:sz w:val="20"/>
                </w:rPr>
                <w:t>Mine Safety Disclosures</w:t>
              </w:r>
            </w:hyperlink>
          </w:p>
        </w:tc>
        <w:tc>
          <w:tcPr>
            <w:tcW w:w="798" w:type="dxa"/>
            <w:tcBorders/>
            <w:vAlign w:val="center"/>
          </w:tcPr>
          <w:p>
            <w:pPr>
              <w:pStyle w:val="TableContents"/>
              <w:bidi w:val="0"/>
              <w:spacing w:before="0" w:after="283"/>
              <w:jc w:val="right"/>
              <w:rPr/>
            </w:pPr>
            <w:hyperlink w:anchor="item4">
              <w:r>
                <w:rPr>
                  <w:rStyle w:val="InternetLink"/>
                  <w:rFonts w:ascii="Times New Roman;Times;serif" w:hAnsi="Times New Roman;Times;serif"/>
                  <w:sz w:val="20"/>
                </w:rPr>
                <w:t>44</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5.</w:t>
            </w:r>
          </w:p>
        </w:tc>
        <w:tc>
          <w:tcPr>
            <w:tcW w:w="8507" w:type="dxa"/>
            <w:tcBorders/>
            <w:vAlign w:val="center"/>
          </w:tcPr>
          <w:p>
            <w:pPr>
              <w:pStyle w:val="TableContents"/>
              <w:bidi w:val="0"/>
              <w:spacing w:before="0" w:after="0"/>
              <w:ind w:left="0" w:right="0" w:hanging="0"/>
              <w:jc w:val="both"/>
              <w:rPr/>
            </w:pPr>
            <w:hyperlink w:anchor="item5">
              <w:r>
                <w:rPr>
                  <w:rStyle w:val="InternetLink"/>
                  <w:rFonts w:ascii="Times New Roman;Times;serif" w:hAnsi="Times New Roman;Times;serif"/>
                  <w:caps w:val="false"/>
                  <w:smallCaps w:val="false"/>
                  <w:sz w:val="20"/>
                </w:rPr>
                <w:t>Other Information</w:t>
              </w:r>
            </w:hyperlink>
          </w:p>
        </w:tc>
        <w:tc>
          <w:tcPr>
            <w:tcW w:w="798" w:type="dxa"/>
            <w:tcBorders/>
            <w:vAlign w:val="center"/>
          </w:tcPr>
          <w:p>
            <w:pPr>
              <w:pStyle w:val="TableContents"/>
              <w:bidi w:val="0"/>
              <w:spacing w:before="0" w:after="283"/>
              <w:jc w:val="right"/>
              <w:rPr/>
            </w:pPr>
            <w:hyperlink w:anchor="item5">
              <w:r>
                <w:rPr>
                  <w:rStyle w:val="InternetLink"/>
                  <w:rFonts w:ascii="Times New Roman;Times;serif" w:hAnsi="Times New Roman;Times;serif"/>
                  <w:sz w:val="20"/>
                </w:rPr>
                <w:t>45</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Item 6.</w:t>
            </w:r>
          </w:p>
        </w:tc>
        <w:tc>
          <w:tcPr>
            <w:tcW w:w="8507" w:type="dxa"/>
            <w:tcBorders/>
            <w:vAlign w:val="center"/>
          </w:tcPr>
          <w:p>
            <w:pPr>
              <w:pStyle w:val="TableContents"/>
              <w:bidi w:val="0"/>
              <w:spacing w:before="0" w:after="0"/>
              <w:ind w:left="0" w:right="0" w:hanging="0"/>
              <w:jc w:val="both"/>
              <w:rPr/>
            </w:pPr>
            <w:hyperlink w:anchor="exhibits">
              <w:r>
                <w:rPr>
                  <w:rStyle w:val="InternetLink"/>
                  <w:rFonts w:ascii="Times New Roman;Times;serif" w:hAnsi="Times New Roman;Times;serif"/>
                  <w:caps w:val="false"/>
                  <w:smallCaps w:val="false"/>
                  <w:sz w:val="20"/>
                </w:rPr>
                <w:t>Exhibits</w:t>
              </w:r>
            </w:hyperlink>
          </w:p>
        </w:tc>
        <w:tc>
          <w:tcPr>
            <w:tcW w:w="798" w:type="dxa"/>
            <w:tcBorders/>
            <w:vAlign w:val="center"/>
          </w:tcPr>
          <w:p>
            <w:pPr>
              <w:pStyle w:val="TableContents"/>
              <w:bidi w:val="0"/>
              <w:spacing w:before="0" w:after="283"/>
              <w:jc w:val="right"/>
              <w:rPr/>
            </w:pPr>
            <w:hyperlink w:anchor="exhibits">
              <w:r>
                <w:rPr>
                  <w:rStyle w:val="InternetLink"/>
                  <w:rFonts w:ascii="Times New Roman;Times;serif" w:hAnsi="Times New Roman;Times;serif"/>
                  <w:sz w:val="20"/>
                </w:rPr>
                <w:t>46</w:t>
              </w:r>
            </w:hyperlink>
          </w:p>
        </w:tc>
        <w:tc>
          <w:tcPr>
            <w:tcW w:w="263" w:type="dxa"/>
            <w:tcBorders/>
            <w:vAlign w:val="center"/>
          </w:tcPr>
          <w:p>
            <w:pPr>
              <w:pStyle w:val="TableContents"/>
              <w:bidi w:val="0"/>
              <w:spacing w:before="0" w:after="283"/>
              <w:jc w:val="right"/>
              <w:rPr/>
            </w:pPr>
            <w:r>
              <w:rPr/>
              <w:t> </w:t>
            </w:r>
          </w:p>
        </w:tc>
      </w:tr>
      <w:tr>
        <w:trPr/>
        <w:tc>
          <w:tcPr>
            <w:tcW w:w="637" w:type="dxa"/>
            <w:tcBorders/>
            <w:vAlign w:val="center"/>
          </w:tcPr>
          <w:p>
            <w:pPr>
              <w:pStyle w:val="TableContents"/>
              <w:bidi w:val="0"/>
              <w:spacing w:before="0" w:after="283"/>
              <w:jc w:val="left"/>
              <w:rPr/>
            </w:pPr>
            <w:r>
              <w:rPr/>
              <w:t> </w:t>
            </w:r>
          </w:p>
        </w:tc>
        <w:tc>
          <w:tcPr>
            <w:tcW w:w="8507" w:type="dxa"/>
            <w:tcBorders/>
            <w:vAlign w:val="center"/>
          </w:tcPr>
          <w:p>
            <w:pPr>
              <w:pStyle w:val="TableContents"/>
              <w:bidi w:val="0"/>
              <w:spacing w:before="0" w:after="283"/>
              <w:jc w:val="left"/>
              <w:rPr/>
            </w:pPr>
            <w:r>
              <w:rPr/>
              <w:t> </w:t>
            </w:r>
          </w:p>
        </w:tc>
        <w:tc>
          <w:tcPr>
            <w:tcW w:w="798" w:type="dxa"/>
            <w:tcBorders/>
            <w:vAlign w:val="center"/>
          </w:tcPr>
          <w:p>
            <w:pPr>
              <w:pStyle w:val="TableContents"/>
              <w:bidi w:val="0"/>
              <w:spacing w:before="0" w:after="283"/>
              <w:jc w:val="right"/>
              <w:rPr/>
            </w:pPr>
            <w:r>
              <w:rPr/>
              <w:t> </w:t>
            </w:r>
          </w:p>
        </w:tc>
        <w:tc>
          <w:tcPr>
            <w:tcW w:w="263" w:type="dxa"/>
            <w:tcBorders/>
            <w:vAlign w:val="center"/>
          </w:tcPr>
          <w:p>
            <w:pPr>
              <w:pStyle w:val="TableContents"/>
              <w:bidi w:val="0"/>
              <w:spacing w:before="0" w:after="283"/>
              <w:jc w:val="right"/>
              <w:rPr/>
            </w:pPr>
            <w:r>
              <w:rPr/>
              <w:t> </w:t>
            </w:r>
          </w:p>
        </w:tc>
      </w:tr>
      <w:tr>
        <w:trPr/>
        <w:tc>
          <w:tcPr>
            <w:tcW w:w="9144" w:type="dxa"/>
            <w:gridSpan w:val="2"/>
            <w:tcBorders/>
            <w:vAlign w:val="center"/>
          </w:tcPr>
          <w:p>
            <w:pPr>
              <w:pStyle w:val="TableContents"/>
              <w:bidi w:val="0"/>
              <w:spacing w:before="0" w:after="0"/>
              <w:ind w:left="0" w:right="0" w:hanging="0"/>
              <w:jc w:val="both"/>
              <w:rPr/>
            </w:pPr>
            <w:hyperlink w:anchor="signatures">
              <w:r>
                <w:rPr>
                  <w:rStyle w:val="InternetLink"/>
                  <w:rFonts w:ascii="Times New Roman;Times;serif" w:hAnsi="Times New Roman;Times;serif"/>
                  <w:caps w:val="false"/>
                  <w:smallCaps w:val="false"/>
                  <w:sz w:val="20"/>
                </w:rPr>
                <w:t>Signatures</w:t>
              </w:r>
            </w:hyperlink>
          </w:p>
        </w:tc>
        <w:tc>
          <w:tcPr>
            <w:tcW w:w="798" w:type="dxa"/>
            <w:tcBorders/>
            <w:vAlign w:val="center"/>
          </w:tcPr>
          <w:p>
            <w:pPr>
              <w:pStyle w:val="TableContents"/>
              <w:bidi w:val="0"/>
              <w:spacing w:before="0" w:after="283"/>
              <w:jc w:val="right"/>
              <w:rPr/>
            </w:pPr>
            <w:hyperlink w:anchor="signatures">
              <w:r>
                <w:rPr>
                  <w:rStyle w:val="InternetLink"/>
                  <w:rFonts w:ascii="Times New Roman;Times;serif" w:hAnsi="Times New Roman;Times;serif"/>
                  <w:sz w:val="20"/>
                </w:rPr>
                <w:t>47</w:t>
              </w:r>
            </w:hyperlink>
          </w:p>
        </w:tc>
        <w:tc>
          <w:tcPr>
            <w:tcW w:w="263" w:type="dxa"/>
            <w:tcBorders/>
            <w:vAlign w:val="center"/>
          </w:tcPr>
          <w:p>
            <w:pPr>
              <w:pStyle w:val="TableContents"/>
              <w:bidi w:val="0"/>
              <w:spacing w:before="0" w:after="283"/>
              <w:jc w:val="righ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pPr>
      <w:r>
        <w:rPr/>
        <w:t>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283"/>
        <w:jc w:val="left"/>
        <w:rPr/>
      </w:pPr>
      <w:r>
        <w:rPr/>
        <w:t> </w:t>
      </w:r>
    </w:p>
    <w:p>
      <w:pPr>
        <w:pStyle w:val="TextBody"/>
        <w:bidi w:val="0"/>
        <w:spacing w:before="0" w:after="0"/>
        <w:ind w:left="0" w:right="0" w:hanging="0"/>
        <w:jc w:val="left"/>
        <w:rPr/>
      </w:pPr>
      <w:r>
        <w:rPr/>
        <w:t> </w:t>
      </w:r>
    </w:p>
    <w:p>
      <w:pPr>
        <w:pStyle w:val="TextBody"/>
        <w:bidi w:val="0"/>
        <w:spacing w:before="0" w:after="0"/>
        <w:jc w:val="left"/>
        <w:rPr/>
      </w:pPr>
      <w:r>
        <w:rPr/>
        <w:t> </w:t>
      </w:r>
    </w:p>
    <w:tbl>
      <w:tblPr>
        <w:tblW w:w="4625" w:type="dxa"/>
        <w:jc w:val="left"/>
        <w:tblInd w:w="0" w:type="dxa"/>
        <w:tblLayout w:type="fixed"/>
        <w:tblCellMar>
          <w:top w:w="0" w:type="dxa"/>
          <w:left w:w="0" w:type="dxa"/>
          <w:bottom w:w="0" w:type="dxa"/>
          <w:right w:w="0" w:type="dxa"/>
        </w:tblCellMar>
      </w:tblPr>
      <w:tblGrid>
        <w:gridCol w:w="4625"/>
      </w:tblGrid>
      <w:tr>
        <w:trPr/>
        <w:tc>
          <w:tcPr>
            <w:tcW w:w="462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3" w:name="item_1"/>
            <w:bookmarkEnd w:id="3"/>
            <w:r>
              <w:rPr>
                <w:rFonts w:ascii="Times New Roman" w:hAnsi="Times New Roman"/>
                <w:b/>
                <w:caps w:val="false"/>
                <w:smallCaps w:val="false"/>
                <w:sz w:val="20"/>
              </w:rPr>
              <w:t>Item 1.</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4" w:name="bs"/>
            <w:bookmarkEnd w:id="4"/>
            <w:r>
              <w:rPr>
                <w:rFonts w:ascii="Times New Roman" w:hAnsi="Times New Roman"/>
                <w:b/>
                <w:caps w:val="false"/>
                <w:smallCaps w:val="false"/>
                <w:sz w:val="20"/>
              </w:rPr>
              <w:t>COHU, INC.</w:t>
            </w:r>
          </w:p>
        </w:tc>
      </w:tr>
      <w:tr>
        <w:trPr/>
        <w:tc>
          <w:tcPr>
            <w:tcW w:w="4625"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BALANCE SHEETS</w:t>
            </w:r>
          </w:p>
        </w:tc>
      </w:tr>
      <w:tr>
        <w:trPr/>
        <w:tc>
          <w:tcPr>
            <w:tcW w:w="4625"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par value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7887"/>
        <w:gridCol w:w="60"/>
        <w:gridCol w:w="126"/>
        <w:gridCol w:w="856"/>
        <w:gridCol w:w="80"/>
        <w:gridCol w:w="60"/>
        <w:gridCol w:w="135"/>
        <w:gridCol w:w="919"/>
        <w:gridCol w:w="82"/>
      </w:tblGrid>
      <w:tr>
        <w:trPr/>
        <w:tc>
          <w:tcPr>
            <w:tcW w:w="7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82" w:type="dxa"/>
            <w:tcBorders/>
            <w:vAlign w:val="center"/>
          </w:tcPr>
          <w:p>
            <w:pPr>
              <w:pStyle w:val="TableContents"/>
              <w:bidi w:val="0"/>
              <w:spacing w:before="0" w:after="283"/>
              <w:jc w:val="left"/>
              <w:rPr/>
            </w:pPr>
            <w:r>
              <w:rPr/>
              <w:t> </w:t>
            </w:r>
          </w:p>
        </w:tc>
      </w:tr>
      <w:tr>
        <w:trPr/>
        <w:tc>
          <w:tcPr>
            <w:tcW w:w="7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8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5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 *</w:t>
            </w:r>
          </w:p>
        </w:tc>
        <w:tc>
          <w:tcPr>
            <w:tcW w:w="82" w:type="dxa"/>
            <w:tcBorders/>
            <w:vAlign w:val="center"/>
          </w:tcPr>
          <w:p>
            <w:pPr>
              <w:pStyle w:val="TableContents"/>
              <w:bidi w:val="0"/>
              <w:spacing w:before="0" w:after="283"/>
              <w:jc w:val="left"/>
              <w:rPr/>
            </w:pPr>
            <w:r>
              <w:rPr/>
              <w:t> </w:t>
            </w:r>
          </w:p>
        </w:tc>
      </w:tr>
      <w:tr>
        <w:trPr/>
        <w:tc>
          <w:tcPr>
            <w:tcW w:w="7887"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(Unaudited)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5" w:type="dxa"/>
            <w:tcBorders/>
            <w:vAlign w:val="center"/>
          </w:tcPr>
          <w:p>
            <w:pPr>
              <w:pStyle w:val="TableContents"/>
              <w:bidi w:val="0"/>
              <w:spacing w:before="0" w:after="283"/>
              <w:jc w:val="left"/>
              <w:rPr/>
            </w:pPr>
            <w:r>
              <w:rPr/>
              <w:t> </w:t>
            </w:r>
          </w:p>
        </w:tc>
        <w:tc>
          <w:tcPr>
            <w:tcW w:w="919" w:type="dxa"/>
            <w:tcBorders/>
            <w:vAlign w:val="center"/>
          </w:tcPr>
          <w:p>
            <w:pPr>
              <w:pStyle w:val="TableContents"/>
              <w:bidi w:val="0"/>
              <w:spacing w:before="0" w:after="283"/>
              <w:jc w:val="center"/>
              <w:rPr/>
            </w:pPr>
            <w:r>
              <w:rPr/>
              <w:t> </w:t>
            </w:r>
          </w:p>
        </w:tc>
        <w:tc>
          <w:tcPr>
            <w:tcW w:w="82" w:type="dxa"/>
            <w:tcBorders/>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investments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256,928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122,743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108,754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140,334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Prepaid expenses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21,541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24,356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5,857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3,893</w:t>
            </w:r>
          </w:p>
        </w:tc>
        <w:tc>
          <w:tcPr>
            <w:tcW w:w="82"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assets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788,642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749,990</w:t>
            </w:r>
          </w:p>
        </w:tc>
        <w:tc>
          <w:tcPr>
            <w:tcW w:w="82"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278,891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283,027</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 net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64,194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79,272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24,435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 of use assets</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p>
        </w:tc>
        <w:tc>
          <w:tcPr>
            <w:tcW w:w="82"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p>
        </w:tc>
        <w:tc>
          <w:tcPr>
            <w:tcW w:w="82"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b/>
                <w:caps w:val="false"/>
                <w:smallCaps w:val="false"/>
                <w:sz w:val="20"/>
              </w:rPr>
              <w:t>LIABILITIES AND STOCKHOLDERS</w:t>
            </w:r>
            <w:r>
              <w:rPr>
                <w:rFonts w:ascii="Times New Roman;Times;serif" w:hAnsi="Times New Roman;Times;serif"/>
                <w:caps w:val="false"/>
                <w:smallCaps w:val="false"/>
                <w:sz w:val="20"/>
              </w:rPr>
              <w:t xml:space="preserve">’ </w:t>
            </w:r>
            <w:r>
              <w:rPr>
                <w:rFonts w:ascii="Times New Roman;Times;serif" w:hAnsi="Times New Roman;Times;serif"/>
                <w:b/>
                <w:caps w:val="false"/>
                <w:smallCaps w:val="false"/>
                <w:sz w:val="20"/>
              </w:rPr>
              <w:t>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borrowings</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9,976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9,807</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installments of long-term debt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1,244</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40,708</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2,802</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and benefits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22,463</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8,258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8,626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warranty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4,179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3,603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16,460</w:t>
            </w:r>
          </w:p>
        </w:tc>
        <w:tc>
          <w:tcPr>
            <w:tcW w:w="82"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current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109,078</w:t>
            </w:r>
          </w:p>
        </w:tc>
        <w:tc>
          <w:tcPr>
            <w:tcW w:w="82"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debt</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285,026</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15,469</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 income tax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3,975</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retirement benefits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5,472</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31,693</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6,730</w:t>
            </w:r>
          </w:p>
        </w:tc>
        <w:tc>
          <w:tcPr>
            <w:tcW w:w="82" w:type="dxa"/>
            <w:tcBorders/>
            <w:shd w:fill="FFFFFF" w:val="clear"/>
            <w:vAlign w:val="center"/>
          </w:tcPr>
          <w:p>
            <w:pPr>
              <w:pStyle w:val="TableContents"/>
              <w:bidi w:val="0"/>
              <w:spacing w:before="0" w:after="283"/>
              <w:jc w:val="left"/>
              <w:rPr/>
            </w:pPr>
            <w:r>
              <w:rPr/>
              <w:t> </w:t>
            </w:r>
          </w:p>
        </w:tc>
      </w:tr>
      <w:tr>
        <w:trPr/>
        <w:tc>
          <w:tcPr>
            <w:tcW w:w="7887"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jc w:val="left"/>
              <w:rPr/>
            </w:pPr>
            <w:r>
              <w:rPr/>
              <w:t> </w:t>
            </w:r>
          </w:p>
        </w:tc>
        <w:tc>
          <w:tcPr>
            <w:tcW w:w="856"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jc w:val="left"/>
              <w:rPr/>
            </w:pPr>
            <w:r>
              <w:rPr/>
              <w:t> </w:t>
            </w:r>
          </w:p>
        </w:tc>
        <w:tc>
          <w:tcPr>
            <w:tcW w:w="919" w:type="dxa"/>
            <w:tcBorders/>
            <w:shd w:fill="CCEEFF" w:val="clear"/>
            <w:vAlign w:val="center"/>
          </w:tcPr>
          <w:p>
            <w:pPr>
              <w:pStyle w:val="TableContents"/>
              <w:bidi w:val="0"/>
              <w:spacing w:before="0" w:after="283"/>
              <w:jc w:val="left"/>
              <w:rPr/>
            </w:pPr>
            <w:r>
              <w:rPr/>
              <w:t> </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Stockholders’ equity</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jc w:val="left"/>
              <w:rPr/>
            </w:pPr>
            <w:r>
              <w:rPr/>
              <w:t> </w:t>
            </w:r>
          </w:p>
        </w:tc>
        <w:tc>
          <w:tcPr>
            <w:tcW w:w="856"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jc w:val="left"/>
              <w:rPr/>
            </w:pPr>
            <w:r>
              <w:rPr/>
              <w:t> </w:t>
            </w:r>
          </w:p>
        </w:tc>
        <w:tc>
          <w:tcPr>
            <w:tcW w:w="919" w:type="dxa"/>
            <w:tcBorders/>
            <w:shd w:fill="FFFFFF" w:val="clear"/>
            <w:vAlign w:val="center"/>
          </w:tcPr>
          <w:p>
            <w:pPr>
              <w:pStyle w:val="TableContents"/>
              <w:bidi w:val="0"/>
              <w:spacing w:before="0" w:after="283"/>
              <w:jc w:val="left"/>
              <w:rPr/>
            </w:pPr>
            <w:r>
              <w:rPr/>
              <w:t> </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Preferred stock, $1 par value; 1,000 shares authorized, none issued</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Common stock, $1 par value; 150,000 shares authorized; 50,339 shares issued and outstanding in 2026, and 90,000 shares authorized; 49,875 shares issued in 2025</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50,339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49,875</w:t>
            </w:r>
          </w:p>
        </w:tc>
        <w:tc>
          <w:tcPr>
            <w:tcW w:w="82" w:type="dxa"/>
            <w:tcBorders/>
            <w:shd w:fill="FFFFFF" w:val="clear"/>
            <w:vAlign w:val="center"/>
          </w:tcPr>
          <w:p>
            <w:pPr>
              <w:pStyle w:val="TableContents"/>
              <w:bidi w:val="0"/>
              <w:spacing w:before="0" w:after="283"/>
              <w:ind w:left="0" w:right="0" w:hanging="0"/>
              <w:jc w:val="left"/>
              <w:rPr/>
            </w:pPr>
            <w:r>
              <w:rPr/>
              <w:t> </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Paid-in capital</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689,512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681,509</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Treasury stock, at cost; 2,997 shares in 2026 and 3,030 shares in 2025</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85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(86,865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shd w:fill="FFFFFF" w:val="clear"/>
            <w:vAlign w:val="center"/>
          </w:tcPr>
          <w:p>
            <w:pPr>
              <w:pStyle w:val="TableContents"/>
              <w:bidi w:val="0"/>
              <w:spacing w:before="0" w:after="283"/>
              <w:ind w:left="0" w:right="0" w:hanging="0"/>
              <w:jc w:val="left"/>
              <w:rPr/>
            </w:pPr>
            <w:r>
              <w:rPr/>
              <w:t> </w:t>
            </w:r>
          </w:p>
        </w:tc>
        <w:tc>
          <w:tcPr>
            <w:tcW w:w="91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(87,842</w:t>
            </w:r>
          </w:p>
        </w:tc>
        <w:tc>
          <w:tcPr>
            <w:tcW w:w="8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7887"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Retained earnings</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85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162,240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shd w:fill="CCEEFF" w:val="clear"/>
            <w:vAlign w:val="center"/>
          </w:tcPr>
          <w:p>
            <w:pPr>
              <w:pStyle w:val="TableContents"/>
              <w:bidi w:val="0"/>
              <w:spacing w:before="0" w:after="283"/>
              <w:ind w:left="0" w:right="0" w:hanging="0"/>
              <w:jc w:val="left"/>
              <w:rPr/>
            </w:pPr>
            <w:r>
              <w:rPr/>
              <w:t> </w:t>
            </w:r>
          </w:p>
        </w:tc>
        <w:tc>
          <w:tcPr>
            <w:tcW w:w="91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174,467</w:t>
            </w:r>
          </w:p>
        </w:tc>
        <w:tc>
          <w:tcPr>
            <w:tcW w:w="82" w:type="dxa"/>
            <w:tcBorders/>
            <w:shd w:fill="CCEEFF" w:val="clear"/>
            <w:vAlign w:val="center"/>
          </w:tcPr>
          <w:p>
            <w:pPr>
              <w:pStyle w:val="TableContents"/>
              <w:bidi w:val="0"/>
              <w:spacing w:before="0" w:after="283"/>
              <w:ind w:left="0" w:right="0" w:hanging="0"/>
              <w:jc w:val="left"/>
              <w:rPr/>
            </w:pPr>
            <w:r>
              <w:rPr/>
              <w:t> </w:t>
            </w:r>
          </w:p>
        </w:tc>
      </w:tr>
      <w:tr>
        <w:trPr/>
        <w:tc>
          <w:tcPr>
            <w:tcW w:w="7887"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Accumulated other comprehensive loss</w:t>
            </w:r>
          </w:p>
        </w:tc>
        <w:tc>
          <w:tcPr>
            <w:tcW w:w="60" w:type="dxa"/>
            <w:tcBorders/>
            <w:shd w:fill="FFFFFF" w:val="clear"/>
            <w:vAlign w:val="center"/>
          </w:tcPr>
          <w:p>
            <w:pPr>
              <w:pStyle w:val="TableContents"/>
              <w:bidi w:val="0"/>
              <w:spacing w:before="0" w:after="283"/>
              <w:jc w:val="left"/>
              <w:rPr/>
            </w:pPr>
            <w:r>
              <w:rPr/>
              <w:t> </w:t>
            </w:r>
          </w:p>
        </w:tc>
        <w:tc>
          <w:tcPr>
            <w:tcW w:w="12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(40,638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3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(32,470</w:t>
            </w:r>
          </w:p>
        </w:tc>
        <w:tc>
          <w:tcPr>
            <w:tcW w:w="82"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7887"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stockholders’ equity</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85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774,588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785,539</w:t>
            </w:r>
          </w:p>
        </w:tc>
        <w:tc>
          <w:tcPr>
            <w:tcW w:w="82" w:type="dxa"/>
            <w:tcBorders/>
            <w:shd w:fill="CCEEFF" w:val="clear"/>
            <w:vAlign w:val="center"/>
          </w:tcPr>
          <w:p>
            <w:pPr>
              <w:pStyle w:val="TableContents"/>
              <w:bidi w:val="0"/>
              <w:spacing w:before="0" w:after="283"/>
              <w:jc w:val="left"/>
              <w:rPr/>
            </w:pPr>
            <w:r>
              <w:rPr/>
              <w:t> </w:t>
            </w:r>
          </w:p>
        </w:tc>
      </w:tr>
      <w:tr>
        <w:trPr/>
        <w:tc>
          <w:tcPr>
            <w:tcW w:w="7887"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5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1,258,398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1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1,242,982</w:t>
            </w:r>
          </w:p>
        </w:tc>
        <w:tc>
          <w:tcPr>
            <w:tcW w:w="82"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5225" w:type="dxa"/>
        <w:jc w:val="left"/>
        <w:tblInd w:w="0" w:type="dxa"/>
        <w:tblLayout w:type="fixed"/>
        <w:tblCellMar>
          <w:top w:w="0" w:type="dxa"/>
          <w:left w:w="0" w:type="dxa"/>
          <w:bottom w:w="0" w:type="dxa"/>
          <w:right w:w="0" w:type="dxa"/>
        </w:tblCellMar>
      </w:tblPr>
      <w:tblGrid>
        <w:gridCol w:w="5225"/>
      </w:tblGrid>
      <w:tr>
        <w:trPr/>
        <w:tc>
          <w:tcPr>
            <w:tcW w:w="5225"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 Derived from December 27, 2025, audited financial statements</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5" w:name="stmt_ops"/>
            <w:bookmarkEnd w:id="5"/>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OPERATIONS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 except per share amounts)</w:t>
            </w:r>
          </w:p>
        </w:tc>
      </w:tr>
      <w:tr>
        <w:trPr/>
        <w:tc>
          <w:tcPr>
            <w:tcW w:w="5840" w:type="dxa"/>
            <w:tcBorders/>
            <w:vAlign w:val="center"/>
          </w:tcPr>
          <w:p>
            <w:pPr>
              <w:pStyle w:val="TableContents"/>
              <w:bidi w:val="0"/>
              <w:spacing w:before="0" w:after="283"/>
              <w:jc w:val="left"/>
              <w:rPr/>
            </w:pPr>
            <w:r>
              <w:rPr/>
              <w:t> </w:t>
            </w:r>
          </w:p>
        </w:tc>
      </w:tr>
      <w:tr>
        <w:trPr/>
        <w:tc>
          <w:tcPr>
            <w:tcW w:w="58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615" w:type="dxa"/>
        <w:jc w:val="left"/>
        <w:tblInd w:w="0" w:type="dxa"/>
        <w:tblLayout w:type="fixed"/>
        <w:tblCellMar>
          <w:top w:w="0" w:type="dxa"/>
          <w:left w:w="0" w:type="dxa"/>
          <w:bottom w:w="0" w:type="dxa"/>
          <w:right w:w="0" w:type="dxa"/>
        </w:tblCellMar>
      </w:tblPr>
      <w:tblGrid>
        <w:gridCol w:w="4775"/>
        <w:gridCol w:w="60"/>
        <w:gridCol w:w="125"/>
        <w:gridCol w:w="695"/>
        <w:gridCol w:w="80"/>
        <w:gridCol w:w="60"/>
        <w:gridCol w:w="125"/>
        <w:gridCol w:w="695"/>
        <w:gridCol w:w="80"/>
        <w:gridCol w:w="60"/>
        <w:gridCol w:w="125"/>
        <w:gridCol w:w="695"/>
        <w:gridCol w:w="80"/>
        <w:gridCol w:w="60"/>
        <w:gridCol w:w="125"/>
        <w:gridCol w:w="695"/>
        <w:gridCol w:w="80"/>
      </w:tblGrid>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8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47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and expenses: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 (1)</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81,412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60,571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148,626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115,051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23,188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51,330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46,340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34,445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29,866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69,046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59,877</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7,838</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124,916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284,983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249,039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(44,562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(expense)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expense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(1,620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income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1,386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7,710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loss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taxes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(40,797</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provision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2,148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6,887</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477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(0.36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7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4775" w:type="dxa"/>
            <w:tcBorders/>
            <w:shd w:fill="CCEEFF" w:val="clear"/>
            <w:vAlign w:val="center"/>
          </w:tcPr>
          <w:p>
            <w:pPr>
              <w:pStyle w:val="TableContents"/>
              <w:bidi w:val="0"/>
              <w:spacing w:before="0" w:after="0"/>
              <w:ind w:left="180" w:right="0" w:hanging="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shares used in computing loss per share: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477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Basic</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80" w:type="dxa"/>
            <w:tcBorders/>
            <w:shd w:fill="FFFFFF" w:val="clear"/>
            <w:vAlign w:val="center"/>
          </w:tcPr>
          <w:p>
            <w:pPr>
              <w:pStyle w:val="TableContents"/>
              <w:bidi w:val="0"/>
              <w:spacing w:before="0" w:after="283"/>
              <w:jc w:val="left"/>
              <w:rPr/>
            </w:pPr>
            <w:r>
              <w:rPr/>
              <w:t> </w:t>
            </w:r>
          </w:p>
        </w:tc>
      </w:tr>
      <w:tr>
        <w:trPr/>
        <w:tc>
          <w:tcPr>
            <w:tcW w:w="477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Diluted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213"/>
        <w:gridCol w:w="9992"/>
      </w:tblGrid>
      <w:tr>
        <w:trPr/>
        <w:tc>
          <w:tcPr>
            <w:tcW w:w="213"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w:t>
            </w:r>
          </w:p>
        </w:tc>
        <w:tc>
          <w:tcPr>
            <w:tcW w:w="9992" w:type="dxa"/>
            <w:tcBorders/>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Excludes amortization of purchased intangibles of $4,916 and $7,739 for the three months ended June 27, 2026, and June 28, 2025, respectively, and $9,847 and $15,298 for the six months ended June 27, 2026, and June 28, 2025, respectively.</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6830" w:type="dxa"/>
        <w:jc w:val="left"/>
        <w:tblInd w:w="0" w:type="dxa"/>
        <w:tblLayout w:type="fixed"/>
        <w:tblCellMar>
          <w:top w:w="0" w:type="dxa"/>
          <w:left w:w="0" w:type="dxa"/>
          <w:bottom w:w="0" w:type="dxa"/>
          <w:right w:w="0" w:type="dxa"/>
        </w:tblCellMar>
      </w:tblPr>
      <w:tblGrid>
        <w:gridCol w:w="6830"/>
      </w:tblGrid>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6" w:name="comp_loss"/>
            <w:bookmarkEnd w:id="6"/>
            <w:r>
              <w:rPr>
                <w:rFonts w:ascii="Times New Roman" w:hAnsi="Times New Roman"/>
                <w:b/>
                <w:caps w:val="false"/>
                <w:smallCaps w:val="false"/>
                <w:sz w:val="20"/>
              </w:rPr>
              <w:t>COHU, INC.</w:t>
            </w:r>
          </w:p>
        </w:tc>
      </w:tr>
      <w:tr>
        <w:trPr/>
        <w:tc>
          <w:tcPr>
            <w:tcW w:w="683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COMPREHENSIVE LOSS</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683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r>
        <w:trPr/>
        <w:tc>
          <w:tcPr>
            <w:tcW w:w="683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7512" w:type="dxa"/>
        <w:jc w:val="left"/>
        <w:tblInd w:w="0" w:type="dxa"/>
        <w:tblLayout w:type="fixed"/>
        <w:tblCellMar>
          <w:top w:w="0" w:type="dxa"/>
          <w:left w:w="0" w:type="dxa"/>
          <w:bottom w:w="0" w:type="dxa"/>
          <w:right w:w="0" w:type="dxa"/>
        </w:tblCellMar>
      </w:tblPr>
      <w:tblGrid>
        <w:gridCol w:w="3815"/>
        <w:gridCol w:w="60"/>
        <w:gridCol w:w="136"/>
        <w:gridCol w:w="594"/>
        <w:gridCol w:w="87"/>
        <w:gridCol w:w="65"/>
        <w:gridCol w:w="136"/>
        <w:gridCol w:w="709"/>
        <w:gridCol w:w="80"/>
        <w:gridCol w:w="60"/>
        <w:gridCol w:w="125"/>
        <w:gridCol w:w="650"/>
        <w:gridCol w:w="80"/>
        <w:gridCol w:w="60"/>
        <w:gridCol w:w="125"/>
        <w:gridCol w:w="650"/>
        <w:gridCol w:w="80"/>
      </w:tblGrid>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69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84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84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38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594" w:type="dxa"/>
            <w:tcBorders/>
            <w:vAlign w:val="center"/>
          </w:tcPr>
          <w:p>
            <w:pPr>
              <w:pStyle w:val="TableContents"/>
              <w:bidi w:val="0"/>
              <w:spacing w:before="0" w:after="283"/>
              <w:jc w:val="left"/>
              <w:rPr/>
            </w:pPr>
            <w:r>
              <w:rPr/>
              <w:t> </w:t>
            </w:r>
          </w:p>
        </w:tc>
        <w:tc>
          <w:tcPr>
            <w:tcW w:w="87"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jc w:val="left"/>
              <w:rPr/>
            </w:pPr>
            <w:r>
              <w:rPr/>
              <w:t> </w:t>
            </w:r>
          </w:p>
        </w:tc>
        <w:tc>
          <w:tcPr>
            <w:tcW w:w="136" w:type="dxa"/>
            <w:tcBorders/>
            <w:vAlign w:val="center"/>
          </w:tcPr>
          <w:p>
            <w:pPr>
              <w:pStyle w:val="TableContents"/>
              <w:bidi w:val="0"/>
              <w:spacing w:before="0" w:after="283"/>
              <w:jc w:val="left"/>
              <w:rPr/>
            </w:pPr>
            <w:r>
              <w:rPr/>
              <w:t> </w:t>
            </w:r>
          </w:p>
        </w:tc>
        <w:tc>
          <w:tcPr>
            <w:tcW w:w="709"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left"/>
              <w:rPr/>
            </w:pPr>
            <w:r>
              <w:rPr/>
              <w:t> </w:t>
            </w:r>
          </w:p>
        </w:tc>
        <w:tc>
          <w:tcPr>
            <w:tcW w:w="80" w:type="dxa"/>
            <w:tcBorders/>
            <w:vAlign w:val="center"/>
          </w:tcPr>
          <w:p>
            <w:pPr>
              <w:pStyle w:val="TableContents"/>
              <w:bidi w:val="0"/>
              <w:spacing w:before="0" w:after="283"/>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(159</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(16,880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594" w:type="dxa"/>
            <w:tcBorders/>
            <w:shd w:fill="FFFFFF" w:val="clear"/>
            <w:vAlign w:val="center"/>
          </w:tcPr>
          <w:p>
            <w:pPr>
              <w:pStyle w:val="TableContents"/>
              <w:bidi w:val="0"/>
              <w:spacing w:before="0" w:after="283"/>
              <w:jc w:val="left"/>
              <w:rPr/>
            </w:pPr>
            <w:r>
              <w:rPr/>
              <w:t> </w:t>
            </w:r>
          </w:p>
        </w:tc>
        <w:tc>
          <w:tcPr>
            <w:tcW w:w="87" w:type="dxa"/>
            <w:tcBorders/>
            <w:shd w:fill="FFFFFF" w:val="clear"/>
            <w:vAlign w:val="center"/>
          </w:tcPr>
          <w:p>
            <w:pPr>
              <w:pStyle w:val="TableContents"/>
              <w:bidi w:val="0"/>
              <w:spacing w:before="0" w:after="283"/>
              <w:jc w:val="left"/>
              <w:rPr/>
            </w:pPr>
            <w:r>
              <w:rPr/>
              <w:t> </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jc w:val="left"/>
              <w:rPr/>
            </w:pPr>
            <w:r>
              <w:rPr/>
              <w:t> </w:t>
            </w:r>
          </w:p>
        </w:tc>
        <w:tc>
          <w:tcPr>
            <w:tcW w:w="70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50"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currency translation adjustments</w:t>
            </w:r>
          </w:p>
        </w:tc>
        <w:tc>
          <w:tcPr>
            <w:tcW w:w="60"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59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(2,595</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jc w:val="left"/>
              <w:rPr/>
            </w:pPr>
            <w:r>
              <w:rPr/>
              <w:t> </w:t>
            </w:r>
          </w:p>
        </w:tc>
        <w:tc>
          <w:tcPr>
            <w:tcW w:w="136" w:type="dxa"/>
            <w:tcBorders/>
            <w:shd w:fill="CCEEFF" w:val="clear"/>
            <w:vAlign w:val="center"/>
          </w:tcPr>
          <w:p>
            <w:pPr>
              <w:pStyle w:val="TableContents"/>
              <w:bidi w:val="0"/>
              <w:spacing w:before="0" w:after="283"/>
              <w:ind w:left="0" w:right="0" w:hanging="0"/>
              <w:jc w:val="left"/>
              <w:rPr/>
            </w:pPr>
            <w:r>
              <w:rPr/>
              <w:t> </w:t>
            </w:r>
          </w:p>
        </w:tc>
        <w:tc>
          <w:tcPr>
            <w:tcW w:w="70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(7,686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19,555</w:t>
            </w:r>
          </w:p>
        </w:tc>
        <w:tc>
          <w:tcPr>
            <w:tcW w:w="80" w:type="dxa"/>
            <w:tcBorders/>
            <w:shd w:fill="CCEEFF" w:val="clear"/>
            <w:vAlign w:val="center"/>
          </w:tcPr>
          <w:p>
            <w:pPr>
              <w:pStyle w:val="TableContents"/>
              <w:bidi w:val="0"/>
              <w:spacing w:before="0" w:after="283"/>
              <w:jc w:val="left"/>
              <w:rPr/>
            </w:pPr>
            <w:r>
              <w:rPr/>
              <w:t> </w:t>
            </w:r>
          </w:p>
        </w:tc>
      </w:tr>
      <w:tr>
        <w:trPr/>
        <w:tc>
          <w:tcPr>
            <w:tcW w:w="38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related to postretirement benefits</w:t>
            </w:r>
          </w:p>
        </w:tc>
        <w:tc>
          <w:tcPr>
            <w:tcW w:w="60"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59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shd w:fill="FFFFFF" w:val="clear"/>
            <w:vAlign w:val="center"/>
          </w:tcPr>
          <w:p>
            <w:pPr>
              <w:pStyle w:val="TableContents"/>
              <w:bidi w:val="0"/>
              <w:spacing w:before="0" w:after="283"/>
              <w:ind w:left="0" w:right="0" w:hanging="0"/>
              <w:jc w:val="left"/>
              <w:rPr/>
            </w:pPr>
            <w:r>
              <w:rPr/>
              <w:t> </w:t>
            </w:r>
          </w:p>
        </w:tc>
        <w:tc>
          <w:tcPr>
            <w:tcW w:w="709"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81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 in unrealized gain/loss on investments</w:t>
            </w:r>
          </w:p>
        </w:tc>
        <w:tc>
          <w:tcPr>
            <w:tcW w:w="60"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w:t>
            </w:r>
          </w:p>
        </w:tc>
        <w:tc>
          <w:tcPr>
            <w:tcW w:w="87"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jc w:val="left"/>
              <w:rPr/>
            </w:pPr>
            <w:r>
              <w:rPr/>
              <w:t> </w:t>
            </w:r>
          </w:p>
        </w:tc>
        <w:tc>
          <w:tcPr>
            <w:tcW w:w="13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8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comprehensive income (loss), net of tax</w:t>
            </w:r>
          </w:p>
        </w:tc>
        <w:tc>
          <w:tcPr>
            <w:tcW w:w="60"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94"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(2,578</w:t>
            </w:r>
          </w:p>
        </w:tc>
        <w:tc>
          <w:tcPr>
            <w:tcW w:w="87"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FFFFFF" w:val="clear"/>
            <w:vAlign w:val="center"/>
          </w:tcPr>
          <w:p>
            <w:pPr>
              <w:pStyle w:val="TableContents"/>
              <w:bidi w:val="0"/>
              <w:spacing w:before="0" w:after="283"/>
              <w:jc w:val="left"/>
              <w:rPr/>
            </w:pPr>
            <w:r>
              <w:rPr/>
              <w:t> </w:t>
            </w:r>
          </w:p>
        </w:tc>
        <w:tc>
          <w:tcPr>
            <w:tcW w:w="13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0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12,121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(8,168</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18,519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8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Comprehensive loss</w:t>
            </w:r>
          </w:p>
        </w:tc>
        <w:tc>
          <w:tcPr>
            <w:tcW w:w="60"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4"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(2,737</w:t>
            </w:r>
          </w:p>
        </w:tc>
        <w:tc>
          <w:tcPr>
            <w:tcW w:w="8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5" w:type="dxa"/>
            <w:tcBorders/>
            <w:shd w:fill="CCEEFF" w:val="clear"/>
            <w:vAlign w:val="center"/>
          </w:tcPr>
          <w:p>
            <w:pPr>
              <w:pStyle w:val="TableContents"/>
              <w:bidi w:val="0"/>
              <w:spacing w:before="0" w:after="283"/>
              <w:ind w:left="0" w:right="0" w:hanging="0"/>
              <w:jc w:val="left"/>
              <w:rPr/>
            </w:pPr>
            <w:r>
              <w:rPr/>
              <w:t> </w:t>
            </w:r>
          </w:p>
        </w:tc>
        <w:tc>
          <w:tcPr>
            <w:tcW w:w="13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(4,759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(20,395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(29,165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7055" w:type="dxa"/>
        <w:jc w:val="left"/>
        <w:tblInd w:w="0" w:type="dxa"/>
        <w:tblLayout w:type="fixed"/>
        <w:tblCellMar>
          <w:top w:w="0" w:type="dxa"/>
          <w:left w:w="0" w:type="dxa"/>
          <w:bottom w:w="0" w:type="dxa"/>
          <w:right w:w="0" w:type="dxa"/>
        </w:tblCellMar>
      </w:tblPr>
      <w:tblGrid>
        <w:gridCol w:w="7055"/>
      </w:tblGrid>
      <w:tr>
        <w:trPr/>
        <w:tc>
          <w:tcPr>
            <w:tcW w:w="7055" w:type="dxa"/>
            <w:tcBorders/>
            <w:vAlign w:val="center"/>
          </w:tcPr>
          <w:p>
            <w:pPr>
              <w:pStyle w:val="TableContents"/>
              <w:bidi w:val="0"/>
              <w:spacing w:before="0" w:after="0"/>
              <w:ind w:left="0" w:right="0" w:hanging="0"/>
              <w:jc w:val="left"/>
              <w:rPr>
                <w:rFonts w:ascii="Times New Roman" w:hAnsi="Times New Roman"/>
                <w:b/>
                <w:caps w:val="false"/>
                <w:smallCaps w:val="false"/>
                <w:sz w:val="20"/>
              </w:rPr>
            </w:pPr>
            <w:bookmarkStart w:id="7" w:name="equity"/>
            <w:bookmarkEnd w:id="7"/>
            <w:r>
              <w:rPr>
                <w:rFonts w:ascii="Times New Roman" w:hAnsi="Times New Roman"/>
                <w:b/>
                <w:caps w:val="false"/>
                <w:smallCaps w:val="false"/>
                <w:sz w:val="20"/>
              </w:rPr>
              <w:t>COHU, INC.</w:t>
            </w:r>
          </w:p>
        </w:tc>
      </w:tr>
      <w:tr>
        <w:trPr/>
        <w:tc>
          <w:tcPr>
            <w:tcW w:w="705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CONDENSED CONSOLIDATED STATEMENTS OF STOCKHOLDERS</w:t>
            </w:r>
            <w:r>
              <w:rPr>
                <w:rFonts w:ascii="Times New Roman" w:hAnsi="Times New Roman"/>
                <w:caps w:val="false"/>
                <w:smallCaps w:val="false"/>
                <w:sz w:val="20"/>
              </w:rPr>
              <w:t>’ </w:t>
            </w:r>
            <w:r>
              <w:rPr>
                <w:rFonts w:ascii="Times New Roman" w:hAnsi="Times New Roman"/>
                <w:b/>
                <w:caps w:val="false"/>
                <w:smallCaps w:val="false"/>
                <w:sz w:val="20"/>
              </w:rPr>
              <w:t>EQUITY</w:t>
            </w:r>
          </w:p>
        </w:tc>
      </w:tr>
      <w:tr>
        <w:trPr/>
        <w:tc>
          <w:tcPr>
            <w:tcW w:w="7055" w:type="dxa"/>
            <w:tcBorders/>
            <w:vAlign w:val="center"/>
          </w:tcPr>
          <w:p>
            <w:pPr>
              <w:pStyle w:val="TableContents"/>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(in thousands, except par value and per share amounts)</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4551"/>
        <w:gridCol w:w="60"/>
        <w:gridCol w:w="154"/>
        <w:gridCol w:w="729"/>
        <w:gridCol w:w="80"/>
        <w:gridCol w:w="60"/>
        <w:gridCol w:w="110"/>
        <w:gridCol w:w="605"/>
        <w:gridCol w:w="80"/>
        <w:gridCol w:w="60"/>
        <w:gridCol w:w="110"/>
        <w:gridCol w:w="605"/>
        <w:gridCol w:w="80"/>
        <w:gridCol w:w="60"/>
        <w:gridCol w:w="173"/>
        <w:gridCol w:w="912"/>
        <w:gridCol w:w="80"/>
        <w:gridCol w:w="60"/>
        <w:gridCol w:w="110"/>
        <w:gridCol w:w="575"/>
        <w:gridCol w:w="80"/>
        <w:gridCol w:w="60"/>
        <w:gridCol w:w="110"/>
        <w:gridCol w:w="605"/>
        <w:gridCol w:w="96"/>
      </w:tblGrid>
      <w:tr>
        <w:trPr/>
        <w:tc>
          <w:tcPr>
            <w:tcW w:w="45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4" w:type="dxa"/>
            <w:tcBorders/>
            <w:vAlign w:val="center"/>
          </w:tcPr>
          <w:p>
            <w:pPr>
              <w:pStyle w:val="TableContents"/>
              <w:bidi w:val="0"/>
              <w:spacing w:before="0" w:after="283"/>
              <w:jc w:val="left"/>
              <w:rPr/>
            </w:pPr>
            <w:r>
              <w:rPr/>
              <w:t> </w:t>
            </w:r>
          </w:p>
        </w:tc>
        <w:tc>
          <w:tcPr>
            <w:tcW w:w="729"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Accumulated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r>
      <w:tr>
        <w:trPr/>
        <w:tc>
          <w:tcPr>
            <w:tcW w:w="45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Common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other</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r>
      <w:tr>
        <w:trPr/>
        <w:tc>
          <w:tcPr>
            <w:tcW w:w="455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3"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Paid-in</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Retained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comprehensive</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8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Treasury</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 </w:t>
            </w:r>
          </w:p>
        </w:tc>
        <w:tc>
          <w:tcPr>
            <w:tcW w:w="605" w:type="dxa"/>
            <w:tcBorders/>
            <w:vAlign w:val="center"/>
          </w:tcPr>
          <w:p>
            <w:pPr>
              <w:pStyle w:val="TableContents"/>
              <w:bidi w:val="0"/>
              <w:spacing w:before="0" w:after="283"/>
              <w:jc w:val="center"/>
              <w:rPr/>
            </w:pPr>
            <w:r>
              <w:rPr/>
              <w:t> </w:t>
            </w:r>
          </w:p>
        </w:tc>
        <w:tc>
          <w:tcPr>
            <w:tcW w:w="96" w:type="dxa"/>
            <w:tcBorders/>
            <w:vAlign w:val="center"/>
          </w:tcPr>
          <w:p>
            <w:pPr>
              <w:pStyle w:val="TableContents"/>
              <w:bidi w:val="0"/>
              <w:spacing w:before="0" w:after="283"/>
              <w:jc w:val="left"/>
              <w:rPr/>
            </w:pPr>
            <w:r>
              <w:rPr/>
              <w:t> </w:t>
            </w:r>
          </w:p>
        </w:tc>
      </w:tr>
      <w:tr>
        <w:trPr/>
        <w:tc>
          <w:tcPr>
            <w:tcW w:w="4551"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83"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$1 par value</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capital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earnings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0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loss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8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stock</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18"/>
              </w:rPr>
            </w:pPr>
            <w:r>
              <w:rPr>
                <w:rFonts w:ascii="Times New Roman;Times;serif" w:hAnsi="Times New Roman;Times;serif"/>
                <w:caps w:val="false"/>
                <w:smallCaps w:val="false"/>
                <w:sz w:val="18"/>
              </w:rPr>
              <w:t>Total</w:t>
            </w:r>
          </w:p>
        </w:tc>
        <w:tc>
          <w:tcPr>
            <w:tcW w:w="96" w:type="dxa"/>
            <w:tcBorders/>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283"/>
              <w:jc w:val="left"/>
              <w:rPr>
                <w:rFonts w:ascii="Times New Roman;Times;serif" w:hAnsi="Times New Roman;Times;serif"/>
                <w:b/>
                <w:sz w:val="18"/>
              </w:rPr>
            </w:pPr>
            <w:r>
              <w:rPr>
                <w:rFonts w:ascii="Times New Roman;Times;serif" w:hAnsi="Times New Roman;Times;serif"/>
                <w:b/>
                <w:sz w:val="18"/>
              </w:rPr>
              <w:t>Three Months Ended June 27, 2026</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March 28, 2026</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681,353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162,399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(38,060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(86,865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768,993</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(159</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(2,595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(2,595</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22</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1,804</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6,593</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6,593</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27, 2026</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50,339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689,512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162,240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(86,865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774,588</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27, 2026</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27, 2025</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49,875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681,509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174,467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(32,470</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(87,842</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785,539</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(12,227</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(7,686</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(7,686</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(493</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1,715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1,804</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(1,563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(5,018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(27</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(5,229</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12,869</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12,869</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27, 2026</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50,339</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689,512</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162,240</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(40,638</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(86,865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774,588</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jc w:val="left"/>
              <w:rPr/>
            </w:pPr>
            <w:r>
              <w:rPr/>
              <w:t> </w:t>
            </w:r>
          </w:p>
        </w:tc>
        <w:tc>
          <w:tcPr>
            <w:tcW w:w="729"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jc w:val="left"/>
              <w:rPr/>
            </w:pPr>
            <w:r>
              <w:rPr/>
              <w:t> </w:t>
            </w:r>
          </w:p>
        </w:tc>
        <w:tc>
          <w:tcPr>
            <w:tcW w:w="912"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57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jc w:val="left"/>
              <w:rPr/>
            </w:pPr>
            <w:r>
              <w:rPr/>
              <w:t> </w:t>
            </w:r>
          </w:p>
        </w:tc>
        <w:tc>
          <w:tcPr>
            <w:tcW w:w="605" w:type="dxa"/>
            <w:tcBorders/>
            <w:shd w:fill="FFFFFF" w:val="cle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bottom w:val="single" w:sz="2"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Three Months Ended June 28, 2025</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March 29, 2025</w:t>
            </w:r>
          </w:p>
        </w:tc>
        <w:tc>
          <w:tcPr>
            <w:tcW w:w="60" w:type="dxa"/>
            <w:tcBorders/>
            <w:shd w:fill="FFFFFF" w:val="clear"/>
            <w:vAlign w:val="center"/>
          </w:tcPr>
          <w:p>
            <w:pPr>
              <w:pStyle w:val="TableContents"/>
              <w:bidi w:val="0"/>
              <w:spacing w:before="0" w:after="283"/>
              <w:ind w:left="0" w:right="0" w:hanging="0"/>
              <w:jc w:val="left"/>
              <w:rPr/>
            </w:pPr>
            <w:r>
              <w:rPr/>
              <w:t> </w:t>
            </w:r>
          </w:p>
        </w:tc>
        <w:tc>
          <w:tcPr>
            <w:tcW w:w="154"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49,601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694,994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217,936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3"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(44,757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(90,057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10" w:type="dxa"/>
            <w:tcBorders/>
            <w:shd w:fill="FFFF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827,717</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(16,880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(16,880</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13,156</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(1,032</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(1,032</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1,807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(174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(86</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39</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bottom w:val="single" w:sz="2" w:space="0" w:color="000000"/>
            </w:tcBorders>
            <w:shd w:fill="CCEE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5,675</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CCEE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5,675</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bottom w:val="double" w:sz="6"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28, 2025</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700,763</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201,056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(32,636</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(88,385</w:t>
            </w:r>
          </w:p>
        </w:tc>
        <w:tc>
          <w:tcPr>
            <w:tcW w:w="80" w:type="dxa"/>
            <w:tcBorders>
              <w:bottom w:val="double" w:sz="6" w:space="0" w:color="000000"/>
            </w:tcBorders>
            <w:shd w:fill="FFFF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830,543</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jc w:val="left"/>
              <w:rPr/>
            </w:pPr>
            <w:r>
              <w:rPr/>
              <w:t> </w:t>
            </w:r>
          </w:p>
        </w:tc>
        <w:tc>
          <w:tcPr>
            <w:tcW w:w="729"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12"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57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jc w:val="left"/>
              <w:rPr/>
            </w:pPr>
            <w:r>
              <w:rPr/>
              <w:t> </w:t>
            </w:r>
          </w:p>
        </w:tc>
        <w:tc>
          <w:tcPr>
            <w:tcW w:w="605" w:type="dxa"/>
            <w:tcBorders/>
            <w:shd w:fill="CCEEFF" w:val="clear"/>
            <w:vAlign w:val="center"/>
          </w:tcPr>
          <w:p>
            <w:pPr>
              <w:pStyle w:val="TableContents"/>
              <w:bidi w:val="0"/>
              <w:spacing w:before="0" w:after="283"/>
              <w:jc w:val="left"/>
              <w:rPr/>
            </w:pPr>
            <w:r>
              <w:rPr/>
              <w:t> </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bottom w:val="single" w:sz="2" w:space="0" w:color="000000"/>
            </w:tcBorders>
            <w:shd w:fill="FFFFFF" w:val="clear"/>
            <w:tcMar>
              <w:bottom w:w="28" w:type="dxa"/>
            </w:tcMar>
            <w:vAlign w:val="center"/>
          </w:tcPr>
          <w:p>
            <w:pPr>
              <w:pStyle w:val="TableContents"/>
              <w:bidi w:val="0"/>
              <w:spacing w:before="0" w:after="0"/>
              <w:ind w:left="0" w:right="0" w:hanging="0"/>
              <w:jc w:val="left"/>
              <w:rPr>
                <w:rFonts w:ascii="Times New Roman;Times;serif" w:hAnsi="Times New Roman;Times;serif"/>
                <w:b/>
                <w:caps w:val="false"/>
                <w:smallCaps w:val="false"/>
                <w:sz w:val="18"/>
              </w:rPr>
            </w:pPr>
            <w:r>
              <w:rPr>
                <w:rFonts w:ascii="Times New Roman;Times;serif" w:hAnsi="Times New Roman;Times;serif"/>
                <w:b/>
                <w:caps w:val="false"/>
                <w:smallCaps w:val="false"/>
                <w:sz w:val="18"/>
              </w:rPr>
              <w:t>Six Months Ended June 28, 2025</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154"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49,601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697,489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248,740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(51,155</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(87,784</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10" w:type="dxa"/>
            <w:tcBorders/>
            <w:shd w:fill="CCEEFF" w:val="cle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856,891</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Net loss</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(47,684</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cumulative translation adjustment</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19,555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19,555</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Adjustments related to postretirement benefits, net of tax</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(1,037</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(1,037</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Changes in unrealized gains and losses on investments, net of tax</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under ESPP</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144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1,813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1,957</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Shares issued for restricted stock units vested</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(12,268</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12,268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96" w:type="dxa"/>
            <w:tcBorders/>
            <w:shd w:fill="CCEEFF" w:val="clear"/>
            <w:vAlign w:val="center"/>
          </w:tcPr>
          <w:p>
            <w:pPr>
              <w:pStyle w:val="TableContents"/>
              <w:bidi w:val="0"/>
              <w:spacing w:before="0" w:after="283"/>
              <w:jc w:val="left"/>
              <w:rPr/>
            </w:pPr>
            <w:r>
              <w:rPr/>
              <w:t> </w:t>
            </w:r>
          </w:p>
        </w:tc>
      </w:tr>
      <w:tr>
        <w:trPr/>
        <w:tc>
          <w:tcPr>
            <w:tcW w:w="4551" w:type="dxa"/>
            <w:tcBorders/>
            <w:shd w:fill="FFFF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Repurchase and retirement of stock</w:t>
            </w:r>
          </w:p>
        </w:tc>
        <w:tc>
          <w:tcPr>
            <w:tcW w:w="60" w:type="dxa"/>
            <w:tcBorders/>
            <w:shd w:fill="FFFFFF" w:val="clear"/>
            <w:vAlign w:val="center"/>
          </w:tcPr>
          <w:p>
            <w:pPr>
              <w:pStyle w:val="TableContents"/>
              <w:bidi w:val="0"/>
              <w:spacing w:before="0" w:after="283"/>
              <w:jc w:val="left"/>
              <w:rPr/>
            </w:pPr>
            <w:r>
              <w:rPr/>
              <w:t> </w:t>
            </w:r>
          </w:p>
        </w:tc>
        <w:tc>
          <w:tcPr>
            <w:tcW w:w="154" w:type="dxa"/>
            <w:tcBorders/>
            <w:shd w:fill="FFFFFF" w:val="clear"/>
            <w:vAlign w:val="center"/>
          </w:tcPr>
          <w:p>
            <w:pPr>
              <w:pStyle w:val="TableContents"/>
              <w:bidi w:val="0"/>
              <w:spacing w:before="0" w:after="283"/>
              <w:ind w:left="0" w:right="0" w:hanging="0"/>
              <w:jc w:val="left"/>
              <w:rPr/>
            </w:pPr>
            <w:r>
              <w:rPr/>
              <w:t> </w:t>
            </w:r>
          </w:p>
        </w:tc>
        <w:tc>
          <w:tcPr>
            <w:tcW w:w="729"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1,824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3" w:type="dxa"/>
            <w:tcBorders/>
            <w:shd w:fill="FFFFFF" w:val="clear"/>
            <w:vAlign w:val="center"/>
          </w:tcPr>
          <w:p>
            <w:pPr>
              <w:pStyle w:val="TableContents"/>
              <w:bidi w:val="0"/>
              <w:spacing w:before="0" w:after="283"/>
              <w:ind w:left="0" w:right="0" w:hanging="0"/>
              <w:jc w:val="left"/>
              <w:rPr/>
            </w:pPr>
            <w:r>
              <w:rPr/>
              <w:t> </w:t>
            </w:r>
          </w:p>
        </w:tc>
        <w:tc>
          <w:tcPr>
            <w:tcW w:w="912"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57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(4,299</w:t>
            </w:r>
          </w:p>
        </w:tc>
        <w:tc>
          <w:tcPr>
            <w:tcW w:w="80"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FFFFFF" w:val="clear"/>
            <w:vAlign w:val="center"/>
          </w:tcPr>
          <w:p>
            <w:pPr>
              <w:pStyle w:val="TableContents"/>
              <w:bidi w:val="0"/>
              <w:spacing w:before="0" w:after="283"/>
              <w:jc w:val="left"/>
              <w:rPr/>
            </w:pPr>
            <w:r>
              <w:rPr/>
              <w:t> </w:t>
            </w:r>
          </w:p>
        </w:tc>
        <w:tc>
          <w:tcPr>
            <w:tcW w:w="110" w:type="dxa"/>
            <w:tcBorders/>
            <w:shd w:fill="FFFFFF" w:val="clear"/>
            <w:vAlign w:val="center"/>
          </w:tcPr>
          <w:p>
            <w:pPr>
              <w:pStyle w:val="TableContents"/>
              <w:bidi w:val="0"/>
              <w:spacing w:before="0" w:after="283"/>
              <w:ind w:left="0" w:right="0" w:hanging="0"/>
              <w:jc w:val="left"/>
              <w:rPr/>
            </w:pPr>
            <w:r>
              <w:rPr/>
              <w:t> </w:t>
            </w:r>
          </w:p>
        </w:tc>
        <w:tc>
          <w:tcPr>
            <w:tcW w:w="605" w:type="dxa"/>
            <w:tcBorders/>
            <w:shd w:fill="FFFF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(2,475</w:t>
            </w:r>
          </w:p>
        </w:tc>
        <w:tc>
          <w:tcPr>
            <w:tcW w:w="96" w:type="dxa"/>
            <w:tcBorders/>
            <w:shd w:fill="FFFF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shd w:fill="CCEEFF" w:val="cle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Common stock repurchases</w:t>
            </w:r>
          </w:p>
        </w:tc>
        <w:tc>
          <w:tcPr>
            <w:tcW w:w="60" w:type="dxa"/>
            <w:tcBorders/>
            <w:shd w:fill="CCEEFF" w:val="clear"/>
            <w:vAlign w:val="center"/>
          </w:tcPr>
          <w:p>
            <w:pPr>
              <w:pStyle w:val="TableContents"/>
              <w:bidi w:val="0"/>
              <w:spacing w:before="0" w:after="283"/>
              <w:jc w:val="left"/>
              <w:rPr/>
            </w:pPr>
            <w:r>
              <w:rPr/>
              <w:t> </w:t>
            </w:r>
          </w:p>
        </w:tc>
        <w:tc>
          <w:tcPr>
            <w:tcW w:w="154" w:type="dxa"/>
            <w:tcBorders/>
            <w:shd w:fill="CCEEFF" w:val="clear"/>
            <w:vAlign w:val="center"/>
          </w:tcPr>
          <w:p>
            <w:pPr>
              <w:pStyle w:val="TableContents"/>
              <w:bidi w:val="0"/>
              <w:spacing w:before="0" w:after="283"/>
              <w:ind w:left="0" w:right="0" w:hanging="0"/>
              <w:jc w:val="left"/>
              <w:rPr/>
            </w:pPr>
            <w:r>
              <w:rPr/>
              <w:t> </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ind w:left="0" w:right="0" w:hanging="0"/>
              <w:jc w:val="left"/>
              <w:rPr/>
            </w:pPr>
            <w:r>
              <w:rPr/>
              <w:t> </w:t>
            </w:r>
          </w:p>
        </w:tc>
        <w:tc>
          <w:tcPr>
            <w:tcW w:w="912"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57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(8,570</w:t>
            </w:r>
          </w:p>
        </w:tc>
        <w:tc>
          <w:tcPr>
            <w:tcW w:w="80"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shd w:fill="CCEEFF" w:val="clear"/>
            <w:vAlign w:val="center"/>
          </w:tcPr>
          <w:p>
            <w:pPr>
              <w:pStyle w:val="TableContents"/>
              <w:bidi w:val="0"/>
              <w:spacing w:before="0" w:after="283"/>
              <w:jc w:val="left"/>
              <w:rPr/>
            </w:pPr>
            <w:r>
              <w:rPr/>
              <w:t> </w:t>
            </w:r>
          </w:p>
        </w:tc>
        <w:tc>
          <w:tcPr>
            <w:tcW w:w="110" w:type="dxa"/>
            <w:tcBorders/>
            <w:shd w:fill="CCEEFF" w:val="clear"/>
            <w:vAlign w:val="center"/>
          </w:tcPr>
          <w:p>
            <w:pPr>
              <w:pStyle w:val="TableContents"/>
              <w:bidi w:val="0"/>
              <w:spacing w:before="0" w:after="283"/>
              <w:ind w:left="0" w:right="0" w:hanging="0"/>
              <w:jc w:val="left"/>
              <w:rPr/>
            </w:pPr>
            <w:r>
              <w:rPr/>
              <w:t> </w:t>
            </w:r>
          </w:p>
        </w:tc>
        <w:tc>
          <w:tcPr>
            <w:tcW w:w="605" w:type="dxa"/>
            <w:tcBorders/>
            <w:shd w:fill="CCEEFF" w:val="cle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(8,570</w:t>
            </w:r>
          </w:p>
        </w:tc>
        <w:tc>
          <w:tcPr>
            <w:tcW w:w="96" w:type="dxa"/>
            <w:tcBorders/>
            <w:shd w:fill="CCEEFF" w:val="cle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r>
      <w:tr>
        <w:trPr/>
        <w:tc>
          <w:tcPr>
            <w:tcW w:w="4551" w:type="dxa"/>
            <w:tcBorders>
              <w:bottom w:val="single" w:sz="2" w:space="0" w:color="000000"/>
            </w:tcBorders>
            <w:shd w:fill="FFFFFF" w:val="clear"/>
            <w:tcMar>
              <w:bottom w:w="28" w:type="dxa"/>
            </w:tcMar>
            <w:vAlign w:val="center"/>
          </w:tcPr>
          <w:p>
            <w:pPr>
              <w:pStyle w:val="TableContents"/>
              <w:bidi w:val="0"/>
              <w:spacing w:before="0" w:after="0"/>
              <w:ind w:left="360" w:right="0" w:hanging="18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Share-based compensation expense</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5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11,905</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1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7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w:t>
            </w:r>
          </w:p>
        </w:tc>
        <w:tc>
          <w:tcPr>
            <w:tcW w:w="8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shd w:fill="FFFFFF" w:val="clear"/>
            <w:tcMar>
              <w:bottom w:w="28" w:type="dxa"/>
            </w:tcMar>
            <w:vAlign w:val="center"/>
          </w:tcPr>
          <w:p>
            <w:pPr>
              <w:pStyle w:val="TableContents"/>
              <w:bidi w:val="0"/>
              <w:spacing w:before="0" w:after="283"/>
              <w:jc w:val="left"/>
              <w:rPr/>
            </w:pPr>
            <w:r>
              <w:rPr/>
              <w:t> </w:t>
            </w:r>
          </w:p>
        </w:tc>
        <w:tc>
          <w:tcPr>
            <w:tcW w:w="11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0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11,905</w:t>
            </w:r>
          </w:p>
        </w:tc>
        <w:tc>
          <w:tcPr>
            <w:tcW w:w="96" w:type="dxa"/>
            <w:tcBorders/>
            <w:shd w:fill="FFFFFF" w:val="clear"/>
            <w:vAlign w:val="center"/>
          </w:tcPr>
          <w:p>
            <w:pPr>
              <w:pStyle w:val="TableContents"/>
              <w:bidi w:val="0"/>
              <w:spacing w:before="0" w:after="283"/>
              <w:jc w:val="left"/>
              <w:rPr/>
            </w:pPr>
            <w:r>
              <w:rPr/>
              <w:t> </w:t>
            </w:r>
          </w:p>
        </w:tc>
      </w:tr>
      <w:tr>
        <w:trPr/>
        <w:tc>
          <w:tcPr>
            <w:tcW w:w="4551" w:type="dxa"/>
            <w:tcBorders>
              <w:bottom w:val="double" w:sz="6" w:space="0" w:color="000000"/>
            </w:tcBorders>
            <w:shd w:fill="CCEEFF" w:val="clear"/>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18"/>
              </w:rPr>
            </w:pPr>
            <w:r>
              <w:rPr>
                <w:rFonts w:ascii="Times New Roman;Times;serif" w:hAnsi="Times New Roman;Times;serif"/>
                <w:caps w:val="false"/>
                <w:smallCaps w:val="false"/>
                <w:sz w:val="18"/>
              </w:rPr>
              <w:t>Balance at June 28, 2025</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5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49,745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700,763</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201,056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pPr>
            <w:r>
              <w:rPr/>
              <w:t> </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91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(32,636</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57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(88,385</w:t>
            </w:r>
          </w:p>
        </w:tc>
        <w:tc>
          <w:tcPr>
            <w:tcW w:w="80" w:type="dxa"/>
            <w:tcBorders>
              <w:bottom w:val="double" w:sz="6" w:space="0" w:color="000000"/>
            </w:tcBorders>
            <w:shd w:fill="CCEEFF" w:val="clear"/>
            <w:tcMar>
              <w:bottom w:w="28" w:type="dxa"/>
            </w:tcMar>
            <w:vAlign w:val="center"/>
          </w:tcPr>
          <w:p>
            <w:pPr>
              <w:pStyle w:val="TableContents"/>
              <w:bidi w:val="0"/>
              <w:spacing w:before="0" w:after="283"/>
              <w:jc w:val="left"/>
              <w:rPr>
                <w:rFonts w:ascii="Times New Roman;Times;serif" w:hAnsi="Times New Roman;Times;serif"/>
                <w:sz w:val="18"/>
              </w:rPr>
            </w:pPr>
            <w:r>
              <w:rPr>
                <w:rFonts w:ascii="Times New Roman;Times;serif" w:hAnsi="Times New Roman;Times;serif"/>
                <w:sz w:val="18"/>
              </w:rPr>
              <w:t>)</w:t>
            </w:r>
          </w:p>
        </w:tc>
        <w:tc>
          <w:tcPr>
            <w:tcW w:w="6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18"/>
              </w:rPr>
            </w:pPr>
            <w:r>
              <w:rPr>
                <w:rFonts w:ascii="Times New Roman;Times;serif" w:hAnsi="Times New Roman;Times;serif"/>
                <w:sz w:val="18"/>
              </w:rPr>
              <w:t>$</w:t>
            </w:r>
          </w:p>
        </w:tc>
        <w:tc>
          <w:tcPr>
            <w:tcW w:w="60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18"/>
              </w:rPr>
            </w:pPr>
            <w:r>
              <w:rPr>
                <w:rFonts w:ascii="Times New Roman;Times;serif" w:hAnsi="Times New Roman;Times;serif"/>
                <w:sz w:val="18"/>
              </w:rPr>
              <w:t>830,543</w:t>
            </w:r>
          </w:p>
        </w:tc>
        <w:tc>
          <w:tcPr>
            <w:tcW w:w="96"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sz w:val="20"/>
        </w:rPr>
      </w:pPr>
      <w:r>
        <w:rPr>
          <w:rFonts w:ascii="Times New Roman" w:hAnsi="Times New Roman"/>
          <w:i/>
          <w:sz w:val="20"/>
        </w:rPr>
        <w:t>The accompanying notes are an integral part of these statements.</w:t>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5840" w:type="dxa"/>
        <w:jc w:val="left"/>
        <w:tblInd w:w="0" w:type="dxa"/>
        <w:tblLayout w:type="fixed"/>
        <w:tblCellMar>
          <w:top w:w="0" w:type="dxa"/>
          <w:left w:w="0" w:type="dxa"/>
          <w:bottom w:w="0" w:type="dxa"/>
          <w:right w:w="0" w:type="dxa"/>
        </w:tblCellMar>
      </w:tblPr>
      <w:tblGrid>
        <w:gridCol w:w="5840"/>
      </w:tblGrid>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bookmarkStart w:id="8" w:name="cf"/>
            <w:bookmarkEnd w:id="8"/>
            <w:r>
              <w:rPr>
                <w:rFonts w:ascii="Times New Roman" w:hAnsi="Times New Roman"/>
                <w:b/>
                <w:caps w:val="false"/>
                <w:smallCaps w:val="false"/>
                <w:sz w:val="20"/>
              </w:rPr>
              <w:t>COHU, INC.</w:t>
            </w:r>
          </w:p>
        </w:tc>
      </w:tr>
      <w:tr>
        <w:trPr/>
        <w:tc>
          <w:tcPr>
            <w:tcW w:w="5840" w:type="dxa"/>
            <w:tcBorders/>
            <w:vAlign w:val="center"/>
          </w:tcPr>
          <w:p>
            <w:pPr>
              <w:pStyle w:val="TableContents"/>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CONDENSED CONSOLIDATED STATEMENTS OF CASH FLOWS</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(Unaudited)</w:t>
            </w:r>
          </w:p>
        </w:tc>
      </w:tr>
      <w:tr>
        <w:trPr/>
        <w:tc>
          <w:tcPr>
            <w:tcW w:w="5840" w:type="dxa"/>
            <w:tcBorders/>
            <w:vAlign w:val="center"/>
          </w:tcPr>
          <w:p>
            <w:pPr>
              <w:pStyle w:val="TableContents"/>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(in thousands)</w:t>
            </w:r>
          </w:p>
        </w:tc>
      </w:tr>
      <w:tr>
        <w:trPr/>
        <w:tc>
          <w:tcPr>
            <w:tcW w:w="584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tbl>
      <w:tblPr>
        <w:tblW w:w="8315" w:type="dxa"/>
        <w:jc w:val="left"/>
        <w:tblInd w:w="0" w:type="dxa"/>
        <w:tblLayout w:type="fixed"/>
        <w:tblCellMar>
          <w:top w:w="0" w:type="dxa"/>
          <w:left w:w="0" w:type="dxa"/>
          <w:bottom w:w="0" w:type="dxa"/>
          <w:right w:w="0" w:type="dxa"/>
        </w:tblCellMar>
      </w:tblPr>
      <w:tblGrid>
        <w:gridCol w:w="6335"/>
        <w:gridCol w:w="60"/>
        <w:gridCol w:w="125"/>
        <w:gridCol w:w="755"/>
        <w:gridCol w:w="80"/>
        <w:gridCol w:w="60"/>
        <w:gridCol w:w="125"/>
        <w:gridCol w:w="695"/>
        <w:gridCol w:w="80"/>
      </w:tblGrid>
      <w:tr>
        <w:trPr/>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4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633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8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loss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(12,227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(47,684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Adjustments to reconcile net loss to net cash provided by operating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accretion on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(403</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Gain from sale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Depreciation and amortization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26,542</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Pension curtailment gain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Share-based compensation expense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Non-cash inventory related charges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income taxes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(2,572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accrued retiree medical benefits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accrued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cloud-based software implementation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1,439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Mark to market adjustment to contingent consideration</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(1,700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debt discounts and issuance costs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2,677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2,998</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Changes in assets and liabilities, excluding effects from acquisitions: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advances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(958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receivable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(16,801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4,586</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(18,168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1,153</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current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(8,797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Accounts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14,646</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Deferred profit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1,317</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taxes payable</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592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3,453</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Accrued compensation, warranty and other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1,631</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54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and long-term operating lease liabilities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(3,468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provided by operating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20,754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5,865</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investing activities, excluding effects from acquisitions: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short-term investments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(131,314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(25,504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Sales and maturities of short-term investments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110,960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36,637</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Settlement of net investment hedge</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1,449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Purchases of property, plant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(4,328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(13,623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received from sale of 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 for purchase of Tignis, net of cash received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(34,935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investing activities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(23,231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(34,745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flows from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75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jc w:val="left"/>
              <w:rPr/>
            </w:pPr>
            <w:r>
              <w:rPr/>
              <w:t> </w:t>
            </w:r>
          </w:p>
        </w:tc>
        <w:tc>
          <w:tcPr>
            <w:tcW w:w="695" w:type="dxa"/>
            <w:tcBorders/>
            <w:shd w:fill="CCEEFF" w:val="clear"/>
            <w:vAlign w:val="center"/>
          </w:tcPr>
          <w:p>
            <w:pPr>
              <w:pStyle w:val="TableContents"/>
              <w:bidi w:val="0"/>
              <w:spacing w:before="0" w:after="283"/>
              <w:jc w:val="left"/>
              <w:rPr/>
            </w:pPr>
            <w:r>
              <w:rPr/>
              <w:t> </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Payments on current and long-term finance lease liabilities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Repurchases of common stock, net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(3,425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Proceeds from revolving line of credit and revolving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8,730</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Repayments of long-term debt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Acquisition of treasury stock</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(8,587</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cash used in financing activities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(3,642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exchange rate changes on cash and cash equivalents</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(1,326</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(12,041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decrease in cash and cash equivalents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(7,445</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(41,971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beginning of period</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5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227,053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206,407</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and cash equivalents at end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219,608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164,436</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Supplemental disclosure of cash flow information:</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75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69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income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4,253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14,099</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Inventory capitalized as property, plant and equipment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495</w:t>
            </w:r>
          </w:p>
        </w:tc>
        <w:tc>
          <w:tcPr>
            <w:tcW w:w="80" w:type="dxa"/>
            <w:tcBorders/>
            <w:shd w:fill="FFFFFF" w:val="clear"/>
            <w:vAlign w:val="center"/>
          </w:tcPr>
          <w:p>
            <w:pPr>
              <w:pStyle w:val="TableContents"/>
              <w:bidi w:val="0"/>
              <w:spacing w:before="0" w:after="283"/>
              <w:jc w:val="left"/>
              <w:rPr/>
            </w:pPr>
            <w:r>
              <w:rPr/>
              <w:t> </w:t>
            </w:r>
          </w:p>
        </w:tc>
      </w:tr>
      <w:tr>
        <w:trPr/>
        <w:tc>
          <w:tcPr>
            <w:tcW w:w="633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purchases included in accounts payable</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1,132</w:t>
            </w:r>
          </w:p>
        </w:tc>
        <w:tc>
          <w:tcPr>
            <w:tcW w:w="80" w:type="dxa"/>
            <w:tcBorders/>
            <w:shd w:fill="CCEEFF" w:val="clear"/>
            <w:vAlign w:val="center"/>
          </w:tcPr>
          <w:p>
            <w:pPr>
              <w:pStyle w:val="TableContents"/>
              <w:bidi w:val="0"/>
              <w:spacing w:before="0" w:after="283"/>
              <w:jc w:val="left"/>
              <w:rPr/>
            </w:pPr>
            <w:r>
              <w:rPr/>
              <w:t> </w:t>
            </w:r>
          </w:p>
        </w:tc>
      </w:tr>
      <w:tr>
        <w:trPr/>
        <w:tc>
          <w:tcPr>
            <w:tcW w:w="633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interest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rPr>
      </w:pPr>
      <w:r>
        <w:rPr>
          <w:rFonts w:ascii="Times New Roman" w:hAnsi="Times New Roman"/>
          <w:i/>
          <w:caps w:val="false"/>
          <w:smallCaps w:val="false"/>
          <w:sz w:val="20"/>
        </w:rPr>
        <w:t>The accompanying notes are an integral part of these statements.</w:t>
      </w:r>
    </w:p>
    <w:p>
      <w:pPr>
        <w:pStyle w:val="TextBody"/>
        <w:bidi w:val="0"/>
        <w:spacing w:before="0" w:after="0"/>
        <w:ind w:left="560" w:right="0" w:hanging="560"/>
        <w:jc w:val="both"/>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7</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jc w:val="left"/>
        <w:rPr/>
      </w:pPr>
      <w:r>
        <w:rPr/>
        <w:t> </w:t>
      </w:r>
    </w:p>
    <w:p>
      <w:pPr>
        <w:pStyle w:val="TextBody"/>
        <w:bidi w:val="0"/>
        <w:spacing w:before="0" w:after="0"/>
        <w:ind w:left="0" w:right="0" w:hanging="0"/>
        <w:jc w:val="center"/>
        <w:rPr/>
      </w:pPr>
      <w:r>
        <w:rPr/>
        <w:t> </w:t>
      </w:r>
    </w:p>
    <w:p>
      <w:pPr>
        <w:pStyle w:val="TextBody"/>
        <w:bidi w:val="0"/>
        <w:spacing w:before="0" w:after="0"/>
        <w:jc w:val="left"/>
        <w:rPr/>
      </w:pPr>
      <w:r>
        <w:rPr/>
        <w:t> </w:t>
      </w:r>
    </w:p>
    <w:tbl>
      <w:tblPr>
        <w:tblW w:w="3910" w:type="dxa"/>
        <w:jc w:val="left"/>
        <w:tblInd w:w="0" w:type="dxa"/>
        <w:tblLayout w:type="fixed"/>
        <w:tblCellMar>
          <w:top w:w="0" w:type="dxa"/>
          <w:left w:w="0" w:type="dxa"/>
          <w:bottom w:w="0" w:type="dxa"/>
          <w:right w:w="0" w:type="dxa"/>
        </w:tblCellMar>
      </w:tblPr>
      <w:tblGrid>
        <w:gridCol w:w="170"/>
        <w:gridCol w:w="3740"/>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9" w:name="notes"/>
            <w:bookmarkEnd w:id="9"/>
            <w:r>
              <w:rPr>
                <w:rFonts w:ascii="Times New Roman;Times;serif" w:hAnsi="Times New Roman;Times;serif"/>
                <w:b/>
                <w:sz w:val="20"/>
              </w:rPr>
              <w:t>1.</w:t>
            </w:r>
          </w:p>
        </w:tc>
        <w:tc>
          <w:tcPr>
            <w:tcW w:w="37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Summary of Significant Accounting Policies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Basis of Presentation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fiscal years are based on a 52- or 53-week period ending on the last Saturday in December. The condensed consolidated balance sheet at December 27, 2025, has been derived from our audited financial statements at that date. The interim condensed consolidated financial statements as of June 27, 2026, (also referred to as “the second quarter of fiscal 2026” and “the first six months of fiscal 2026”) and June 28, 2025, (also referred to as “the second quarter of fiscal 2025” and “the first six months of fiscal 2025”) are unaudited. However, in management’s opinion, these financial statements reflect all adjustments (consisting only of normal, recurring items) necessary to provide a fair presentation of our financial position, results of operations and cash flows for the periods presented. Both the three- and six-month periods ended June 27, 2026, and June 28, 2025, were comprised of 13 and 26 weeks, respectively.</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interim results are not necessarily indicative of the results that should be expected for the full year. The condensed consolidated financial statements presented herein reflect estimates and assumptions made by management at June 27, 2026, and for the three- and six-month periods ended June 27, 2026. For a better understanding of Cohu, Inc. and our financial statements, we recommend reading these interim condensed consolidated financial statements in conjunction with our audited financial statements for the year ended December 27, 2025, which are included in our 2025 Annual Report on Form 10-K, filed with the U.S. Securities and Exchange Commission (“SEC”). In the following notes to our interim condensed consolidated financial statements, Cohu, Inc., is referred to as “Cohu”, the “Company”, “we”, “our” and “us”.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All significant intercompany transactions and balances have been eliminated in consolidation.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Concentration of Credit Risk</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Financial instruments that potentially subject us to significant credit risk consist principally of cash equivalents, short-term investments and trade accounts receivable. We invest in a variety of financial instruments and, by policy, limit the amount of credit exposure with any one issuer.</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Our trade accounts receivable are presented net of an allowance for credit losses, which is determined in accordance with the guidance provided by Accounting Standards Codification (“ASC”) Topic 326, </w:t>
      </w:r>
      <w:r>
        <w:rPr>
          <w:rFonts w:ascii="Times New Roman" w:hAnsi="Times New Roman"/>
          <w:i/>
          <w:caps w:val="false"/>
          <w:smallCaps w:val="false"/>
          <w:sz w:val="20"/>
        </w:rPr>
        <w:t>Financial Instruments-Credit Losses</w:t>
      </w:r>
      <w:r>
        <w:rPr>
          <w:rFonts w:ascii="Times New Roman" w:hAnsi="Times New Roman"/>
          <w:caps w:val="false"/>
          <w:smallCaps w:val="false"/>
          <w:sz w:val="20"/>
        </w:rPr>
        <w:t xml:space="preserve"> (“ASC 326”). At June 27, 2026, and December 27, 2025, our allowance for credit losses was $0.5 million and $0.1 million, respectively. Our customers include semiconductor manufacturers and semiconductor test subcontractors throughout many areas of the world. While we believe that our allowance for credit losses is adequate and represents our best estimate at June 27, 2026, we will continue to monitor customer liquidity and other economic conditions, which may result in changes to our estimates regarding expected credit losses.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Inventories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Inventories are stated at the lower of cost, determined on a first-in, first-out basis, or net realizable value. Cost includes labor, material and overhead costs. Determining the net realizable value of inventories involves numerous estimates and judgments including projecting average selling prices and sales volumes for future periods. As a result of these analyses, we record a charge to cost of sales in advance of the period when the inventory is sold when estimated market values are below our costs.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Inventories by category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99" w:type="dxa"/>
        <w:jc w:val="left"/>
        <w:tblInd w:w="0" w:type="dxa"/>
        <w:tblLayout w:type="fixed"/>
        <w:tblCellMar>
          <w:top w:w="0" w:type="dxa"/>
          <w:left w:w="0" w:type="dxa"/>
          <w:bottom w:w="0" w:type="dxa"/>
          <w:right w:w="0" w:type="dxa"/>
        </w:tblCellMar>
      </w:tblPr>
      <w:tblGrid>
        <w:gridCol w:w="2810"/>
        <w:gridCol w:w="60"/>
        <w:gridCol w:w="125"/>
        <w:gridCol w:w="695"/>
        <w:gridCol w:w="60"/>
        <w:gridCol w:w="60"/>
        <w:gridCol w:w="171"/>
        <w:gridCol w:w="958"/>
        <w:gridCol w:w="60"/>
      </w:tblGrid>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60" w:type="dxa"/>
            <w:tcBorders/>
            <w:vAlign w:val="center"/>
          </w:tcPr>
          <w:p>
            <w:pPr>
              <w:pStyle w:val="TableContents"/>
              <w:bidi w:val="0"/>
              <w:spacing w:before="0" w:after="283"/>
              <w:jc w:val="left"/>
              <w:rPr/>
            </w:pPr>
            <w:r>
              <w:rPr/>
              <w:t> </w:t>
            </w:r>
          </w:p>
        </w:tc>
      </w:tr>
      <w:tr>
        <w:trPr/>
        <w:tc>
          <w:tcPr>
            <w:tcW w:w="28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Raw materials and purchased parts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92,022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84,797</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8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 in process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26,539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23,388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8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Finished goods</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21,773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20,821</w:t>
            </w:r>
          </w:p>
        </w:tc>
        <w:tc>
          <w:tcPr>
            <w:tcW w:w="60" w:type="dxa"/>
            <w:tcBorders/>
            <w:shd w:fill="CCEEFF" w:val="clear"/>
            <w:vAlign w:val="center"/>
          </w:tcPr>
          <w:p>
            <w:pPr>
              <w:pStyle w:val="TableContents"/>
              <w:bidi w:val="0"/>
              <w:spacing w:before="0" w:after="283"/>
              <w:jc w:val="left"/>
              <w:rPr/>
            </w:pPr>
            <w:r>
              <w:rPr/>
              <w:t> </w:t>
            </w:r>
          </w:p>
        </w:tc>
      </w:tr>
      <w:tr>
        <w:trPr/>
        <w:tc>
          <w:tcPr>
            <w:tcW w:w="281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inventories</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140,334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129,006</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Property, Plant and Equipment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Depreciation and amortization of property, plant and equipment, both owned and under financing lease, is calculated principally on the straight</w:t>
        <w:noBreakHyphen/>
        <w:t xml:space="preserve">line method based on estimated useful lives of thirty to forty years for buildings, five to fifteen years for building improvements, three to ten years for machinery, equipment and software, and the lease life for financing leases. Land is not depreciated. Property, plant and equipment, at cost, consisted of the following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79" w:type="dxa"/>
        <w:jc w:val="left"/>
        <w:tblInd w:w="0" w:type="dxa"/>
        <w:tblLayout w:type="fixed"/>
        <w:tblCellMar>
          <w:top w:w="0" w:type="dxa"/>
          <w:left w:w="0" w:type="dxa"/>
          <w:bottom w:w="0" w:type="dxa"/>
          <w:right w:w="0" w:type="dxa"/>
        </w:tblCellMar>
      </w:tblPr>
      <w:tblGrid>
        <w:gridCol w:w="3950"/>
        <w:gridCol w:w="60"/>
        <w:gridCol w:w="125"/>
        <w:gridCol w:w="695"/>
        <w:gridCol w:w="80"/>
        <w:gridCol w:w="60"/>
        <w:gridCol w:w="171"/>
        <w:gridCol w:w="958"/>
        <w:gridCol w:w="80"/>
      </w:tblGrid>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80" w:type="dxa"/>
            <w:tcBorders/>
            <w:vAlign w:val="center"/>
          </w:tcPr>
          <w:p>
            <w:pPr>
              <w:pStyle w:val="TableContents"/>
              <w:bidi w:val="0"/>
              <w:spacing w:before="0" w:after="283"/>
              <w:jc w:val="left"/>
              <w:rPr/>
            </w:pPr>
            <w:r>
              <w:rPr/>
              <w:t> </w:t>
            </w:r>
          </w:p>
        </w:tc>
      </w:tr>
      <w:tr>
        <w:trPr/>
        <w:tc>
          <w:tcPr>
            <w:tcW w:w="395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Land and land improvements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11,911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12,364</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95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Buildings and building improvements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48,163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49,469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Machinery and equipment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105,358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103,273</w:t>
            </w:r>
          </w:p>
        </w:tc>
        <w:tc>
          <w:tcPr>
            <w:tcW w:w="80" w:type="dxa"/>
            <w:tcBorders/>
            <w:shd w:fill="CCEEFF" w:val="clear"/>
            <w:vAlign w:val="center"/>
          </w:tcPr>
          <w:p>
            <w:pPr>
              <w:pStyle w:val="TableContents"/>
              <w:bidi w:val="0"/>
              <w:spacing w:before="0" w:after="283"/>
              <w:jc w:val="left"/>
              <w:rPr/>
            </w:pPr>
            <w:r>
              <w:rPr/>
              <w:t> </w:t>
            </w:r>
          </w:p>
        </w:tc>
      </w:tr>
      <w:tr>
        <w:trPr/>
        <w:tc>
          <w:tcPr>
            <w:tcW w:w="395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165,432</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165,106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95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accumulated depreciation and amortization</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(89,962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(88,119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95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75,470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76,987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Cloud-based Enterprise Resource Planning Implementation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have capitalized certain costs associated with the implementation of our cloud-based Enterprise Resource Planning (“ERP”) system in accordance with ASC Topic 350, </w:t>
      </w:r>
      <w:r>
        <w:rPr>
          <w:rFonts w:ascii="Times New Roman" w:hAnsi="Times New Roman"/>
          <w:i/>
          <w:caps w:val="false"/>
          <w:smallCaps w:val="false"/>
          <w:sz w:val="20"/>
        </w:rPr>
        <w:t>Intangibles</w:t>
      </w:r>
      <w:r>
        <w:rPr>
          <w:rFonts w:ascii="Times New Roman" w:hAnsi="Times New Roman"/>
          <w:caps w:val="false"/>
          <w:smallCaps w:val="false"/>
          <w:sz w:val="20"/>
        </w:rPr>
        <w:t>—</w:t>
      </w:r>
      <w:r>
        <w:rPr>
          <w:rFonts w:ascii="Times New Roman" w:hAnsi="Times New Roman"/>
          <w:i/>
          <w:caps w:val="false"/>
          <w:smallCaps w:val="false"/>
          <w:sz w:val="20"/>
        </w:rPr>
        <w:t>Goodwill and Other</w:t>
      </w:r>
      <w:r>
        <w:rPr>
          <w:rFonts w:ascii="Times New Roman" w:hAnsi="Times New Roman"/>
          <w:caps w:val="false"/>
          <w:smallCaps w:val="false"/>
          <w:sz w:val="20"/>
        </w:rPr>
        <w:t xml:space="preserve"> (“ASC 350”). Capitalized costs include only external direct costs of materials and services consumed in developing the system and interest costs incurred, when material, while developing the system.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Total unamortized capitalized cloud computing implementation costs totaled $5.6 million and $7.0 million at June 27, 2026, and December 27, 2025, respectively. These amounts are recorded in other current assets and other assets in our condensed consolidated balance sheets. Implementation costs are amortized using the straight-line method over seven years and we recorded amortization expense of $0.7 million and $1.4 million during the three and six months ended June 27, 2026, respectively, and amortization expense of $0.7 million and $1.4 million during the three and six months ended June 28, 2025,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Segment Information</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apply the provisions of ASC Topic 280, </w:t>
      </w:r>
      <w:r>
        <w:rPr>
          <w:rFonts w:ascii="Times New Roman" w:hAnsi="Times New Roman"/>
          <w:i/>
          <w:caps w:val="false"/>
          <w:smallCaps w:val="false"/>
          <w:sz w:val="20"/>
        </w:rPr>
        <w:t>Segment Reporting</w:t>
      </w:r>
      <w:r>
        <w:rPr>
          <w:rFonts w:ascii="Times New Roman" w:hAnsi="Times New Roman"/>
          <w:caps w:val="false"/>
          <w:smallCaps w:val="false"/>
          <w:sz w:val="20"/>
        </w:rPr>
        <w:t xml:space="preserve">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Chief Operating Decision Maker (“CODM”) and for which discrete financial information is available. We have determined that our three identified operating segments are: Test Handler (“TH”), Semiconductor Tester (“ST”) and Interface Solutions (“IS”). Our TH, ST and IS operating segments qualify for aggregation under ASC 280 due to similarities in their customers, their economic characteristics, and the nature of products and services provided. As a result, we report in one segment, Semiconductor Test and Inspection Equipment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Goodwill, Intangible Assets and Other Long-Lived Assets</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evaluate goodwill for impairment annually and whenever events or changes in circumstances 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noBreakHyphen/>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noBreakHyphen/>
        <w:t>term growth assumptions, macroeconomic conditions, customer demand, competitive dynamics, or other factors could result in a reduction in the estimated fair value of one or more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performed our annual goodwill impairment test as of October 1, 2025, and determined that the estimated fair values of our reporting units exceeded their respective carrying values. As disclosed in our Annual Report on Form 10-K for fiscal 2025, our IS reporting unit had less excess fair value over carrying value relative to our other reporting units as of the annual assessment date. Goodwill associated with the IS reporting unit represented approximately 39% of total goodwill as of the annual assessment date. Based on our analysis, including all relevant qualitative and quantitative factors, we concluded that no impairment existed as of the annual assessment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Additionally, goodwill is required to be evaluated for impairment between annual testing dates if indicators of impairment arise. As of June 27, 2026, we determined that no such triggering events had occurred. If circumstances change and an interim impairment assessment is required, it could result in a non</w:t>
        <w:noBreakHyphen/>
        <w:t>cash impairment charge, which could be material and would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six months of fiscal 2026 and 2025,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Product warranty costs are accrued in the period sales are recognized. Our products are generally sold with standard warranty periods, which differ by product, ranging from 12 to 36 months. Parts and labor are typically covered under the terms of the warranty agreement. Our warranty expense accruals are based on historical and estimated costs by product and configuration. From time to time, we offer customers extended warranties beyond the standard warranty period. In those situations, the revenue relating to the extended warranty is deferred at its estimated relative standalone selling price and recognized on a straight-line basis over the extended warranty period. Costs associated with our extended warranty contracts are expensed as incurred.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Restructuring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record restructuring activities including costs for one-time termination benefits in accordance with ASC Topic 420, </w:t>
      </w:r>
      <w:r>
        <w:rPr>
          <w:rFonts w:ascii="Times New Roman" w:hAnsi="Times New Roman"/>
          <w:i/>
          <w:caps w:val="false"/>
          <w:smallCaps w:val="false"/>
          <w:sz w:val="20"/>
        </w:rPr>
        <w:t>Exit or Disposal Cost Obligations</w:t>
      </w:r>
      <w:r>
        <w:rPr>
          <w:rFonts w:ascii="Times New Roman" w:hAnsi="Times New Roman"/>
          <w:caps w:val="false"/>
          <w:smallCaps w:val="false"/>
          <w:sz w:val="20"/>
        </w:rPr>
        <w:t xml:space="preserve"> (“ASC 420”)</w:t>
      </w:r>
      <w:r>
        <w:rPr>
          <w:rFonts w:ascii="Times New Roman" w:hAnsi="Times New Roman"/>
          <w:i/>
          <w:caps w:val="false"/>
          <w:smallCaps w:val="false"/>
          <w:sz w:val="20"/>
        </w:rPr>
        <w:t>.</w:t>
      </w:r>
      <w:r>
        <w:rPr>
          <w:rFonts w:ascii="Times New Roman" w:hAnsi="Times New Roman"/>
          <w:caps w:val="false"/>
          <w:smallCaps w:val="false"/>
          <w:sz w:val="20"/>
        </w:rPr>
        <w:t xml:space="preserve"> The timing of recognition for severance costs accounted for under ASC 420 depends on whether employees are required to render service until they are terminated in order to receive the termination benefits. If employees are required to render service until they are terminated in order to receive the termination benefits, a liability is recognized ratably over the future service period. Otherwise, a liability is recognized when management has committed to a restructuring plan and has communicated those actions to employees. Employee termination benefits covered by existing benefit arrangements are recorded in accordance with ASC Topic 712, </w:t>
      </w:r>
      <w:r>
        <w:rPr>
          <w:rFonts w:ascii="Times New Roman" w:hAnsi="Times New Roman"/>
          <w:i/>
          <w:caps w:val="false"/>
          <w:smallCaps w:val="false"/>
          <w:sz w:val="20"/>
        </w:rPr>
        <w:t>Nonretirement Postemployment Benefits</w:t>
      </w:r>
      <w:r>
        <w:rPr>
          <w:rFonts w:ascii="Times New Roman" w:hAnsi="Times New Roman"/>
          <w:caps w:val="false"/>
          <w:smallCaps w:val="false"/>
          <w:sz w:val="20"/>
        </w:rPr>
        <w:t>. These costs are recognized when management has committed to a restructuring plan and the severance costs are probable and estimable. See Note 4, “Restructuring Charges”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Debt Issuance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defer costs related to the issuance of debt. Debt issuance costs directly related to our Convertible Notes (the “Notes”) are presented within noncurrent liabilities as a reduction of long-term debt in our consolidated balance sheets. The amortization of such costs is recognized as interest expense using the effective interest method over the term of the respective debt issue. Amortization related to deferred debt issuance costs and original discount costs was $0.4 million and $0.8 million for the three and six months ended June 27, 2026, respectively.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Foreign Remeasurement and Currency Translation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Assets and liabilities of our wholly owned foreign subsidiaries that use the U.S. Dollar as their functional currency are re-measured using exchange rates in effect at the end of the period, except for nonmonetary assets, such as inventories and property, plant and equipment, which are re-measured using historical exchange rates. Revenues and costs are re-measured using average exchange rates for the period, except for costs related to those balance sheet items that are re-measured using historical exchange rates. Gains and losses on foreign currency transactions are recognized as incurred. During both the three and six months ended June 27, 2026, we recognized foreign exchange losses, net of the impact of foreign exchange derivative contracts, of $0.6 million in each period. During both the three and six months ended June 28, 2025, we recognized foreign exchange losses, net of the impact of foreign exchange derivative contracts, of $0.4 million in each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Certain of our foreign subsidiaries have designated the local currency as their functional currency and, as a result, their assets and liabilities are translated at the rate of exchange at the balance sheet date, while revenue and expenses are translated using the average exchange rate for the period. Cumulative foreign currency translation adjustments resulting from the translation of the financial statements are included as a separate component of stockholders’ equity.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Foreign Exchange Derivative Contracts</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operate and sell our products in various global markets. As a result, we are exposed to changes in foreign currency exchange rates. To minimize foreign exchange volatility, we enter into foreign currency forward contracts with a financial institution to hedge against future movements in foreign exchange rates. We do not use derivative financial instruments for speculative or trading purposes. The accounting for changes in the fair value of our derivatives depends on the intended use of the derivative and whether we have elected to designate a derivative as a hedging relationship and apply hedge accounting. All derivative instruments are recognized at fair value on our condensed consolidated balance sheets and all changes in fair value are recognized in net earnings or in the condensed consolidated statements of stockholders’ equity through accumulated other comprehensive loss (AOCL).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qualify for hedge accounting treatment, the hedge contracts must be effective at reducing the risk associated with the exposure being hedged and must be designated as a hedge at the inception of the contract. Hedge effectiveness is assessed periodically. For accounting purposes, certain of our foreign currency forward contracts are not designated as hedging instruments and, accordingly, we record the fair value of these contracts as of the end of our reporting period in our condensed consolidated balance sheets with changes in fair value recorded within foreign transaction gain (loss) in our condensed consolidated statements of operations for both realized and unrealized gains and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See Note 7, “Derivative Financial Instruments” for additional information.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Share-Based Compensation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measure and recognize all share-based compensation under the fair value method. Reported share-based compensation is classified in our condensed consolidated financial statements,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513" w:type="dxa"/>
        <w:jc w:val="left"/>
        <w:tblInd w:w="0" w:type="dxa"/>
        <w:tblLayout w:type="fixed"/>
        <w:tblCellMar>
          <w:top w:w="0" w:type="dxa"/>
          <w:left w:w="0" w:type="dxa"/>
          <w:bottom w:w="0" w:type="dxa"/>
          <w:right w:w="0" w:type="dxa"/>
        </w:tblCellMar>
      </w:tblPr>
      <w:tblGrid>
        <w:gridCol w:w="2975"/>
        <w:gridCol w:w="60"/>
        <w:gridCol w:w="161"/>
        <w:gridCol w:w="626"/>
        <w:gridCol w:w="77"/>
        <w:gridCol w:w="77"/>
        <w:gridCol w:w="161"/>
        <w:gridCol w:w="626"/>
        <w:gridCol w:w="60"/>
        <w:gridCol w:w="60"/>
        <w:gridCol w:w="125"/>
        <w:gridCol w:w="590"/>
        <w:gridCol w:w="60"/>
        <w:gridCol w:w="60"/>
        <w:gridCol w:w="125"/>
        <w:gridCol w:w="590"/>
        <w:gridCol w:w="80"/>
      </w:tblGrid>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5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77"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ind w:left="0" w:right="0" w:hanging="0"/>
              <w:jc w:val="left"/>
              <w:rPr/>
            </w:pPr>
            <w:r>
              <w:rPr/>
              <w:t> </w:t>
            </w:r>
          </w:p>
        </w:tc>
        <w:tc>
          <w:tcPr>
            <w:tcW w:w="78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29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8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219</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16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723</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2,733</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5,301</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8,449</w:t>
            </w:r>
          </w:p>
        </w:tc>
        <w:tc>
          <w:tcPr>
            <w:tcW w:w="80" w:type="dxa"/>
            <w:tcBorders/>
            <w:shd w:fill="CCEEFF" w:val="clear"/>
            <w:vAlign w:val="center"/>
          </w:tcPr>
          <w:p>
            <w:pPr>
              <w:pStyle w:val="TableContents"/>
              <w:bidi w:val="0"/>
              <w:spacing w:before="0" w:after="283"/>
              <w:jc w:val="left"/>
              <w:rPr/>
            </w:pPr>
            <w:r>
              <w:rPr/>
              <w:t> </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w:t>
            </w:r>
          </w:p>
        </w:tc>
        <w:tc>
          <w:tcPr>
            <w:tcW w:w="60"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161" w:type="dxa"/>
            <w:tcBorders/>
            <w:shd w:fill="FFFFFF" w:val="clear"/>
            <w:vAlign w:val="center"/>
          </w:tcPr>
          <w:p>
            <w:pPr>
              <w:pStyle w:val="TableContents"/>
              <w:bidi w:val="0"/>
              <w:spacing w:before="0" w:after="283"/>
              <w:ind w:left="0" w:right="0" w:hanging="0"/>
              <w:jc w:val="left"/>
              <w:rPr/>
            </w:pPr>
            <w:r>
              <w:rPr/>
              <w:t> </w:t>
            </w:r>
          </w:p>
        </w:tc>
        <w:tc>
          <w:tcPr>
            <w:tcW w:w="626"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80" w:type="dxa"/>
            <w:tcBorders/>
            <w:shd w:fill="FFFFFF" w:val="clear"/>
            <w:vAlign w:val="center"/>
          </w:tcPr>
          <w:p>
            <w:pPr>
              <w:pStyle w:val="TableContents"/>
              <w:bidi w:val="0"/>
              <w:spacing w:before="0" w:after="283"/>
              <w:jc w:val="left"/>
              <w:rPr/>
            </w:pPr>
            <w:r>
              <w:rPr/>
              <w:t> </w:t>
            </w:r>
          </w:p>
        </w:tc>
      </w:tr>
      <w:tr>
        <w:trPr/>
        <w:tc>
          <w:tcPr>
            <w:tcW w:w="29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tax effect</w:t>
            </w:r>
          </w:p>
        </w:tc>
        <w:tc>
          <w:tcPr>
            <w:tcW w:w="60"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16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26"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9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share-based compensation, net</w:t>
            </w:r>
          </w:p>
        </w:tc>
        <w:tc>
          <w:tcPr>
            <w:tcW w:w="60"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6,799</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ind w:left="0" w:right="0" w:hanging="0"/>
              <w:jc w:val="left"/>
              <w:rPr/>
            </w:pPr>
            <w:r>
              <w:rPr/>
              <w:t> </w:t>
            </w:r>
          </w:p>
        </w:tc>
        <w:tc>
          <w:tcPr>
            <w:tcW w:w="16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26"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7,099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11,514</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 xml:space="preserve">Loss Per Share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Basic loss per common share is computed by dividing net loss by the weighted-average number of common shares outstanding during the reporting period. Diluted loss per share includes the dilutive effect of common shares potentially issuable upon the exercise of stock options, vesting of outstanding restricted stock and performance stock units and issuance of stock under our employee stock purchase plan using the treasury stock method. In loss periods, potentially dilutive securities are excluded from the per share computations due to their anti-dilutive effect. For purposes of computing diluted loss per share, certain restricted and performance stock units and stock options with exercise prices that exceed the average fair market value of our common stock for the period are excluded. The dilutive effect of the Notes is calculated under the if-converted method. Shares issuable upon conversion of the Notes are excluded from diluted net loss per common share in any quarter when the weighted average fair market value of our common stock is below the conversion price. For the year-to-date diluted net loss per common share calculation, the number of incremental common shares is determined by averaging the number of incremental common shares included in each calculation of quarterly diluted net loss per common share. For the three and six months ended June 27, 2026, and June 28, 2025, potentially dilutive securities were excluded from the computation of diluted loss per share because their effect would have been anti-dilutive. For the three and six months ended June 27, 2026, such securities primarily consisted of shares issuable upon conversion of the Notes, which totaled approximately 4.6 million and 2.7 million shares, respectively, while the effect of employee equity awards for the periods was not material. For the three and six months ended June 28, 2025, employee equity awards to issue approximately 574,000 and 638,000 shares of common stock, respectively, were excluded from the computation. All shares repurchased and held as treasury stock are reflected as a reduction to our basic weighted-average shares outstanding based on the trade date of the share repurchase.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reconciles the denominators used in computing basic and diluted loss per share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278" w:type="dxa"/>
        <w:jc w:val="left"/>
        <w:tblInd w:w="0" w:type="dxa"/>
        <w:tblLayout w:type="fixed"/>
        <w:tblCellMar>
          <w:top w:w="0" w:type="dxa"/>
          <w:left w:w="0" w:type="dxa"/>
          <w:bottom w:w="0" w:type="dxa"/>
          <w:right w:w="0" w:type="dxa"/>
        </w:tblCellMar>
      </w:tblPr>
      <w:tblGrid>
        <w:gridCol w:w="2780"/>
        <w:gridCol w:w="60"/>
        <w:gridCol w:w="73"/>
        <w:gridCol w:w="718"/>
        <w:gridCol w:w="73"/>
        <w:gridCol w:w="73"/>
        <w:gridCol w:w="73"/>
        <w:gridCol w:w="718"/>
        <w:gridCol w:w="60"/>
        <w:gridCol w:w="60"/>
        <w:gridCol w:w="64"/>
        <w:gridCol w:w="637"/>
        <w:gridCol w:w="64"/>
        <w:gridCol w:w="64"/>
        <w:gridCol w:w="64"/>
        <w:gridCol w:w="637"/>
        <w:gridCol w:w="60"/>
      </w:tblGrid>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0"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73"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9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64" w:type="dxa"/>
            <w:tcBorders/>
            <w:vAlign w:val="center"/>
          </w:tcPr>
          <w:p>
            <w:pPr>
              <w:pStyle w:val="TableContents"/>
              <w:bidi w:val="0"/>
              <w:spacing w:before="0" w:after="283"/>
              <w:jc w:val="left"/>
              <w:rPr/>
            </w:pPr>
            <w:r>
              <w:rPr/>
              <w:t> </w:t>
            </w:r>
          </w:p>
        </w:tc>
        <w:tc>
          <w:tcPr>
            <w:tcW w:w="64" w:type="dxa"/>
            <w:tcBorders/>
            <w:vAlign w:val="center"/>
          </w:tcPr>
          <w:p>
            <w:pPr>
              <w:pStyle w:val="TableContents"/>
              <w:bidi w:val="0"/>
              <w:spacing w:before="0" w:after="283"/>
              <w:ind w:left="0" w:right="0" w:hanging="0"/>
              <w:jc w:val="left"/>
              <w:rPr/>
            </w:pPr>
            <w:r>
              <w:rPr/>
              <w:t> </w:t>
            </w:r>
          </w:p>
        </w:tc>
        <w:tc>
          <w:tcPr>
            <w:tcW w:w="701"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2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73"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9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4" w:type="dxa"/>
            <w:tcBorders>
              <w:bottom w:val="single" w:sz="2" w:space="0" w:color="000000"/>
            </w:tcBorders>
            <w:tcMar>
              <w:bottom w:w="28" w:type="dxa"/>
            </w:tcMar>
            <w:vAlign w:val="center"/>
          </w:tcPr>
          <w:p>
            <w:pPr>
              <w:pStyle w:val="TableContents"/>
              <w:bidi w:val="0"/>
              <w:spacing w:before="0" w:after="283"/>
              <w:jc w:val="left"/>
              <w:rPr/>
            </w:pPr>
            <w:r>
              <w:rPr/>
              <w:t> </w:t>
            </w:r>
          </w:p>
        </w:tc>
        <w:tc>
          <w:tcPr>
            <w:tcW w:w="6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01"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average common shares</w:t>
            </w:r>
          </w:p>
        </w:tc>
        <w:tc>
          <w:tcPr>
            <w:tcW w:w="60"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7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ind w:left="0" w:right="0" w:hanging="0"/>
              <w:jc w:val="left"/>
              <w:rPr/>
            </w:pPr>
            <w:r>
              <w:rPr/>
              <w:t> </w:t>
            </w:r>
          </w:p>
        </w:tc>
        <w:tc>
          <w:tcPr>
            <w:tcW w:w="63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60" w:type="dxa"/>
            <w:tcBorders/>
            <w:shd w:fill="CCEEFF" w:val="clear"/>
            <w:vAlign w:val="center"/>
          </w:tcPr>
          <w:p>
            <w:pPr>
              <w:pStyle w:val="TableContents"/>
              <w:bidi w:val="0"/>
              <w:spacing w:before="0" w:after="283"/>
              <w:jc w:val="left"/>
              <w:rPr/>
            </w:pPr>
            <w:r>
              <w:rPr/>
              <w:t> </w:t>
            </w:r>
          </w:p>
        </w:tc>
      </w:tr>
      <w:tr>
        <w:trPr/>
        <w:tc>
          <w:tcPr>
            <w:tcW w:w="2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Effect of dilutive securities</w:t>
            </w:r>
          </w:p>
        </w:tc>
        <w:tc>
          <w:tcPr>
            <w:tcW w:w="60"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3"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7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4" w:type="dxa"/>
            <w:tcBorders/>
            <w:shd w:fill="FFFFFF" w:val="clear"/>
            <w:vAlign w:val="center"/>
          </w:tcPr>
          <w:p>
            <w:pPr>
              <w:pStyle w:val="TableContents"/>
              <w:bidi w:val="0"/>
              <w:spacing w:before="0" w:after="283"/>
              <w:jc w:val="left"/>
              <w:rPr/>
            </w:pPr>
            <w:r>
              <w:rPr/>
              <w:t> </w:t>
            </w:r>
          </w:p>
        </w:tc>
        <w:tc>
          <w:tcPr>
            <w:tcW w:w="64" w:type="dxa"/>
            <w:tcBorders/>
            <w:shd w:fill="FFFFFF" w:val="clear"/>
            <w:vAlign w:val="center"/>
          </w:tcPr>
          <w:p>
            <w:pPr>
              <w:pStyle w:val="TableContents"/>
              <w:bidi w:val="0"/>
              <w:spacing w:before="0" w:after="283"/>
              <w:jc w:val="left"/>
              <w:rPr/>
            </w:pPr>
            <w:r>
              <w:rPr/>
              <w:t> </w:t>
            </w:r>
          </w:p>
        </w:tc>
        <w:tc>
          <w:tcPr>
            <w:tcW w:w="64"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3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r>
      <w:tr>
        <w:trPr/>
        <w:tc>
          <w:tcPr>
            <w:tcW w:w="27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47,328</w:t>
            </w:r>
          </w:p>
        </w:tc>
        <w:tc>
          <w:tcPr>
            <w:tcW w:w="73"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jc w:val="left"/>
              <w:rPr/>
            </w:pPr>
            <w:r>
              <w:rPr/>
              <w:t> </w:t>
            </w:r>
          </w:p>
        </w:tc>
        <w:tc>
          <w:tcPr>
            <w:tcW w:w="7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1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47,162</w:t>
            </w:r>
          </w:p>
        </w:tc>
        <w:tc>
          <w:tcPr>
            <w:tcW w:w="64" w:type="dxa"/>
            <w:tcBorders/>
            <w:shd w:fill="CCEEFF" w:val="clear"/>
            <w:vAlign w:val="center"/>
          </w:tcPr>
          <w:p>
            <w:pPr>
              <w:pStyle w:val="TableContents"/>
              <w:bidi w:val="0"/>
              <w:spacing w:before="0" w:after="283"/>
              <w:jc w:val="left"/>
              <w:rPr/>
            </w:pPr>
            <w:r>
              <w:rPr/>
              <w:t> </w:t>
            </w:r>
          </w:p>
        </w:tc>
        <w:tc>
          <w:tcPr>
            <w:tcW w:w="64" w:type="dxa"/>
            <w:tcBorders/>
            <w:shd w:fill="CCEEFF" w:val="clear"/>
            <w:vAlign w:val="center"/>
          </w:tcPr>
          <w:p>
            <w:pPr>
              <w:pStyle w:val="TableContents"/>
              <w:bidi w:val="0"/>
              <w:spacing w:before="0" w:after="283"/>
              <w:jc w:val="left"/>
              <w:rPr/>
            </w:pPr>
            <w:r>
              <w:rPr/>
              <w:t> </w:t>
            </w:r>
          </w:p>
        </w:tc>
        <w:tc>
          <w:tcPr>
            <w:tcW w:w="64"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3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46,653</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Leases</w:t>
      </w:r>
    </w:p>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determine if a contract contains a lease at inception. Operating leases are included in operating lease right of use (“ROU”) assets, current other accrued liabilities, and long-term lease liabilities on our condensed consolidated balance sheets. Finance leases are included in property, plant and equipment, other current accrued liabilities, and long-term lease liabilities on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Operating lease ROU assets and operating lease liabilities are recognized based on the present value of the future minimum lease payments over the lease term at January 1, 2019, the adoption date of ASU 2016-02, </w:t>
      </w:r>
      <w:r>
        <w:rPr>
          <w:rFonts w:ascii="Times New Roman" w:hAnsi="Times New Roman"/>
          <w:i/>
          <w:caps w:val="false"/>
          <w:smallCaps w:val="false"/>
          <w:sz w:val="20"/>
        </w:rPr>
        <w:t>Leases (Topic 842)</w:t>
      </w:r>
      <w:r>
        <w:rPr>
          <w:rFonts w:ascii="Times New Roman" w:hAnsi="Times New Roman"/>
          <w:caps w:val="false"/>
          <w:smallCaps w:val="false"/>
          <w:sz w:val="20"/>
        </w:rPr>
        <w:t>, or the commencement date for leases entered into after the adoption date. As most of our leases do not provide an implicit rate, we use our incremental borrowing rates for the remaining lease terms based on the information available at the adoption date or commencement date in determining the present value of future payments.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operating lease ROU asset also includes any lease payments made, lease incentives, favorable and unfavorable lease terms recognized in business acquisitions and excludes initial direct costs incurred and variable lease payments. Variable lease payments include estimated payments that are subject to reconciliations throughout the lease term, increases or decreases in the contractual rent payments, as a result of changes in indices or interest rates and tax payments that are based on prevailing rates. Our lease terms may include renewal options to extend the lease when it is reasonably certain that we will exercise those options. In addition, we include purchase option amounts in our calculations when it is reasonably certain that we will exercise those options. Rent expense for minimum payments under operating leases is recognized on a straight-line basis over the term.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Leases with an initial term of 12 months or less are not recorded on the consolidated balance sheet but recognized in our consolidated statements of operations on a straight-line basis over the lease term. We account for lease and non-lease components as a single lease component and include both in our calculation of the ROU assets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sublease certain leased assets to third parties, mainly as a result of unused space in our facilities. None of our subleases contain extension options. Variable lease payments in our subleases include tax payments that are based on prevailing rates. We account for lease and non-lease components as a single lease component.</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Revenue Recognition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we transfer control to our customer for the related contract or upon completion of the services if they are short-term in nature. Spares, contactor and kit revenue is generally recognized upon shipment.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Certain of our equipment sales have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Unsatisfied performance obligations primarily represent contracts for products with future delivery dates. At June 27, 2026, we had $4.8 million of revenue expected to be recognized in the future related to performance obligations that were unsatisfied (or partially unsatisfied) for contracts with original expected durations of over one year. As allowed under ASC Topic 606, </w:t>
      </w:r>
      <w:r>
        <w:rPr>
          <w:rFonts w:ascii="Times New Roman" w:hAnsi="Times New Roman"/>
          <w:i/>
          <w:caps w:val="false"/>
          <w:smallCaps w:val="false"/>
          <w:sz w:val="20"/>
        </w:rPr>
        <w:t>Revenue from Contracts with Customers</w:t>
      </w:r>
      <w:r>
        <w:rPr>
          <w:rFonts w:ascii="Times New Roman" w:hAnsi="Times New Roman"/>
          <w:caps w:val="false"/>
          <w:smallCaps w:val="false"/>
          <w:sz w:val="20"/>
        </w:rPr>
        <w:t xml:space="preserve"> (“ASC 606”), we have opted to not disclose unsatisfied performance obligations for contracts with original expected durations of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generally sell our equipment with a product warranty. The product warranty provides assurance to customers that delivered products are as specified in the contract (an “assurance-type warranty”). Therefore, we account for such product warranties under ASC Topic 460, </w:t>
      </w:r>
      <w:r>
        <w:rPr>
          <w:rFonts w:ascii="Times New Roman" w:hAnsi="Times New Roman"/>
          <w:i/>
          <w:caps w:val="false"/>
          <w:smallCaps w:val="false"/>
          <w:sz w:val="20"/>
        </w:rPr>
        <w:t xml:space="preserve">Guarantees </w:t>
      </w:r>
      <w:r>
        <w:rPr>
          <w:rFonts w:ascii="Times New Roman" w:hAnsi="Times New Roman"/>
          <w:caps w:val="false"/>
          <w:smallCaps w:val="false"/>
          <w:sz w:val="20"/>
        </w:rPr>
        <w:t>(“ASC 460”), and not as a separate performance obligation.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includes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in which it is probable that a significant reversal of cumulative revenue recognized will not occur when the uncertainty associated with the variable consideration is subsequently resolved. Variable consideration that does not meet revenue recognition criteria is deferred.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For contracts that are less than one year in duration, we have elected to use the practical expedient available in ASC 606 to expense cost to obtain contracts as they are incurred because they would be amortized over less than one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Accounts receivable represents our unconditional right to receive consideration from our customer. Payment terms do not exceed one year from the invoice date and therefore do not include a significant financing component. To date, there have been no material impairment losses on accounts receivable. There were no material contract assets or contract liabilities recorded on our condensed consolidated balance sheet in any of the periods presented.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shipments where sales are not recognized, gross profit is recorded as deferred profit in our condensed consolidated balance sheet, representing the difference between the receivable recorded and the inventory shipped. In certain instances where customer payments are received prior to product shipment, the customer’s payments are recorded as customer advances. At June 27, 2026, we had deferred revenue totaling approximately $13.8 million, current deferred profit of $8.3 million and deferred profit expected to be recognized after one year included in noncurrent other accrued liabilities of $3.4 million. At December 27, 2025, we had deferred revenue totaling approximately $15.3 million, current deferred profit of $8.6 million and deferred profit expected to be recognized after one year included in noncurrent other accrued liabilities of $3.7 million.</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Net sales by type are as follows </w:t>
      </w:r>
      <w:r>
        <w:rPr>
          <w:rFonts w:ascii="Times New Roman" w:hAnsi="Times New Roman"/>
          <w:i/>
          <w:caps w:val="false"/>
          <w:smallCaps w:val="false"/>
          <w:sz w:val="20"/>
        </w:rPr>
        <w:t>(in thousands):</w:t>
      </w:r>
    </w:p>
    <w:p>
      <w:pPr>
        <w:pStyle w:val="TextBody"/>
        <w:bidi w:val="0"/>
        <w:spacing w:before="0" w:after="0"/>
        <w:ind w:left="0" w:right="0" w:hanging="0"/>
        <w:jc w:val="left"/>
        <w:rPr>
          <w:caps w:val="false"/>
          <w:smallCaps w:val="false"/>
        </w:rPr>
      </w:pPr>
      <w:r>
        <w:rPr>
          <w:caps w:val="false"/>
          <w:smallCaps w:val="false"/>
        </w:rPr>
        <w:t> </w:t>
      </w:r>
    </w:p>
    <w:tbl>
      <w:tblPr>
        <w:tblW w:w="7161" w:type="dxa"/>
        <w:jc w:val="left"/>
        <w:tblInd w:w="0" w:type="dxa"/>
        <w:tblLayout w:type="fixed"/>
        <w:tblCellMar>
          <w:top w:w="0" w:type="dxa"/>
          <w:left w:w="0" w:type="dxa"/>
          <w:bottom w:w="0" w:type="dxa"/>
          <w:right w:w="0" w:type="dxa"/>
        </w:tblCellMar>
      </w:tblPr>
      <w:tblGrid>
        <w:gridCol w:w="2045"/>
        <w:gridCol w:w="60"/>
        <w:gridCol w:w="176"/>
        <w:gridCol w:w="983"/>
        <w:gridCol w:w="60"/>
        <w:gridCol w:w="60"/>
        <w:gridCol w:w="176"/>
        <w:gridCol w:w="983"/>
        <w:gridCol w:w="60"/>
        <w:gridCol w:w="60"/>
        <w:gridCol w:w="176"/>
        <w:gridCol w:w="983"/>
        <w:gridCol w:w="60"/>
        <w:gridCol w:w="60"/>
        <w:gridCol w:w="176"/>
        <w:gridCol w:w="983"/>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Systems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70,662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39,643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120,102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75,285</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Non-systems</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78,340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68,037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154,019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129,192</w:t>
            </w:r>
          </w:p>
        </w:tc>
        <w:tc>
          <w:tcPr>
            <w:tcW w:w="60" w:type="dxa"/>
            <w:tcBorders/>
            <w:shd w:fill="FFFFFF" w:val="clear"/>
            <w:vAlign w:val="center"/>
          </w:tcPr>
          <w:p>
            <w:pPr>
              <w:pStyle w:val="TableContents"/>
              <w:bidi w:val="0"/>
              <w:spacing w:before="0" w:after="283"/>
              <w:jc w:val="left"/>
              <w:rPr/>
            </w:pPr>
            <w:r>
              <w:rPr/>
              <w:t> </w:t>
            </w:r>
          </w:p>
        </w:tc>
      </w:tr>
      <w:tr>
        <w:trPr/>
        <w:tc>
          <w:tcPr>
            <w:tcW w:w="20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Revenue by geographic area based upon product shipment destination was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161" w:type="dxa"/>
        <w:jc w:val="left"/>
        <w:tblInd w:w="0" w:type="dxa"/>
        <w:tblLayout w:type="fixed"/>
        <w:tblCellMar>
          <w:top w:w="0" w:type="dxa"/>
          <w:left w:w="0" w:type="dxa"/>
          <w:bottom w:w="0" w:type="dxa"/>
          <w:right w:w="0" w:type="dxa"/>
        </w:tblCellMar>
      </w:tblPr>
      <w:tblGrid>
        <w:gridCol w:w="2045"/>
        <w:gridCol w:w="60"/>
        <w:gridCol w:w="176"/>
        <w:gridCol w:w="983"/>
        <w:gridCol w:w="60"/>
        <w:gridCol w:w="60"/>
        <w:gridCol w:w="176"/>
        <w:gridCol w:w="983"/>
        <w:gridCol w:w="60"/>
        <w:gridCol w:w="60"/>
        <w:gridCol w:w="176"/>
        <w:gridCol w:w="983"/>
        <w:gridCol w:w="60"/>
        <w:gridCol w:w="60"/>
        <w:gridCol w:w="176"/>
        <w:gridCol w:w="983"/>
        <w:gridCol w:w="60"/>
      </w:tblGrid>
      <w:tr>
        <w:trPr/>
        <w:tc>
          <w:tcPr>
            <w:tcW w:w="20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38"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Disaggregated Net Sales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Malaysia</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10,847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47,386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Taiwan</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19,908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22,581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28,868</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Philippines</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17,704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28,989</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0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China</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17,617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16,971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31,124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31,099</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0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 of the World</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67,226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41,478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126,395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86,512</w:t>
            </w:r>
          </w:p>
        </w:tc>
        <w:tc>
          <w:tcPr>
            <w:tcW w:w="60" w:type="dxa"/>
            <w:tcBorders/>
            <w:shd w:fill="CCEEFF" w:val="clear"/>
            <w:vAlign w:val="center"/>
          </w:tcPr>
          <w:p>
            <w:pPr>
              <w:pStyle w:val="TableContents"/>
              <w:bidi w:val="0"/>
              <w:spacing w:before="0" w:after="283"/>
              <w:jc w:val="left"/>
              <w:rPr/>
            </w:pPr>
            <w:r>
              <w:rPr/>
              <w:t> </w:t>
            </w:r>
          </w:p>
        </w:tc>
      </w:tr>
      <w:tr>
        <w:trPr/>
        <w:tc>
          <w:tcPr>
            <w:tcW w:w="20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net sales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149,002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274,121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36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 small number of customers historically have been responsible for a significant portion of our net sales. Significant customer concentration information is as follows:</w:t>
      </w:r>
    </w:p>
    <w:p>
      <w:pPr>
        <w:pStyle w:val="TextBody"/>
        <w:bidi w:val="0"/>
        <w:spacing w:before="0" w:after="0"/>
        <w:ind w:left="0" w:right="0" w:hanging="0"/>
        <w:jc w:val="left"/>
        <w:rPr>
          <w:caps w:val="false"/>
          <w:smallCaps w:val="false"/>
        </w:rPr>
      </w:pPr>
      <w:r>
        <w:rPr>
          <w:caps w:val="false"/>
          <w:smallCaps w:val="false"/>
        </w:rPr>
        <w:t> </w:t>
      </w:r>
    </w:p>
    <w:tbl>
      <w:tblPr>
        <w:tblW w:w="8710" w:type="dxa"/>
        <w:jc w:val="left"/>
        <w:tblInd w:w="0" w:type="dxa"/>
        <w:tblLayout w:type="fixed"/>
        <w:tblCellMar>
          <w:top w:w="0" w:type="dxa"/>
          <w:left w:w="0" w:type="dxa"/>
          <w:bottom w:w="0" w:type="dxa"/>
          <w:right w:w="0" w:type="dxa"/>
        </w:tblCellMar>
      </w:tblPr>
      <w:tblGrid>
        <w:gridCol w:w="5210"/>
        <w:gridCol w:w="60"/>
        <w:gridCol w:w="796"/>
        <w:gridCol w:w="68"/>
        <w:gridCol w:w="68"/>
        <w:gridCol w:w="796"/>
        <w:gridCol w:w="60"/>
        <w:gridCol w:w="60"/>
        <w:gridCol w:w="706"/>
        <w:gridCol w:w="60"/>
        <w:gridCol w:w="60"/>
        <w:gridCol w:w="706"/>
        <w:gridCol w:w="60"/>
      </w:tblGrid>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8" w:type="dxa"/>
            <w:gridSpan w:val="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2" w:type="dxa"/>
            <w:gridSpan w:val="4"/>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68" w:type="dxa"/>
            <w:tcBorders/>
            <w:vAlign w:val="center"/>
          </w:tcPr>
          <w:p>
            <w:pPr>
              <w:pStyle w:val="TableContents"/>
              <w:bidi w:val="0"/>
              <w:spacing w:before="0" w:after="283"/>
              <w:jc w:val="left"/>
              <w:rPr/>
            </w:pPr>
            <w:r>
              <w:rPr/>
              <w:t> </w:t>
            </w:r>
          </w:p>
        </w:tc>
        <w:tc>
          <w:tcPr>
            <w:tcW w:w="68" w:type="dxa"/>
            <w:tcBorders/>
            <w:vAlign w:val="center"/>
          </w:tcPr>
          <w:p>
            <w:pPr>
              <w:pStyle w:val="TableContents"/>
              <w:bidi w:val="0"/>
              <w:spacing w:before="0" w:after="283"/>
              <w:ind w:left="0" w:right="0" w:hanging="0"/>
              <w:jc w:val="left"/>
              <w:rPr/>
            </w:pPr>
            <w:r>
              <w:rPr/>
              <w:t> </w:t>
            </w:r>
          </w:p>
        </w:tc>
        <w:tc>
          <w:tcPr>
            <w:tcW w:w="79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06"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60" w:type="dxa"/>
            <w:tcBorders/>
            <w:vAlign w:val="center"/>
          </w:tcPr>
          <w:p>
            <w:pPr>
              <w:pStyle w:val="TableContents"/>
              <w:bidi w:val="0"/>
              <w:spacing w:before="0" w:after="283"/>
              <w:jc w:val="left"/>
              <w:rPr/>
            </w:pPr>
            <w:r>
              <w:rPr/>
              <w:t> </w:t>
            </w:r>
          </w:p>
        </w:tc>
      </w:tr>
      <w:tr>
        <w:trPr/>
        <w:tc>
          <w:tcPr>
            <w:tcW w:w="521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8" w:type="dxa"/>
            <w:tcBorders>
              <w:bottom w:val="single" w:sz="2" w:space="0" w:color="000000"/>
            </w:tcBorders>
            <w:tcMar>
              <w:bottom w:w="28" w:type="dxa"/>
            </w:tcMar>
            <w:vAlign w:val="center"/>
          </w:tcPr>
          <w:p>
            <w:pPr>
              <w:pStyle w:val="TableContents"/>
              <w:bidi w:val="0"/>
              <w:spacing w:before="0" w:after="283"/>
              <w:jc w:val="center"/>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79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ind w:left="0" w:right="0" w:hanging="0"/>
              <w:jc w:val="center"/>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center"/>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center"/>
              <w:rPr/>
            </w:pPr>
            <w:r>
              <w:rPr/>
              <w:t> </w:t>
            </w:r>
          </w:p>
        </w:tc>
        <w:tc>
          <w:tcPr>
            <w:tcW w:w="706"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center"/>
              <w:rPr/>
            </w:pPr>
            <w:r>
              <w:rPr/>
              <w:t> </w:t>
            </w:r>
          </w:p>
        </w:tc>
      </w:tr>
      <w:tr>
        <w:trPr/>
        <w:tc>
          <w:tcPr>
            <w:tcW w:w="521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Customers individually representing more than 10% of 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79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one</w:t>
            </w:r>
          </w:p>
        </w:tc>
        <w:tc>
          <w:tcPr>
            <w:tcW w:w="68" w:type="dxa"/>
            <w:tcBorders/>
            <w:shd w:fill="CCEEFF" w:val="clear"/>
            <w:vAlign w:val="center"/>
          </w:tcPr>
          <w:p>
            <w:pPr>
              <w:pStyle w:val="TableContents"/>
              <w:bidi w:val="0"/>
              <w:spacing w:before="0" w:after="283"/>
              <w:jc w:val="center"/>
              <w:rPr/>
            </w:pPr>
            <w:r>
              <w:rPr/>
              <w:t> </w:t>
            </w:r>
          </w:p>
        </w:tc>
        <w:tc>
          <w:tcPr>
            <w:tcW w:w="68" w:type="dxa"/>
            <w:tcBorders/>
            <w:shd w:fill="CCEEFF" w:val="clear"/>
            <w:vAlign w:val="center"/>
          </w:tcPr>
          <w:p>
            <w:pPr>
              <w:pStyle w:val="TableContents"/>
              <w:bidi w:val="0"/>
              <w:spacing w:before="0" w:after="283"/>
              <w:ind w:left="0" w:right="0" w:hanging="0"/>
              <w:jc w:val="center"/>
              <w:rPr/>
            </w:pPr>
            <w:r>
              <w:rPr/>
              <w:t> </w:t>
            </w:r>
          </w:p>
        </w:tc>
        <w:tc>
          <w:tcPr>
            <w:tcW w:w="796"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one</w:t>
            </w:r>
          </w:p>
        </w:tc>
        <w:tc>
          <w:tcPr>
            <w:tcW w:w="60" w:type="dxa"/>
            <w:tcBorders/>
            <w:shd w:fill="CCEEFF" w:val="clear"/>
            <w:vAlign w:val="center"/>
          </w:tcPr>
          <w:p>
            <w:pPr>
              <w:pStyle w:val="TableContents"/>
              <w:bidi w:val="0"/>
              <w:spacing w:before="0" w:after="283"/>
              <w:jc w:val="center"/>
              <w:rPr/>
            </w:pPr>
            <w:r>
              <w:rPr/>
              <w:t> </w:t>
            </w:r>
          </w:p>
        </w:tc>
        <w:tc>
          <w:tcPr>
            <w:tcW w:w="60" w:type="dxa"/>
            <w:tcBorders/>
            <w:shd w:fill="CCEEFF" w:val="clear"/>
            <w:vAlign w:val="center"/>
          </w:tcPr>
          <w:p>
            <w:pPr>
              <w:pStyle w:val="TableContents"/>
              <w:bidi w:val="0"/>
              <w:spacing w:before="0" w:after="283"/>
              <w:ind w:left="0" w:right="0" w:hanging="0"/>
              <w:jc w:val="center"/>
              <w:rPr/>
            </w:pPr>
            <w:r>
              <w:rPr/>
              <w:t> </w:t>
            </w:r>
          </w:p>
        </w:tc>
        <w:tc>
          <w:tcPr>
            <w:tcW w:w="706"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one</w:t>
            </w:r>
          </w:p>
        </w:tc>
        <w:tc>
          <w:tcPr>
            <w:tcW w:w="60" w:type="dxa"/>
            <w:tcBorders/>
            <w:shd w:fill="CCEEFF" w:val="clear"/>
            <w:vAlign w:val="center"/>
          </w:tcPr>
          <w:p>
            <w:pPr>
              <w:pStyle w:val="TableContents"/>
              <w:bidi w:val="0"/>
              <w:spacing w:before="0" w:after="283"/>
              <w:jc w:val="center"/>
              <w:rPr/>
            </w:pPr>
            <w:r>
              <w:rPr/>
              <w:t> </w:t>
            </w:r>
          </w:p>
        </w:tc>
      </w:tr>
      <w:tr>
        <w:trPr/>
        <w:tc>
          <w:tcPr>
            <w:tcW w:w="521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 of net sales</w:t>
            </w:r>
          </w:p>
        </w:tc>
        <w:tc>
          <w:tcPr>
            <w:tcW w:w="60" w:type="dxa"/>
            <w:tcBorders/>
            <w:shd w:fill="FFFFFF" w:val="clear"/>
            <w:vAlign w:val="center"/>
          </w:tcPr>
          <w:p>
            <w:pPr>
              <w:pStyle w:val="TableContents"/>
              <w:bidi w:val="0"/>
              <w:spacing w:before="0" w:after="283"/>
              <w:ind w:left="0" w:right="0" w:hanging="0"/>
              <w:jc w:val="center"/>
              <w:rPr/>
            </w:pPr>
            <w:r>
              <w:rPr/>
              <w:t> </w:t>
            </w:r>
          </w:p>
        </w:tc>
        <w:tc>
          <w:tcPr>
            <w:tcW w:w="79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11%</w:t>
            </w:r>
          </w:p>
        </w:tc>
        <w:tc>
          <w:tcPr>
            <w:tcW w:w="68" w:type="dxa"/>
            <w:tcBorders/>
            <w:shd w:fill="FFFFFF" w:val="clear"/>
            <w:vAlign w:val="center"/>
          </w:tcPr>
          <w:p>
            <w:pPr>
              <w:pStyle w:val="TableContents"/>
              <w:bidi w:val="0"/>
              <w:spacing w:before="0" w:after="283"/>
              <w:jc w:val="center"/>
              <w:rPr/>
            </w:pPr>
            <w:r>
              <w:rPr/>
              <w:t> </w:t>
            </w:r>
          </w:p>
        </w:tc>
        <w:tc>
          <w:tcPr>
            <w:tcW w:w="68" w:type="dxa"/>
            <w:tcBorders/>
            <w:shd w:fill="FFFFFF" w:val="clear"/>
            <w:vAlign w:val="center"/>
          </w:tcPr>
          <w:p>
            <w:pPr>
              <w:pStyle w:val="TableContents"/>
              <w:bidi w:val="0"/>
              <w:spacing w:before="0" w:after="283"/>
              <w:ind w:left="0" w:right="0" w:hanging="0"/>
              <w:jc w:val="center"/>
              <w:rPr/>
            </w:pPr>
            <w:r>
              <w:rPr/>
              <w:t> </w:t>
            </w:r>
          </w:p>
        </w:tc>
        <w:tc>
          <w:tcPr>
            <w:tcW w:w="79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70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center"/>
              <w:rPr/>
            </w:pPr>
            <w:r>
              <w:rPr/>
              <w:t> </w:t>
            </w:r>
          </w:p>
        </w:tc>
        <w:tc>
          <w:tcPr>
            <w:tcW w:w="60" w:type="dxa"/>
            <w:tcBorders/>
            <w:shd w:fill="FFFFFF" w:val="clear"/>
            <w:vAlign w:val="center"/>
          </w:tcPr>
          <w:p>
            <w:pPr>
              <w:pStyle w:val="TableContents"/>
              <w:bidi w:val="0"/>
              <w:spacing w:before="0" w:after="283"/>
              <w:ind w:left="0" w:right="0" w:hanging="0"/>
              <w:jc w:val="center"/>
              <w:rPr/>
            </w:pPr>
            <w:r>
              <w:rPr/>
              <w:t> </w:t>
            </w:r>
          </w:p>
        </w:tc>
        <w:tc>
          <w:tcPr>
            <w:tcW w:w="706"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10%</w:t>
            </w:r>
          </w:p>
        </w:tc>
        <w:tc>
          <w:tcPr>
            <w:tcW w:w="60" w:type="dxa"/>
            <w:tcBorders/>
            <w:shd w:fill="FFFFFF" w:val="clear"/>
            <w:vAlign w:val="center"/>
          </w:tcPr>
          <w:p>
            <w:pPr>
              <w:pStyle w:val="TableContents"/>
              <w:bidi w:val="0"/>
              <w:spacing w:before="0" w:after="283"/>
              <w:jc w:val="center"/>
              <w:rPr/>
            </w:pPr>
            <w:r>
              <w:rPr/>
              <w:t> </w:t>
            </w:r>
          </w:p>
        </w:tc>
      </w:tr>
    </w:tbl>
    <w:tbl>
      <w:tblPr>
        <w:tblW w:w="6070" w:type="dxa"/>
        <w:jc w:val="left"/>
        <w:tblInd w:w="0" w:type="dxa"/>
        <w:tblLayout w:type="fixed"/>
        <w:tblCellMar>
          <w:top w:w="0" w:type="dxa"/>
          <w:left w:w="0" w:type="dxa"/>
          <w:bottom w:w="28" w:type="dxa"/>
          <w:right w:w="0" w:type="dxa"/>
        </w:tblCellMar>
      </w:tblPr>
      <w:tblGrid>
        <w:gridCol w:w="140"/>
        <w:gridCol w:w="5930"/>
      </w:tblGrid>
      <w:tr>
        <w:trPr/>
        <w:tc>
          <w:tcPr>
            <w:tcW w:w="6070" w:type="dxa"/>
            <w:gridSpan w:val="2"/>
            <w:tcBorders>
              <w:bottom w:val="single" w:sz="2" w:space="0" w:color="000000"/>
            </w:tcBorders>
            <w:vAlign w:val="center"/>
          </w:tcPr>
          <w:p>
            <w:pPr>
              <w:pStyle w:val="TableContents"/>
              <w:bidi w:val="0"/>
              <w:spacing w:before="0" w:after="283"/>
              <w:jc w:val="left"/>
              <w:rPr/>
            </w:pPr>
            <w:r>
              <w:rPr/>
              <w:t> </w:t>
            </w:r>
          </w:p>
        </w:tc>
      </w:tr>
      <w:tr>
        <w:trPr/>
        <w:tc>
          <w:tcPr>
            <w:tcW w:w="14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5930" w:type="dxa"/>
            <w:tcBorders/>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 single customer represented more than 10% of consolidated net sales.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Accumulated Other Comprehensive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accumulated other comprehensive loss balance totaled approximately $40.6 million and $32.5 million at June 27, 2026 and December 27, 2025, respectively, and was attributed to all non-owner changes in stockholders’ equity and consists of, on an after-tax basis where applicable, foreign currency adjustments resulting from the translation of certain of our subsidiary accounts where the functional currency is not the U.S. Dollar, unrealized loss on investments and adjustments related to postretirement benefits. Reclassification adjustments from accumulated other comprehensive loss during the first six months of fiscal 2026 and 2025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Retiree Medical Benefits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provide post-retirement health benefits to certain retired executives, one director (who is a former executive) and their eligible dependents under a noncontributory plan. These benefits are no longer offered to any other retired Cohu employees. The net periodic benefit cost incurred during the first six months of fiscal 2026 and 2025 was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Recently Issued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 November 2024, the FASB issued ASU 2024-03, </w:t>
      </w:r>
      <w:r>
        <w:rPr>
          <w:rFonts w:ascii="Times New Roman" w:hAnsi="Times New Roman"/>
          <w:i/>
          <w:caps w:val="false"/>
          <w:smallCaps w:val="false"/>
          <w:sz w:val="20"/>
        </w:rPr>
        <w:t>Income Statement-Reporting Comprehensive Income-Expense Disaggregation Disclosures (Subtopic 220-40): Disaggregation of Income Statement Expenses</w:t>
      </w:r>
      <w:r>
        <w:rPr>
          <w:rFonts w:ascii="Times New Roman" w:hAnsi="Times New Roman"/>
          <w:caps w:val="false"/>
          <w:smallCaps w:val="false"/>
          <w:sz w:val="20"/>
        </w:rPr>
        <w:t xml:space="preserve">, requiring public entities to disclose additional information about specific expense categories in the notes to the financial statements on an interim and annual basis. The FASB subsequently issued ASU 2025-01, </w:t>
      </w:r>
      <w:r>
        <w:rPr>
          <w:rFonts w:ascii="Times New Roman" w:hAnsi="Times New Roman"/>
          <w:i/>
          <w:caps w:val="false"/>
          <w:smallCaps w:val="false"/>
          <w:sz w:val="20"/>
        </w:rPr>
        <w:t>Income Statement - Reporting Comprehensive Income - Expense Disaggregation Disclosures (Subtopic 220-40): Clarifying the Effective Date</w:t>
      </w:r>
      <w:r>
        <w:rPr>
          <w:rFonts w:ascii="Times New Roman" w:hAnsi="Times New Roman"/>
          <w:caps w:val="false"/>
          <w:smallCaps w:val="false"/>
          <w:sz w:val="20"/>
        </w:rPr>
        <w:t>, to clarify the effective date of ASU 2024-03. The guidance is effective for fiscal years beginning after December 15, 2026, and for interim periods beginning after December 15, 2027, with early adoption permitted. We are currently evaluating the impact of adopting the new standard; however, we do not expect it to have a material impact on Cohu’s financial statements other than enhanced disclosures.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5620" w:type="dxa"/>
        <w:jc w:val="left"/>
        <w:tblInd w:w="0" w:type="dxa"/>
        <w:tblLayout w:type="fixed"/>
        <w:tblCellMar>
          <w:top w:w="0" w:type="dxa"/>
          <w:left w:w="0" w:type="dxa"/>
          <w:bottom w:w="0" w:type="dxa"/>
          <w:right w:w="0" w:type="dxa"/>
        </w:tblCellMar>
      </w:tblPr>
      <w:tblGrid>
        <w:gridCol w:w="170"/>
        <w:gridCol w:w="545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2.</w:t>
            </w:r>
          </w:p>
        </w:tc>
        <w:tc>
          <w:tcPr>
            <w:tcW w:w="54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Business Acquisitions, Goodwill and Purchased Intangible Assets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Tignis, Inc.</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January 7, 2025, we completed the acquisition of Tignis, Inc. (“Tignis”), a provider of artificial intelligence (“AI”) process control and analytics-based monitoring software. This strategic acquisition is intended to enable us to expand our analytics offerings to the semiconductor process control market. Tignis’ PAICe Monitor and PAICe Maker solutions leverage the insights of physical phenomena with cutting-edge AI, machine learning and data science to deliver advanced predictive and prescriptive automation solutions for semiconductor manufacturing. Tignis is also expected to deepen Cohu’s expertise in data science while adding advanced analytics to our DI-Core software. The acquisition of Tignis is a debt free transaction and was subject to a working capital adjustment which we finalized in the third quarter of fiscal 2025. We made a cash payment totaling approximately $34.9 million, net of cash received, for Tignis which was paid out of cash on hand.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addition to the initial consideration paid, the Tignis shareholders had the right to receive an additional $5.0 million of contingent consideration subject to Tignis achieving certain sales and expense targets through December 2025. The contingent consideration payable was classified as Level 3 in the fair value hierarchy. See Note 5 “Financial Instruments Measured at Fair Value” for additional information on the three-tier fair value hierarchy. Contingent consideration is recorded in our condensed consolidated balance sheets in other accrued liabilities. Adjustments to the fair value of contingent consideration are reflected in selling, general, and administrative expense in our condensed consolidated statements of operations. The initial fair value of the contingent consideration recognized at acquisition date was $1.7 million. In the first quarter of fiscal 2025, we updated the fair value of contingent consideration to zero based on management’s current estimates at that date which differed from those used as of January 7, 2025. The sales and expense targets were not met in fiscal 2025 and no additional payment was owed to Tignis’ shareholders.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Including cash paid, the impact of our working capital adjustment and the fair value of the contingent consideration, the purchase price for Tignis is $36.6 million. During the three and six months ending June 28, 2025, we incurred acquisition-related costs totaling approximately $0.1 million and $0.4 million, respectively, which were expensed as selling, general and administrative costs.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acquisition of Tignis has been accounted for in conformity with ASC Topic 805, </w:t>
      </w:r>
      <w:r>
        <w:rPr>
          <w:rFonts w:ascii="Times New Roman" w:hAnsi="Times New Roman"/>
          <w:i/>
          <w:caps w:val="false"/>
          <w:smallCaps w:val="false"/>
          <w:sz w:val="20"/>
        </w:rPr>
        <w:t>Business Combinations</w:t>
      </w:r>
      <w:r>
        <w:rPr>
          <w:rFonts w:ascii="Times New Roman" w:hAnsi="Times New Roman"/>
          <w:caps w:val="false"/>
          <w:smallCaps w:val="false"/>
          <w:sz w:val="20"/>
        </w:rPr>
        <w:t xml:space="preserve"> (“ASC 805”). The acquired assets and liabilities of Tignis were recorded at their respective fair values including an amount for goodwill representing the difference between the consideration paid and the fair value of the identifiable net assets. The purchase price allocation was finalized during the third quarter of 2025. The table below summarizes the assets acquired and liabilities assumed as of January 7,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025" w:type="dxa"/>
        <w:jc w:val="left"/>
        <w:tblInd w:w="0" w:type="dxa"/>
        <w:tblLayout w:type="fixed"/>
        <w:tblCellMar>
          <w:top w:w="0" w:type="dxa"/>
          <w:left w:w="0" w:type="dxa"/>
          <w:bottom w:w="0" w:type="dxa"/>
          <w:right w:w="0" w:type="dxa"/>
        </w:tblCellMar>
      </w:tblPr>
      <w:tblGrid>
        <w:gridCol w:w="3170"/>
        <w:gridCol w:w="60"/>
        <w:gridCol w:w="125"/>
        <w:gridCol w:w="590"/>
        <w:gridCol w:w="80"/>
      </w:tblGrid>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 assets, including cash received</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assets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317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Intangible assets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CCEEFF" w:val="clear"/>
            <w:vAlign w:val="center"/>
          </w:tcPr>
          <w:p>
            <w:pPr>
              <w:pStyle w:val="TableContents"/>
              <w:bidi w:val="0"/>
              <w:spacing w:before="0" w:after="283"/>
              <w:jc w:val="left"/>
              <w:rPr/>
            </w:pPr>
            <w:r>
              <w:rPr/>
              <w:t> </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assets acquired</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36,956</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317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Liabilities assumed</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17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assets acquired</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36,607</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allocation of the intangible assets subject to amortization is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408" w:type="dxa"/>
        <w:jc w:val="left"/>
        <w:tblInd w:w="0" w:type="dxa"/>
        <w:tblLayout w:type="fixed"/>
        <w:tblCellMar>
          <w:top w:w="0" w:type="dxa"/>
          <w:left w:w="0" w:type="dxa"/>
          <w:bottom w:w="0" w:type="dxa"/>
          <w:right w:w="0" w:type="dxa"/>
        </w:tblCellMar>
      </w:tblPr>
      <w:tblGrid>
        <w:gridCol w:w="2315"/>
        <w:gridCol w:w="60"/>
        <w:gridCol w:w="176"/>
        <w:gridCol w:w="683"/>
        <w:gridCol w:w="60"/>
        <w:gridCol w:w="60"/>
        <w:gridCol w:w="177"/>
        <w:gridCol w:w="817"/>
        <w:gridCol w:w="60"/>
      </w:tblGrid>
      <w:tr>
        <w:trPr/>
        <w:tc>
          <w:tcPr>
            <w:tcW w:w="231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 A</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verage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Useful Life</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(years)</w:t>
            </w:r>
          </w:p>
        </w:tc>
        <w:tc>
          <w:tcPr>
            <w:tcW w:w="60" w:type="dxa"/>
            <w:tcBorders/>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3.0</w:t>
            </w:r>
          </w:p>
        </w:tc>
        <w:tc>
          <w:tcPr>
            <w:tcW w:w="60" w:type="dxa"/>
            <w:tcBorders/>
            <w:shd w:fill="CCEEFF" w:val="clear"/>
            <w:vAlign w:val="center"/>
          </w:tcPr>
          <w:p>
            <w:pPr>
              <w:pStyle w:val="TableContents"/>
              <w:bidi w:val="0"/>
              <w:spacing w:before="0" w:after="283"/>
              <w:ind w:left="0" w:right="0" w:hanging="0"/>
              <w:jc w:val="left"/>
              <w:rPr/>
            </w:pPr>
            <w:r>
              <w:rPr/>
              <w:t> </w:t>
            </w:r>
          </w:p>
        </w:tc>
      </w:tr>
      <w:tr>
        <w:trPr/>
        <w:tc>
          <w:tcPr>
            <w:tcW w:w="231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6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6.0</w:t>
            </w:r>
          </w:p>
        </w:tc>
        <w:tc>
          <w:tcPr>
            <w:tcW w:w="60" w:type="dxa"/>
            <w:tcBorders/>
            <w:shd w:fill="FFFFFF" w:val="clear"/>
            <w:vAlign w:val="center"/>
          </w:tcPr>
          <w:p>
            <w:pPr>
              <w:pStyle w:val="TableContents"/>
              <w:bidi w:val="0"/>
              <w:spacing w:before="0" w:after="283"/>
              <w:ind w:left="0" w:right="0" w:hanging="0"/>
              <w:jc w:val="left"/>
              <w:rPr/>
            </w:pPr>
            <w:r>
              <w:rPr/>
              <w:t> </w:t>
            </w:r>
          </w:p>
        </w:tc>
      </w:tr>
      <w:tr>
        <w:trPr/>
        <w:tc>
          <w:tcPr>
            <w:tcW w:w="23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Trademarks and trade names</w:t>
            </w:r>
          </w:p>
        </w:tc>
        <w:tc>
          <w:tcPr>
            <w:tcW w:w="60" w:type="dxa"/>
            <w:tcBorders/>
            <w:shd w:fill="CCEEFF" w:val="clear"/>
            <w:vAlign w:val="center"/>
          </w:tcPr>
          <w:p>
            <w:pPr>
              <w:pStyle w:val="TableContents"/>
              <w:bidi w:val="0"/>
              <w:spacing w:before="0" w:after="283"/>
              <w:jc w:val="left"/>
              <w:rPr/>
            </w:pPr>
            <w:r>
              <w:rPr/>
              <w:t> </w:t>
            </w:r>
          </w:p>
        </w:tc>
        <w:tc>
          <w:tcPr>
            <w:tcW w:w="1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8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center"/>
              <w:rPr>
                <w:rFonts w:ascii="Times New Roman;Times;serif" w:hAnsi="Times New Roman;Times;serif"/>
                <w:sz w:val="20"/>
              </w:rPr>
            </w:pPr>
            <w:r>
              <w:rPr>
                <w:rFonts w:ascii="Times New Roman;Times;serif" w:hAnsi="Times New Roman;Times;serif"/>
                <w:sz w:val="20"/>
              </w:rPr>
              <w:t>4.0</w:t>
            </w:r>
          </w:p>
        </w:tc>
        <w:tc>
          <w:tcPr>
            <w:tcW w:w="60" w:type="dxa"/>
            <w:tcBorders/>
            <w:shd w:fill="CCEEFF" w:val="clear"/>
            <w:vAlign w:val="center"/>
          </w:tcPr>
          <w:p>
            <w:pPr>
              <w:pStyle w:val="TableContents"/>
              <w:bidi w:val="0"/>
              <w:spacing w:before="0" w:after="283"/>
              <w:jc w:val="left"/>
              <w:rPr/>
            </w:pPr>
            <w:r>
              <w:rPr/>
              <w:t> </w:t>
            </w:r>
          </w:p>
        </w:tc>
      </w:tr>
      <w:tr>
        <w:trPr/>
        <w:tc>
          <w:tcPr>
            <w:tcW w:w="231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FFFF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8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 w:type="dxa"/>
            <w:tcBorders/>
            <w:shd w:fill="FFFFFF" w:val="clear"/>
            <w:vAlign w:val="center"/>
          </w:tcPr>
          <w:p>
            <w:pPr>
              <w:pStyle w:val="TableContents"/>
              <w:bidi w:val="0"/>
              <w:spacing w:before="0" w:after="283"/>
              <w:jc w:val="left"/>
              <w:rPr/>
            </w:pPr>
            <w:r>
              <w:rPr/>
              <w:t> </w:t>
            </w:r>
          </w:p>
        </w:tc>
        <w:tc>
          <w:tcPr>
            <w:tcW w:w="817" w:type="dxa"/>
            <w:tcBorders/>
            <w:shd w:fill="FFFFFF" w:val="clear"/>
            <w:vAlign w:val="center"/>
          </w:tcPr>
          <w:p>
            <w:pPr>
              <w:pStyle w:val="TableContents"/>
              <w:bidi w:val="0"/>
              <w:spacing w:before="0" w:after="283"/>
              <w:jc w:val="right"/>
              <w:rPr/>
            </w:pPr>
            <w:r>
              <w:rPr/>
              <w:t> </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Acquired intangible assets reported above are being amortized using the straight-line method over their estimated useful lives which approximates the pattern of how the economic benefit is expected to be used. While high customer retention rates are common in the semiconductor capital equipment industry, amounts allocated to customer relationships are being amortized on an accelerated basis over their estimated useful lives due to the early-stage nature of Tignis’ business and historical customer turnover.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developed technology was determined by using the relief from royalty method under the income approach, which included assumptions related to revenue growth rates, royalty rates, and discount rates. Developed technology, which comprises products that have reached technological feasibility, includes the products in Tignis’ product line. The revenue estimates used to value the developed technology were based on estimates of relevant market sizes and growth factors, expected trends in technology and the nature and expected timing of new product introductions by Tignis and competitors. The estimated after-tax cash flows were based on a hypothetical royalty rate applied to the revenues for the developed technology. The discount rate utilized to discount the net cash flows of the developed technology to present value was based on the risk associated with the respective cash flows taking into consideration the perceived risk of the technology relative to the other acquired assets, the weighted average cost of capital, the internal rate of return, and the weighted average return on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value assigned to customer relationships was determined by using the multi-period excess earnings method under the income approach. The estimated cash flow was based on revenues from the existing customers net of operating expenses and net of contributory asset charges. The discount rate utilized to discount the net cash flows of the customer relationships to present value was based on the respective cash flows taking into consideration the perceived risks.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earnout agreement was measured at fair value in accordance with the guidance provided by ASC Topic 820, </w:t>
      </w:r>
      <w:r>
        <w:rPr>
          <w:rFonts w:ascii="Times New Roman" w:hAnsi="Times New Roman"/>
          <w:i/>
          <w:caps w:val="false"/>
          <w:smallCaps w:val="false"/>
          <w:sz w:val="20"/>
        </w:rPr>
        <w:t>Fair Value Measurement</w:t>
      </w:r>
      <w:r>
        <w:rPr>
          <w:rFonts w:ascii="Times New Roman" w:hAnsi="Times New Roman"/>
          <w:caps w:val="false"/>
          <w:smallCaps w:val="false"/>
          <w:sz w:val="20"/>
        </w:rPr>
        <w:t xml:space="preserve"> (“ASC 820”). ASC 820 defines fair value as the price that would be received from selling an asset or paid to transfer a liability in an orderly transaction between market participants at the measurement date. When determining the fair value measurements for assets and liabilities required to be recorded at their fair values, we consider the principal or most advantageous market in which we would transact and consider assumptions that market participants would use when pricing the assets or liabilities, such as inherent risk, transfer restrictions, and risk of nonperformance.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Tignis’ results of operations have been included starting January 7, 2025. The impact of Tignis on our condensed consolidated statements of operations and comprehensive loss was not 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Goodwill and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 of goodwill during the year ended December 27, 2025, and the six-month period ended June 27, 2026,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3320" w:type="dxa"/>
        <w:jc w:val="left"/>
        <w:tblInd w:w="0" w:type="dxa"/>
        <w:tblLayout w:type="fixed"/>
        <w:tblCellMar>
          <w:top w:w="0" w:type="dxa"/>
          <w:left w:w="0" w:type="dxa"/>
          <w:bottom w:w="0" w:type="dxa"/>
          <w:right w:w="0" w:type="dxa"/>
        </w:tblCellMar>
      </w:tblPr>
      <w:tblGrid>
        <w:gridCol w:w="2360"/>
        <w:gridCol w:w="60"/>
        <w:gridCol w:w="125"/>
        <w:gridCol w:w="69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Goodwill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234,639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Additions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33,688</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14,700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27, 2025</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283,027</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(4,136</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27, 2026</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278,891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Purchased intangible assets subject to amortization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354" w:type="dxa"/>
        <w:jc w:val="left"/>
        <w:tblInd w:w="0" w:type="dxa"/>
        <w:tblLayout w:type="fixed"/>
        <w:tblCellMar>
          <w:top w:w="0" w:type="dxa"/>
          <w:left w:w="0" w:type="dxa"/>
          <w:bottom w:w="0" w:type="dxa"/>
          <w:right w:w="0" w:type="dxa"/>
        </w:tblCellMar>
      </w:tblPr>
      <w:tblGrid>
        <w:gridCol w:w="2120"/>
        <w:gridCol w:w="60"/>
        <w:gridCol w:w="125"/>
        <w:gridCol w:w="695"/>
        <w:gridCol w:w="60"/>
        <w:gridCol w:w="60"/>
        <w:gridCol w:w="125"/>
        <w:gridCol w:w="695"/>
        <w:gridCol w:w="60"/>
        <w:gridCol w:w="60"/>
        <w:gridCol w:w="238"/>
        <w:gridCol w:w="1101"/>
        <w:gridCol w:w="60"/>
        <w:gridCol w:w="60"/>
        <w:gridCol w:w="125"/>
        <w:gridCol w:w="695"/>
        <w:gridCol w:w="60"/>
        <w:gridCol w:w="60"/>
        <w:gridCol w:w="125"/>
        <w:gridCol w:w="695"/>
        <w:gridCol w:w="75"/>
      </w:tblGrid>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219" w:type="dxa"/>
            <w:gridSpan w:val="10"/>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0"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Remaining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Weighted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Average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95" w:type="dxa"/>
            <w:tcBorders/>
            <w:vAlign w:val="center"/>
          </w:tcPr>
          <w:p>
            <w:pPr>
              <w:pStyle w:val="TableContents"/>
              <w:bidi w:val="0"/>
              <w:spacing w:before="0" w:after="283"/>
              <w:jc w:val="center"/>
              <w:rPr/>
            </w:pPr>
            <w:r>
              <w:rPr/>
              <w:t> </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33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Carrying</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Accum.</w:t>
            </w:r>
          </w:p>
        </w:tc>
        <w:tc>
          <w:tcPr>
            <w:tcW w:w="75" w:type="dxa"/>
            <w:tcBorders/>
            <w:vAlign w:val="center"/>
          </w:tcPr>
          <w:p>
            <w:pPr>
              <w:pStyle w:val="TableContents"/>
              <w:bidi w:val="0"/>
              <w:spacing w:before="0" w:after="283"/>
              <w:jc w:val="left"/>
              <w:rPr/>
            </w:pPr>
            <w:r>
              <w:rPr/>
              <w:t> </w:t>
            </w:r>
          </w:p>
        </w:tc>
      </w:tr>
      <w:tr>
        <w:trPr/>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33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Period (in years)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w:t>
            </w:r>
          </w:p>
        </w:tc>
        <w:tc>
          <w:tcPr>
            <w:tcW w:w="75" w:type="dxa"/>
            <w:tcBorders/>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Developed technology</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206,835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241,038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199,776</w:t>
            </w:r>
          </w:p>
        </w:tc>
        <w:tc>
          <w:tcPr>
            <w:tcW w:w="7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Customer relationships</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74,927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47,275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75,677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44,210</w:t>
            </w:r>
          </w:p>
        </w:tc>
        <w:tc>
          <w:tcPr>
            <w:tcW w:w="7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Trade names</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22,035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16,694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ind w:left="0" w:right="0" w:hanging="0"/>
              <w:jc w:val="left"/>
              <w:rPr/>
            </w:pPr>
            <w:r>
              <w:rPr/>
              <w:t> </w:t>
            </w:r>
          </w:p>
        </w:tc>
        <w:tc>
          <w:tcPr>
            <w:tcW w:w="110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22,366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15,845</w:t>
            </w:r>
          </w:p>
        </w:tc>
        <w:tc>
          <w:tcPr>
            <w:tcW w:w="75" w:type="dxa"/>
            <w:tcBorders/>
            <w:shd w:fill="CCEEFF" w:val="clear"/>
            <w:vAlign w:val="center"/>
          </w:tcPr>
          <w:p>
            <w:pPr>
              <w:pStyle w:val="TableContents"/>
              <w:bidi w:val="0"/>
              <w:spacing w:before="0" w:after="283"/>
              <w:jc w:val="left"/>
              <w:rPr/>
            </w:pPr>
            <w:r>
              <w:rPr/>
              <w:t> </w:t>
            </w:r>
          </w:p>
        </w:tc>
      </w:tr>
      <w:tr>
        <w:trPr/>
        <w:tc>
          <w:tcPr>
            <w:tcW w:w="21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Covenant not-to-compete</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8" w:type="dxa"/>
            <w:tcBorders/>
            <w:shd w:fill="FFFFFF" w:val="clear"/>
            <w:vAlign w:val="center"/>
          </w:tcPr>
          <w:p>
            <w:pPr>
              <w:pStyle w:val="TableContents"/>
              <w:bidi w:val="0"/>
              <w:spacing w:before="0" w:after="283"/>
              <w:ind w:left="0" w:right="0" w:hanging="0"/>
              <w:jc w:val="left"/>
              <w:rPr/>
            </w:pPr>
            <w:r>
              <w:rPr/>
              <w:t> </w:t>
            </w:r>
          </w:p>
        </w:tc>
        <w:tc>
          <w:tcPr>
            <w:tcW w:w="110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203</w:t>
            </w:r>
          </w:p>
        </w:tc>
        <w:tc>
          <w:tcPr>
            <w:tcW w:w="75" w:type="dxa"/>
            <w:tcBorders/>
            <w:shd w:fill="FFFFFF" w:val="clear"/>
            <w:vAlign w:val="center"/>
          </w:tcPr>
          <w:p>
            <w:pPr>
              <w:pStyle w:val="TableContents"/>
              <w:bidi w:val="0"/>
              <w:spacing w:before="0" w:after="283"/>
              <w:jc w:val="left"/>
              <w:rPr/>
            </w:pPr>
            <w:r>
              <w:rPr/>
              <w:t> </w:t>
            </w:r>
          </w:p>
        </w:tc>
      </w:tr>
      <w:tr>
        <w:trPr/>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intangible assets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335,205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271,011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8" w:type="dxa"/>
            <w:tcBorders/>
            <w:shd w:fill="CCEEFF" w:val="clear"/>
            <w:vAlign w:val="center"/>
          </w:tcPr>
          <w:p>
            <w:pPr>
              <w:pStyle w:val="TableContents"/>
              <w:bidi w:val="0"/>
              <w:spacing w:before="0" w:after="283"/>
              <w:jc w:val="left"/>
              <w:rPr/>
            </w:pPr>
            <w:r>
              <w:rPr/>
              <w:t> </w:t>
            </w:r>
          </w:p>
        </w:tc>
        <w:tc>
          <w:tcPr>
            <w:tcW w:w="1101"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339,306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260,034</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Changes in the carrying values of purchased intangible assets presented above are a result of the impact of fluctuations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Amortization expense related to intangible assets was approximately $7.3 million in the second quarter of fiscal 2026 and $14.6 million in the first six months of fiscal 2026. Amortization expense related to intangible assets was approximately $10.0 million in the second quarter of fiscal 2025 and $19.9 million in the first six months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235" w:type="dxa"/>
        <w:jc w:val="left"/>
        <w:tblInd w:w="0" w:type="dxa"/>
        <w:tblLayout w:type="fixed"/>
        <w:tblCellMar>
          <w:top w:w="0" w:type="dxa"/>
          <w:left w:w="0" w:type="dxa"/>
          <w:bottom w:w="0" w:type="dxa"/>
          <w:right w:w="0" w:type="dxa"/>
        </w:tblCellMar>
      </w:tblPr>
      <w:tblGrid>
        <w:gridCol w:w="215"/>
        <w:gridCol w:w="302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3. </w:t>
            </w:r>
          </w:p>
        </w:tc>
        <w:tc>
          <w:tcPr>
            <w:tcW w:w="30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Borrowings and Credit Agreements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200"/>
        <w:jc w:val="left"/>
        <w:rPr>
          <w:rFonts w:ascii="Times New Roman" w:hAnsi="Times New Roman"/>
          <w:caps w:val="false"/>
          <w:smallCaps w:val="false"/>
          <w:sz w:val="20"/>
        </w:rPr>
      </w:pPr>
      <w:r>
        <w:rPr>
          <w:rFonts w:ascii="Times New Roman" w:hAnsi="Times New Roman"/>
          <w:caps w:val="false"/>
          <w:smallCaps w:val="false"/>
          <w:sz w:val="20"/>
        </w:rPr>
        <w:t>The following table is a summary of our borrowings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4949" w:type="dxa"/>
        <w:jc w:val="left"/>
        <w:tblInd w:w="0" w:type="dxa"/>
        <w:tblLayout w:type="fixed"/>
        <w:tblCellMar>
          <w:top w:w="0" w:type="dxa"/>
          <w:left w:w="0" w:type="dxa"/>
          <w:bottom w:w="0" w:type="dxa"/>
          <w:right w:w="0" w:type="dxa"/>
        </w:tblCellMar>
      </w:tblPr>
      <w:tblGrid>
        <w:gridCol w:w="2720"/>
        <w:gridCol w:w="60"/>
        <w:gridCol w:w="125"/>
        <w:gridCol w:w="695"/>
        <w:gridCol w:w="80"/>
        <w:gridCol w:w="60"/>
        <w:gridCol w:w="171"/>
        <w:gridCol w:w="958"/>
        <w:gridCol w:w="80"/>
      </w:tblGrid>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80" w:type="dxa"/>
            <w:tcBorders/>
            <w:vAlign w:val="center"/>
          </w:tcPr>
          <w:p>
            <w:pPr>
              <w:pStyle w:val="TableContents"/>
              <w:bidi w:val="0"/>
              <w:spacing w:before="0" w:after="283"/>
              <w:jc w:val="left"/>
              <w:rPr/>
            </w:pPr>
            <w:r>
              <w:rPr/>
              <w:t> </w:t>
            </w:r>
          </w:p>
        </w:tc>
      </w:tr>
      <w:tr>
        <w:trPr/>
        <w:tc>
          <w:tcPr>
            <w:tcW w:w="27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Convertible notes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287,500</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Revolving Credit Facility</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9,667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9,360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Construction loan-Cohu GmbH</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5,532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6,252</w:t>
            </w:r>
          </w:p>
        </w:tc>
        <w:tc>
          <w:tcPr>
            <w:tcW w:w="80" w:type="dxa"/>
            <w:tcBorders/>
            <w:shd w:fill="CCEEFF" w:val="clear"/>
            <w:vAlign w:val="center"/>
          </w:tcPr>
          <w:p>
            <w:pPr>
              <w:pStyle w:val="TableContents"/>
              <w:bidi w:val="0"/>
              <w:spacing w:before="0" w:after="283"/>
              <w:ind w:left="0" w:right="0" w:hanging="0"/>
              <w:jc w:val="left"/>
              <w:rPr/>
            </w:pPr>
            <w:r>
              <w:rPr/>
              <w:t> </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Term Loans-Kita</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1,395</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1,530</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Lines of Credit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447</w:t>
            </w:r>
          </w:p>
        </w:tc>
        <w:tc>
          <w:tcPr>
            <w:tcW w:w="80" w:type="dxa"/>
            <w:tcBorders/>
            <w:shd w:fill="CCEEFF" w:val="clear"/>
            <w:vAlign w:val="center"/>
          </w:tcPr>
          <w:p>
            <w:pPr>
              <w:pStyle w:val="TableContents"/>
              <w:bidi w:val="0"/>
              <w:spacing w:before="0" w:after="283"/>
              <w:jc w:val="left"/>
              <w:rPr/>
            </w:pPr>
            <w:r>
              <w:rPr/>
              <w:t> </w:t>
            </w:r>
          </w:p>
        </w:tc>
      </w:tr>
      <w:tr>
        <w:trPr/>
        <w:tc>
          <w:tcPr>
            <w:tcW w:w="272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debt</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304,403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1" w:type="dxa"/>
            <w:tcBorders/>
            <w:shd w:fill="FFFFFF" w:val="clear"/>
            <w:vAlign w:val="center"/>
          </w:tcPr>
          <w:p>
            <w:pPr>
              <w:pStyle w:val="TableContents"/>
              <w:bidi w:val="0"/>
              <w:spacing w:before="0" w:after="283"/>
              <w:ind w:left="0" w:right="0" w:hanging="0"/>
              <w:jc w:val="left"/>
              <w:rPr/>
            </w:pPr>
            <w:r>
              <w:rPr/>
              <w:t> </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305,089</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7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financing fees and discount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(8,172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ind w:left="0" w:right="0" w:hanging="0"/>
              <w:jc w:val="left"/>
              <w:rPr/>
            </w:pPr>
            <w:r>
              <w:rPr/>
              <w:t> </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(9,012</w:t>
            </w:r>
          </w:p>
        </w:tc>
        <w:tc>
          <w:tcPr>
            <w:tcW w:w="8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current portion</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(11,182</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5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(11,051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72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long-term debt</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285,049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285,026</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Convertible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The Notes were not convertible during the fiscal quarter ended June 27, 2026. The Notes will, however, be convertible at the option of holders thereof from July 28, 2026 through September 8, 2026 as a result of the last reported sale price our common stock exceeding 130% of the conversion price of the notes for at least five trading days (whether or not consecutive) during the first 20 trading days of the fiscal quarter commencing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net proceeds from the offering were approximately $278.9 million, after deducting the initial purchasers’ discounts and commissions but before offering expenses. We used approximately $31.4 million of the net proceeds to enter into the capped call transactions that are described in Note 8, “Equity”. We intend to use the remaining net proceeds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Notes are recorded as liabilities in accordance with ASC Topic 470, </w:t>
      </w:r>
      <w:r>
        <w:rPr>
          <w:rFonts w:ascii="Times New Roman" w:hAnsi="Times New Roman"/>
          <w:i/>
          <w:caps w:val="false"/>
          <w:smallCaps w:val="false"/>
          <w:sz w:val="20"/>
        </w:rPr>
        <w:t>Debt</w:t>
      </w:r>
      <w:r>
        <w:rPr>
          <w:rFonts w:ascii="Times New Roman" w:hAnsi="Times New Roman"/>
          <w:caps w:val="false"/>
          <w:smallCaps w:val="false"/>
          <w:sz w:val="20"/>
        </w:rPr>
        <w:t xml:space="preserve"> (“ASC 470”). Issuance costs will be amortized to interest expense over the term of the Notes using the effective interest method. Upon issuance, we evaluated the conversion feature for potential separation as an embedded derivative under ASC 815, </w:t>
      </w:r>
      <w:r>
        <w:rPr>
          <w:rFonts w:ascii="Times New Roman" w:hAnsi="Times New Roman"/>
          <w:i/>
          <w:caps w:val="false"/>
          <w:smallCaps w:val="false"/>
          <w:sz w:val="20"/>
        </w:rPr>
        <w:t>Derivatives and Hedging</w:t>
      </w:r>
      <w:r>
        <w:rPr>
          <w:rFonts w:ascii="Times New Roman" w:hAnsi="Times New Roman"/>
          <w:caps w:val="false"/>
          <w:smallCaps w:val="false"/>
          <w:sz w:val="20"/>
        </w:rPr>
        <w:t xml:space="preserve"> (“ASC 815”) and determined that the conversion feature did not meet the criteria for derivative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effective interest rate for the Notes is 2.2% after considering the effect of the accretion of the related debt discount over the term of the Notes. For the three months ended June 27, 2026, total interest expense related to the Notes was $1.5 million, with coupon interest expense of $1.1 million and amortization of debt discount of $0.4 million. For the six months ended June 27, 2026, total interest expense related to the Notes was $3.0 million, with coupon interest expense of $2.2 million and amortization of debt discount of $0.8 million. As of June 27, 2026, the remaining unamortized debt discount of the Notes was $8.2 million. At June 27, 2026, the outstanding Notes balance, net of discount, was $279.3 million. At December 27, 2025, the outstanding Notes balance, net of discount, was $278.5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of June 27, 2026, the fair value of the Notes was $713.8 million. The measurement of the fair value of Notes is based on the last traded price of the Notes as of June 27, 2026 and is considered a Level 2 fair value measurement.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1.29%, and expire at various dates through 2034. At June 27, 2026, the outstanding loan balance was $1.4 million and $0.2 million of the outstanding balance is presented as current installments of long-term debt in our condensed consolidated balance sheets. At December 27, 2025, the outstanding loan balance was $1.5 million and $0.2 million of the outstanding balance is presented as current installments of long-term debt in our condensed consolidated balance sheets. The fair value of the debt approximates the carrying value at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construction loans (“Loan Facilities”) with a German financial institution initially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At June 27, 2026, total outstanding borrowings under the Loan Facilities was $5.5 million with $1.0 million of the total outstanding balance being presented as current installments of long-term debt in our condensed consolidated balance sheets. At December 27, 2025, total outstanding borrowings under the Loan Facilities was $6.3 million with $1.1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40.0 million has been drawn. The revolving credit facility was utilized to finance the purchase of our leased facility in Melaka, Malaysia. Interest is due monthly and is calculated based on the lender’s Effective Cost of Funds plus a spread of 0.5%. The revolving credit facility is secured by the land and building. At June 27, 2026, $9.7 million was outstanding under the revolving credit facility and the rate of interest was 4.06%.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660 million Japanese Yen of which 50 million Japanese Yen was drawn as of June 27, 2026. At June 27, 2026, total borrowings outstanding under the revolving lines of credit were $0.3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borrowings of up to a total of 2.0 million Swiss Francs, a portion of which is reserved for tax guarantees. On June 27, 2026 and December 27, 2025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155" w:type="dxa"/>
        <w:jc w:val="left"/>
        <w:tblInd w:w="0" w:type="dxa"/>
        <w:tblLayout w:type="fixed"/>
        <w:tblCellMar>
          <w:top w:w="0" w:type="dxa"/>
          <w:left w:w="0" w:type="dxa"/>
          <w:bottom w:w="0" w:type="dxa"/>
          <w:right w:w="0" w:type="dxa"/>
        </w:tblCellMar>
      </w:tblPr>
      <w:tblGrid>
        <w:gridCol w:w="215"/>
        <w:gridCol w:w="1940"/>
      </w:tblGrid>
      <w:tr>
        <w:trPr/>
        <w:tc>
          <w:tcPr>
            <w:tcW w:w="21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4. </w:t>
            </w:r>
          </w:p>
        </w:tc>
        <w:tc>
          <w:tcPr>
            <w:tcW w:w="19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Restructuring Charges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Poway Volume Manufacturing Transition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During the fourth quarter of fiscal 2024, we made the decision to transition all remaining volume manufacturing out of Poway, CA, and consolidate it into our factories in Asia. These changes have allowed us to better utilize our corporate infrastructure, drive improvements in inventory management, optimize our warehousing and better support our long-term goals. Total pretax charges related to the Poway volume manufacturing transition for the first six months ended June 28, 2025 were $1.2 million. The Poway volume manufacturing transition was substantially complete as of the first quarter of fiscal 2026, and costs incurred during the six months ended June 27, 2026, were insignificant. The following table summarizes the activity within the restructuring related accounts for the Poway volume manufacturing transition during the first six months ended June 28,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23" w:type="dxa"/>
        <w:jc w:val="left"/>
        <w:tblInd w:w="0" w:type="dxa"/>
        <w:tblLayout w:type="fixed"/>
        <w:tblCellMar>
          <w:top w:w="0" w:type="dxa"/>
          <w:left w:w="0" w:type="dxa"/>
          <w:bottom w:w="0" w:type="dxa"/>
          <w:right w:w="0" w:type="dxa"/>
        </w:tblCellMar>
      </w:tblPr>
      <w:tblGrid>
        <w:gridCol w:w="2345"/>
        <w:gridCol w:w="60"/>
        <w:gridCol w:w="285"/>
        <w:gridCol w:w="904"/>
        <w:gridCol w:w="80"/>
        <w:gridCol w:w="60"/>
        <w:gridCol w:w="206"/>
        <w:gridCol w:w="653"/>
        <w:gridCol w:w="80"/>
        <w:gridCol w:w="60"/>
        <w:gridCol w:w="125"/>
        <w:gridCol w:w="485"/>
        <w:gridCol w:w="80"/>
      </w:tblGrid>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48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1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8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45"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85" w:type="dxa"/>
            <w:tcBorders/>
            <w:shd w:fill="FFFFFF" w:val="clear"/>
            <w:vAlign w:val="center"/>
          </w:tcPr>
          <w:p>
            <w:pPr>
              <w:pStyle w:val="TableContents"/>
              <w:bidi w:val="0"/>
              <w:spacing w:before="0" w:after="283"/>
              <w:ind w:left="0" w:right="0" w:hanging="0"/>
              <w:jc w:val="left"/>
              <w:rPr/>
            </w:pPr>
            <w:r>
              <w:rPr/>
              <w:t> </w:t>
            </w:r>
          </w:p>
        </w:tc>
        <w:tc>
          <w:tcPr>
            <w:tcW w:w="9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48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1,224</w:t>
            </w:r>
          </w:p>
        </w:tc>
        <w:tc>
          <w:tcPr>
            <w:tcW w:w="80" w:type="dxa"/>
            <w:tcBorders/>
            <w:shd w:fill="FFFFFF" w:val="clear"/>
            <w:vAlign w:val="center"/>
          </w:tcPr>
          <w:p>
            <w:pPr>
              <w:pStyle w:val="TableContents"/>
              <w:bidi w:val="0"/>
              <w:spacing w:before="0" w:after="283"/>
              <w:jc w:val="left"/>
              <w:rPr/>
            </w:pPr>
            <w:r>
              <w:rPr/>
              <w:t> </w:t>
            </w:r>
          </w:p>
        </w:tc>
      </w:tr>
      <w:tr>
        <w:trPr/>
        <w:tc>
          <w:tcPr>
            <w:tcW w:w="2345"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8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48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(583</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4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28, 2025</w:t>
            </w:r>
          </w:p>
        </w:tc>
        <w:tc>
          <w:tcPr>
            <w:tcW w:w="60" w:type="dxa"/>
            <w:tcBorders/>
            <w:shd w:fill="FFFFFF" w:val="clear"/>
            <w:vAlign w:val="center"/>
          </w:tcPr>
          <w:p>
            <w:pPr>
              <w:pStyle w:val="TableContents"/>
              <w:bidi w:val="0"/>
              <w:spacing w:before="0" w:after="283"/>
              <w:ind w:left="0" w:right="0" w:hanging="0"/>
              <w:jc w:val="left"/>
              <w:rPr/>
            </w:pPr>
            <w:r>
              <w:rPr/>
              <w:t> </w:t>
            </w:r>
          </w:p>
        </w:tc>
        <w:tc>
          <w:tcPr>
            <w:tcW w:w="28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118</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8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641</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2025 Strategic Restructuring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February 19, 2025, we approved and began executing a strategic restructuring program designed to reposition our organization and improve our cost structure (the “2025 Restructuring Program”). As part of this program, we consolidated certain of our operations in La Chaux-de-Fonds, Switzerland, and Kolbermoor, Germany, into lower</w:t>
        <w:noBreakHyphen/>
        <w:t xml:space="preserve">cost locations, and we also implemented headcount reductions in those areas and in the U.S. and across Asia. Relating to the operations consolidation actions, we notified certain impacted employees of the corresponding reduction in force program at those locations which required negotiation with the microtechnology and Swiss watch trade union and the German labor organization which represent certain of the employees at their respective locations. During the second quarter of 2025, headcount reductions we implemented in Switzerland as part of the 2025 Restructuring Program resulted in a change to our defined benefit pension plan, resulting in a curtailment of future benefits for affected employees. In accordance with ASC Topic 715, </w:t>
      </w:r>
      <w:r>
        <w:rPr>
          <w:rFonts w:ascii="Times New Roman" w:hAnsi="Times New Roman"/>
          <w:i/>
          <w:caps w:val="false"/>
          <w:smallCaps w:val="false"/>
          <w:sz w:val="20"/>
        </w:rPr>
        <w:t>Compensation-Retirement Benefits</w:t>
      </w:r>
      <w:r>
        <w:rPr>
          <w:rFonts w:ascii="Times New Roman" w:hAnsi="Times New Roman"/>
          <w:caps w:val="false"/>
          <w:smallCaps w:val="false"/>
          <w:sz w:val="20"/>
        </w:rPr>
        <w:t xml:space="preserve"> (“ASC 715”), during the three months ended June 28, 2025, we recognized a pension curtailment gain of $1.5 million. This gain reflects the reduction in the projected benefit obligation due to the termination of future service accruals for impacted plan participants and is included in the condensed consolidated statements of operations. The 2025 Restructuring Program, as implemented over time, will reduce headcount and enable us to optimize the facilities of our operations, as well as transition certain manufacturing to other lower cost regions. The 2025 Restructuring Program is being implemented as part of a comprehensive review of our operations with the goal of reducing costs during the extended downturn in the semiconductor test and inspection equipment industry.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fourth quarter of 2025, management identified additional restructuring actions under Cohu’s previously communicated 2025 Restructuring Program to further optimize our cost structure and operational footprint. These additional actions were announced and commenced on January 13, 2026, and include the further consolidation of certain operations within our IS and ST business segments in the U.S. and Asia, as well as workforce reductions across select functions.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As a result of the activities described above, we recognized total pretax charges of $1.4 million and $6.6 million during the first six months ended June 27, 2026 and June 28, 2025, respectively, that are within the scope of ASC 420. The following table summarizes the activity within the restructuring related accounts for the 2025 Restructuring Program during the first six months ended June 27, 2026 and June 28, 2025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5498" w:type="dxa"/>
        <w:jc w:val="left"/>
        <w:tblInd w:w="0" w:type="dxa"/>
        <w:tblLayout w:type="fixed"/>
        <w:tblCellMar>
          <w:top w:w="0" w:type="dxa"/>
          <w:left w:w="0" w:type="dxa"/>
          <w:bottom w:w="0" w:type="dxa"/>
          <w:right w:w="0" w:type="dxa"/>
        </w:tblCellMar>
      </w:tblPr>
      <w:tblGrid>
        <w:gridCol w:w="2360"/>
        <w:gridCol w:w="60"/>
        <w:gridCol w:w="221"/>
        <w:gridCol w:w="968"/>
        <w:gridCol w:w="80"/>
        <w:gridCol w:w="60"/>
        <w:gridCol w:w="206"/>
        <w:gridCol w:w="653"/>
        <w:gridCol w:w="80"/>
        <w:gridCol w:w="60"/>
        <w:gridCol w:w="125"/>
        <w:gridCol w:w="545"/>
        <w:gridCol w:w="8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Severance and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Exit</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45" w:type="dxa"/>
            <w:tcBorders/>
            <w:vAlign w:val="center"/>
          </w:tcPr>
          <w:p>
            <w:pPr>
              <w:pStyle w:val="TableContents"/>
              <w:bidi w:val="0"/>
              <w:spacing w:before="0" w:after="283"/>
              <w:jc w:val="center"/>
              <w:rPr/>
            </w:pPr>
            <w:r>
              <w:rPr/>
              <w:t> </w:t>
            </w:r>
          </w:p>
        </w:tc>
        <w:tc>
          <w:tcPr>
            <w:tcW w:w="8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Other Payroll</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80" w:type="dxa"/>
            <w:tcBorders/>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28, 2024</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6,559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6,615</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(4,554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(4,610</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404</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28,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2,409</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jc w:val="left"/>
              <w:rPr/>
            </w:pPr>
            <w:r>
              <w:rPr/>
              <w:t> </w:t>
            </w:r>
          </w:p>
        </w:tc>
        <w:tc>
          <w:tcPr>
            <w:tcW w:w="968"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jc w:val="left"/>
              <w:rPr/>
            </w:pPr>
            <w:r>
              <w:rPr/>
              <w:t> </w:t>
            </w:r>
          </w:p>
        </w:tc>
        <w:tc>
          <w:tcPr>
            <w:tcW w:w="653"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jc w:val="left"/>
              <w:rPr/>
            </w:pPr>
            <w:r>
              <w:rPr/>
              <w:t> </w:t>
            </w:r>
          </w:p>
        </w:tc>
        <w:tc>
          <w:tcPr>
            <w:tcW w:w="545" w:type="dxa"/>
            <w:tcBorders/>
            <w:shd w:fill="FFFFFF" w:val="clear"/>
            <w:vAlign w:val="center"/>
          </w:tcPr>
          <w:p>
            <w:pPr>
              <w:pStyle w:val="TableContents"/>
              <w:bidi w:val="0"/>
              <w:spacing w:before="0" w:after="283"/>
              <w:jc w:val="left"/>
              <w:rPr/>
            </w:pPr>
            <w:r>
              <w:rPr/>
              <w:t> </w:t>
            </w:r>
          </w:p>
        </w:tc>
        <w:tc>
          <w:tcPr>
            <w:tcW w:w="80" w:type="dxa"/>
            <w:tcBorders/>
            <w:shd w:fill="FFFFFF" w:val="clear"/>
            <w:vAlign w:val="center"/>
          </w:tcPr>
          <w:p>
            <w:pPr>
              <w:pStyle w:val="TableContents"/>
              <w:bidi w:val="0"/>
              <w:spacing w:before="0" w:after="283"/>
              <w:ind w:left="0" w:right="0" w:hanging="0"/>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December 27, 2025</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2,132</w:t>
            </w:r>
          </w:p>
        </w:tc>
        <w:tc>
          <w:tcPr>
            <w:tcW w:w="8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Costs accrued</w:t>
            </w:r>
          </w:p>
        </w:tc>
        <w:tc>
          <w:tcPr>
            <w:tcW w:w="60" w:type="dxa"/>
            <w:tcBorders/>
            <w:shd w:fill="FFFFFF" w:val="clear"/>
            <w:vAlign w:val="center"/>
          </w:tcPr>
          <w:p>
            <w:pPr>
              <w:pStyle w:val="TableContents"/>
              <w:bidi w:val="0"/>
              <w:spacing w:before="0" w:after="283"/>
              <w:jc w:val="left"/>
              <w:rPr/>
            </w:pPr>
            <w:r>
              <w:rPr/>
              <w:t> </w:t>
            </w:r>
          </w:p>
        </w:tc>
        <w:tc>
          <w:tcPr>
            <w:tcW w:w="221" w:type="dxa"/>
            <w:tcBorders/>
            <w:shd w:fill="FFFFFF" w:val="clear"/>
            <w:vAlign w:val="center"/>
          </w:tcPr>
          <w:p>
            <w:pPr>
              <w:pStyle w:val="TableContents"/>
              <w:bidi w:val="0"/>
              <w:spacing w:before="0" w:after="283"/>
              <w:ind w:left="0" w:right="0" w:hanging="0"/>
              <w:jc w:val="left"/>
              <w:rPr/>
            </w:pPr>
            <w:r>
              <w:rPr/>
              <w:t> </w:t>
            </w:r>
          </w:p>
        </w:tc>
        <w:tc>
          <w:tcPr>
            <w:tcW w:w="96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774</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06" w:type="dxa"/>
            <w:tcBorders/>
            <w:shd w:fill="FFFFFF" w:val="clear"/>
            <w:vAlign w:val="center"/>
          </w:tcPr>
          <w:p>
            <w:pPr>
              <w:pStyle w:val="TableContents"/>
              <w:bidi w:val="0"/>
              <w:spacing w:before="0" w:after="283"/>
              <w:ind w:left="0" w:right="0" w:hanging="0"/>
              <w:jc w:val="left"/>
              <w:rPr/>
            </w:pPr>
            <w:r>
              <w:rPr/>
              <w:t> </w:t>
            </w:r>
          </w:p>
        </w:tc>
        <w:tc>
          <w:tcPr>
            <w:tcW w:w="65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54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1,403</w:t>
            </w:r>
          </w:p>
        </w:tc>
        <w:tc>
          <w:tcPr>
            <w:tcW w:w="8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Amounts paid or charged</w:t>
            </w:r>
          </w:p>
        </w:tc>
        <w:tc>
          <w:tcPr>
            <w:tcW w:w="6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ind w:left="0" w:right="0" w:hanging="0"/>
              <w:jc w:val="left"/>
              <w:rPr/>
            </w:pPr>
            <w:r>
              <w:rPr/>
              <w:t> </w:t>
            </w:r>
          </w:p>
        </w:tc>
        <w:tc>
          <w:tcPr>
            <w:tcW w:w="96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206" w:type="dxa"/>
            <w:tcBorders/>
            <w:shd w:fill="CCEEFF" w:val="clear"/>
            <w:vAlign w:val="center"/>
          </w:tcPr>
          <w:p>
            <w:pPr>
              <w:pStyle w:val="TableContents"/>
              <w:bidi w:val="0"/>
              <w:spacing w:before="0" w:after="283"/>
              <w:ind w:left="0" w:right="0" w:hanging="0"/>
              <w:jc w:val="left"/>
              <w:rPr/>
            </w:pPr>
            <w:r>
              <w:rPr/>
              <w:t> </w:t>
            </w:r>
          </w:p>
        </w:tc>
        <w:tc>
          <w:tcPr>
            <w:tcW w:w="65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(629</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54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(3,196</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FFFF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Impact of currency exchange</w:t>
            </w:r>
          </w:p>
        </w:tc>
        <w:tc>
          <w:tcPr>
            <w:tcW w:w="60" w:type="dxa"/>
            <w:tcBorders/>
            <w:shd w:fill="FFFFFF" w:val="clear"/>
            <w:vAlign w:val="center"/>
          </w:tcPr>
          <w:p>
            <w:pPr>
              <w:pStyle w:val="TableContents"/>
              <w:bidi w:val="0"/>
              <w:spacing w:before="0" w:after="283"/>
              <w:jc w:val="left"/>
              <w:rPr/>
            </w:pPr>
            <w:r>
              <w:rPr/>
              <w:t> </w:t>
            </w:r>
          </w:p>
        </w:tc>
        <w:tc>
          <w:tcPr>
            <w:tcW w:w="221"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6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20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545"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80"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June 27, 2026</w:t>
            </w:r>
          </w:p>
        </w:tc>
        <w:tc>
          <w:tcPr>
            <w:tcW w:w="60" w:type="dxa"/>
            <w:tcBorders/>
            <w:shd w:fill="CCEEFF" w:val="clear"/>
            <w:vAlign w:val="center"/>
          </w:tcPr>
          <w:p>
            <w:pPr>
              <w:pStyle w:val="TableContents"/>
              <w:bidi w:val="0"/>
              <w:spacing w:before="0" w:after="283"/>
              <w:ind w:left="0" w:right="0" w:hanging="0"/>
              <w:jc w:val="left"/>
              <w:rPr/>
            </w:pPr>
            <w:r>
              <w:rPr/>
              <w:t> </w:t>
            </w:r>
          </w:p>
        </w:tc>
        <w:tc>
          <w:tcPr>
            <w:tcW w:w="221"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68"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0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45"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338</w:t>
            </w:r>
          </w:p>
        </w:tc>
        <w:tc>
          <w:tcPr>
            <w:tcW w:w="8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170"/>
        <w:gridCol w:w="398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5.</w:t>
            </w:r>
          </w:p>
        </w:tc>
        <w:tc>
          <w:tcPr>
            <w:tcW w:w="398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Financial Instruments Measured at Fair Value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Our cash, cash equivalents, and short-term investments consisted primarily of cash and other investment grade securities. We do not hold investment securities for trading purposes. All short-term investments in debt securities are classified as available-for-sale and recorded at fair value. Investment securities are exposed to market risk due to changes in interest rates and credit risk and we monitor credit risk and attempt to mitigate exposure by making high-quality investments and through investment diversification.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assess whether unrealized loss positions on available-for-sale debt securities are due to credit-related factors. The credit-related portion of unrealized losses, and any subsequent improvements, are recorded in earnings through an allowance account. Unrealized gains and losses that are not due to credit-related factors are included in accumulated other comprehensive loss. Factors that could indicate an impairment exists include, but are not limited to, earnings performance, changes in credit rating or adverse changes in the regulatory or economic environment of the asset. Gross realized gains and losses on sales of short-term investments are included in interest income. Realized gains and losses for the periods presented were not significant.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Investments that we have classified as short-term, by security type,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375"/>
        <w:gridCol w:w="60"/>
        <w:gridCol w:w="133"/>
        <w:gridCol w:w="742"/>
        <w:gridCol w:w="60"/>
        <w:gridCol w:w="60"/>
        <w:gridCol w:w="317"/>
        <w:gridCol w:w="588"/>
        <w:gridCol w:w="60"/>
        <w:gridCol w:w="60"/>
        <w:gridCol w:w="244"/>
        <w:gridCol w:w="661"/>
        <w:gridCol w:w="60"/>
        <w:gridCol w:w="60"/>
        <w:gridCol w:w="126"/>
        <w:gridCol w:w="704"/>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149,544</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76,610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76,550</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33,139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33,007</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18,767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18,737</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278,894</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391</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278,559</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6385" w:type="dxa"/>
        <w:jc w:val="left"/>
        <w:tblInd w:w="0" w:type="dxa"/>
        <w:tblLayout w:type="fixed"/>
        <w:tblCellMar>
          <w:top w:w="0" w:type="dxa"/>
          <w:left w:w="0" w:type="dxa"/>
          <w:bottom w:w="0" w:type="dxa"/>
          <w:right w:w="0" w:type="dxa"/>
        </w:tblCellMar>
      </w:tblPr>
      <w:tblGrid>
        <w:gridCol w:w="2375"/>
        <w:gridCol w:w="60"/>
        <w:gridCol w:w="133"/>
        <w:gridCol w:w="742"/>
        <w:gridCol w:w="60"/>
        <w:gridCol w:w="60"/>
        <w:gridCol w:w="244"/>
        <w:gridCol w:w="661"/>
        <w:gridCol w:w="60"/>
        <w:gridCol w:w="60"/>
        <w:gridCol w:w="317"/>
        <w:gridCol w:w="588"/>
        <w:gridCol w:w="60"/>
        <w:gridCol w:w="60"/>
        <w:gridCol w:w="126"/>
        <w:gridCol w:w="704"/>
        <w:gridCol w:w="75"/>
      </w:tblGrid>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387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 w:type="dxa"/>
            <w:tcBorders/>
            <w:vAlign w:val="center"/>
          </w:tcPr>
          <w:p>
            <w:pPr>
              <w:pStyle w:val="TableContents"/>
              <w:bidi w:val="0"/>
              <w:spacing w:before="0" w:after="283"/>
              <w:jc w:val="left"/>
              <w:rPr/>
            </w:pPr>
            <w:r>
              <w:rPr/>
              <w:t> </w:t>
            </w:r>
          </w:p>
        </w:tc>
        <w:tc>
          <w:tcPr>
            <w:tcW w:w="742"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Gross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Unrealized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w:t>
            </w:r>
          </w:p>
        </w:tc>
        <w:tc>
          <w:tcPr>
            <w:tcW w:w="75" w:type="dxa"/>
            <w:tcBorders/>
            <w:vAlign w:val="center"/>
          </w:tcPr>
          <w:p>
            <w:pPr>
              <w:pStyle w:val="TableContents"/>
              <w:bidi w:val="0"/>
              <w:spacing w:before="0" w:after="283"/>
              <w:jc w:val="left"/>
              <w:rPr/>
            </w:pPr>
            <w:r>
              <w:rPr/>
              <w:t> </w:t>
            </w:r>
          </w:p>
        </w:tc>
      </w:tr>
      <w:tr>
        <w:trPr/>
        <w:tc>
          <w:tcPr>
            <w:tcW w:w="23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Gains</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lineRule="auto" w:line="288"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Losses (1)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Value</w:t>
            </w:r>
          </w:p>
        </w:tc>
        <w:tc>
          <w:tcPr>
            <w:tcW w:w="75" w:type="dxa"/>
            <w:tcBorders/>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lineRule="auto" w:line="288"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(2)</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4"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31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150,361</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58,130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58,156</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shd w:fill="CCEEFF" w:val="clear"/>
            <w:vAlign w:val="center"/>
          </w:tcPr>
          <w:p>
            <w:pPr>
              <w:pStyle w:val="TableContents"/>
              <w:bidi w:val="0"/>
              <w:spacing w:before="0" w:after="283"/>
              <w:ind w:left="0" w:right="0" w:hanging="0"/>
              <w:jc w:val="left"/>
              <w:rPr/>
            </w:pPr>
            <w:r>
              <w:rPr/>
              <w:t> </w:t>
            </w:r>
          </w:p>
        </w:tc>
        <w:tc>
          <w:tcPr>
            <w:tcW w:w="66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shd w:fill="CCEEFF" w:val="clear"/>
            <w:vAlign w:val="center"/>
          </w:tcPr>
          <w:p>
            <w:pPr>
              <w:pStyle w:val="TableContents"/>
              <w:bidi w:val="0"/>
              <w:spacing w:before="0" w:after="283"/>
              <w:ind w:left="0" w:right="0" w:hanging="0"/>
              <w:jc w:val="left"/>
              <w:rPr/>
            </w:pPr>
            <w:r>
              <w:rPr/>
              <w:t> </w:t>
            </w:r>
          </w:p>
        </w:tc>
        <w:tc>
          <w:tcPr>
            <w:tcW w:w="58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shd w:fill="CCEEFF" w:val="clear"/>
            <w:vAlign w:val="center"/>
          </w:tcPr>
          <w:p>
            <w:pPr>
              <w:pStyle w:val="TableContents"/>
              <w:bidi w:val="0"/>
              <w:spacing w:before="0" w:after="283"/>
              <w:ind w:left="0" w:right="0" w:hanging="0"/>
              <w:jc w:val="left"/>
              <w:rPr/>
            </w:pPr>
            <w:r>
              <w:rPr/>
              <w:t> </w:t>
            </w:r>
          </w:p>
        </w:tc>
        <w:tc>
          <w:tcPr>
            <w:tcW w:w="70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37,652</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74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10,038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4" w:type="dxa"/>
            <w:tcBorders/>
            <w:shd w:fill="FFFFFF" w:val="clear"/>
            <w:vAlign w:val="center"/>
          </w:tcPr>
          <w:p>
            <w:pPr>
              <w:pStyle w:val="TableContents"/>
              <w:bidi w:val="0"/>
              <w:spacing w:before="0" w:after="283"/>
              <w:ind w:left="0" w:right="0" w:hanging="0"/>
              <w:jc w:val="left"/>
              <w:rPr/>
            </w:pPr>
            <w:r>
              <w:rPr/>
              <w:t> </w:t>
            </w:r>
          </w:p>
        </w:tc>
        <w:tc>
          <w:tcPr>
            <w:tcW w:w="66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317" w:type="dxa"/>
            <w:tcBorders/>
            <w:shd w:fill="FFFFFF" w:val="clear"/>
            <w:vAlign w:val="center"/>
          </w:tcPr>
          <w:p>
            <w:pPr>
              <w:pStyle w:val="TableContents"/>
              <w:bidi w:val="0"/>
              <w:spacing w:before="0" w:after="283"/>
              <w:ind w:left="0" w:right="0" w:hanging="0"/>
              <w:jc w:val="left"/>
              <w:rPr/>
            </w:pPr>
            <w:r>
              <w:rPr/>
              <w:t> </w:t>
            </w:r>
          </w:p>
        </w:tc>
        <w:tc>
          <w:tcPr>
            <w:tcW w:w="58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6" w:type="dxa"/>
            <w:tcBorders/>
            <w:shd w:fill="FFFFFF" w:val="clear"/>
            <w:vAlign w:val="center"/>
          </w:tcPr>
          <w:p>
            <w:pPr>
              <w:pStyle w:val="TableContents"/>
              <w:bidi w:val="0"/>
              <w:spacing w:before="0" w:after="283"/>
              <w:ind w:left="0" w:right="0" w:hanging="0"/>
              <w:jc w:val="left"/>
              <w:rPr/>
            </w:pPr>
            <w:r>
              <w:rPr/>
              <w:t> </w:t>
            </w:r>
          </w:p>
        </w:tc>
        <w:tc>
          <w:tcPr>
            <w:tcW w:w="704"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w:t>
            </w:r>
          </w:p>
        </w:tc>
        <w:tc>
          <w:tcPr>
            <w:tcW w:w="75" w:type="dxa"/>
            <w:tcBorders/>
            <w:shd w:fill="FFFFFF" w:val="clear"/>
            <w:vAlign w:val="center"/>
          </w:tcPr>
          <w:p>
            <w:pPr>
              <w:pStyle w:val="TableContents"/>
              <w:bidi w:val="0"/>
              <w:spacing w:before="0" w:after="283"/>
              <w:jc w:val="left"/>
              <w:rPr/>
            </w:pPr>
            <w:r>
              <w:rPr/>
              <w:t> </w:t>
            </w:r>
          </w:p>
        </w:tc>
      </w:tr>
      <w:tr>
        <w:trPr/>
        <w:tc>
          <w:tcPr>
            <w:tcW w:w="237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3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4"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1"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317"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8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704"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75" w:type="dxa"/>
            <w:tcBorders/>
            <w:shd w:fill="CCEEFF" w:val="clear"/>
            <w:vAlign w:val="center"/>
          </w:tcPr>
          <w:p>
            <w:pPr>
              <w:pStyle w:val="TableContents"/>
              <w:bidi w:val="0"/>
              <w:spacing w:before="0" w:after="283"/>
              <w:jc w:val="left"/>
              <w:rPr/>
            </w:pPr>
            <w:r>
              <w:rPr/>
              <w:t> </w:t>
            </w:r>
          </w:p>
        </w:tc>
      </w:tr>
      <w:tr>
        <w:trPr/>
        <w:tc>
          <w:tcPr>
            <w:tcW w:w="237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256,769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244"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1"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317"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8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04"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256,928</w:t>
            </w:r>
          </w:p>
        </w:tc>
        <w:tc>
          <w:tcPr>
            <w:tcW w:w="75" w:type="dxa"/>
            <w:tcBorders/>
            <w:shd w:fill="FFFFFF" w:val="clear"/>
            <w:vAlign w:val="center"/>
          </w:tcPr>
          <w:p>
            <w:pPr>
              <w:pStyle w:val="TableContents"/>
              <w:bidi w:val="0"/>
              <w:spacing w:before="0" w:after="283"/>
              <w:jc w:val="left"/>
              <w:rPr/>
            </w:pPr>
            <w:r>
              <w:rPr/>
              <w:t> </w:t>
            </w:r>
          </w:p>
        </w:tc>
      </w:tr>
    </w:tbl>
    <w:tbl>
      <w:tblPr>
        <w:tblW w:w="180" w:type="dxa"/>
        <w:jc w:val="left"/>
        <w:tblInd w:w="0" w:type="dxa"/>
        <w:tblLayout w:type="fixed"/>
        <w:tblCellMar>
          <w:top w:w="0" w:type="dxa"/>
          <w:left w:w="0" w:type="dxa"/>
          <w:bottom w:w="0" w:type="dxa"/>
          <w:right w:w="0" w:type="dxa"/>
        </w:tblCellMar>
      </w:tblPr>
      <w:tblGrid>
        <w:gridCol w:w="60"/>
        <w:gridCol w:w="60"/>
        <w:gridCol w:w="60"/>
      </w:tblGrid>
      <w:tr>
        <w:trPr/>
        <w:tc>
          <w:tcPr>
            <w:tcW w:w="60" w:type="dxa"/>
            <w:tcBorders/>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c>
          <w:tcPr>
            <w:tcW w:w="60" w:type="dxa"/>
            <w:tcBorders>
              <w:bottom w:val="single" w:sz="2" w:space="0" w:color="000000"/>
            </w:tcBorders>
            <w:tcMar>
              <w:bottom w:w="28"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60"/>
        <w:gridCol w:w="196"/>
        <w:gridCol w:w="9949"/>
      </w:tblGrid>
      <w:tr>
        <w:trPr/>
        <w:tc>
          <w:tcPr>
            <w:tcW w:w="60" w:type="dxa"/>
            <w:tcBorders/>
            <w:vAlign w:val="center"/>
          </w:tcPr>
          <w:p>
            <w:pPr>
              <w:pStyle w:val="TableContents"/>
              <w:bidi w:val="0"/>
              <w:spacing w:before="0" w:after="283"/>
              <w:jc w:val="left"/>
              <w:rPr/>
            </w:pPr>
            <w:r>
              <w:rPr/>
              <w:t> </w:t>
            </w:r>
          </w:p>
        </w:tc>
        <w:tc>
          <w:tcPr>
            <w:tcW w:w="19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994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of June 27, 2026, the cost and fair value of investments with loss positions were approximately $216.1 million and $215.7 million, respectively. As of December 27, 2025, the cost and fair value of investments with loss positions were both approximately $58.3 million. We evaluated the nature of these investments, credit worthiness of the issuer and the duration of these impairments to determine if a credit-related decline in fair value had occurred and concluded that these losses were temporary and we have the ability and intent to hold these investments to maturity.</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223"/>
        <w:gridCol w:w="9922"/>
      </w:tblGrid>
      <w:tr>
        <w:trPr/>
        <w:tc>
          <w:tcPr>
            <w:tcW w:w="60" w:type="dxa"/>
            <w:tcBorders/>
            <w:vAlign w:val="center"/>
          </w:tcPr>
          <w:p>
            <w:pPr>
              <w:pStyle w:val="TableContents"/>
              <w:bidi w:val="0"/>
              <w:spacing w:before="0" w:after="283"/>
              <w:jc w:val="left"/>
              <w:rPr/>
            </w:pPr>
            <w:r>
              <w:rPr/>
              <w:t> </w:t>
            </w:r>
          </w:p>
        </w:tc>
        <w:tc>
          <w:tcPr>
            <w:tcW w:w="22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992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 include investments in financial and other corporate institutions. No single issuer represents a significant portion of the total corporate debt securities portfolio.</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Effective maturities of short-term investments are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983" w:type="dxa"/>
        <w:jc w:val="left"/>
        <w:tblInd w:w="0" w:type="dxa"/>
        <w:tblLayout w:type="fixed"/>
        <w:tblCellMar>
          <w:top w:w="0" w:type="dxa"/>
          <w:left w:w="0" w:type="dxa"/>
          <w:bottom w:w="0" w:type="dxa"/>
          <w:right w:w="0" w:type="dxa"/>
        </w:tblCellMar>
      </w:tblPr>
      <w:tblGrid>
        <w:gridCol w:w="3020"/>
        <w:gridCol w:w="60"/>
        <w:gridCol w:w="133"/>
        <w:gridCol w:w="742"/>
        <w:gridCol w:w="60"/>
        <w:gridCol w:w="60"/>
        <w:gridCol w:w="130"/>
        <w:gridCol w:w="729"/>
        <w:gridCol w:w="60"/>
        <w:gridCol w:w="60"/>
        <w:gridCol w:w="133"/>
        <w:gridCol w:w="742"/>
        <w:gridCol w:w="60"/>
        <w:gridCol w:w="60"/>
        <w:gridCol w:w="130"/>
        <w:gridCol w:w="729"/>
        <w:gridCol w:w="75"/>
      </w:tblGrid>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85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Amortized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Estimated</w:t>
            </w:r>
          </w:p>
        </w:tc>
        <w:tc>
          <w:tcPr>
            <w:tcW w:w="75" w:type="dxa"/>
            <w:tcBorders/>
            <w:vAlign w:val="center"/>
          </w:tcPr>
          <w:p>
            <w:pPr>
              <w:pStyle w:val="TableContents"/>
              <w:bidi w:val="0"/>
              <w:spacing w:before="0" w:after="283"/>
              <w:jc w:val="left"/>
              <w:rPr/>
            </w:pPr>
            <w:r>
              <w:rPr/>
              <w:t> </w:t>
            </w:r>
          </w:p>
        </w:tc>
      </w:tr>
      <w:tr>
        <w:trPr/>
        <w:tc>
          <w:tcPr>
            <w:tcW w:w="30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75" w:type="dxa"/>
            <w:tcBorders/>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in one year or less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198,549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198,426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200,436</w:t>
            </w:r>
          </w:p>
        </w:tc>
        <w:tc>
          <w:tcPr>
            <w:tcW w:w="75" w:type="dxa"/>
            <w:tcBorders/>
            <w:shd w:fill="CCEEFF" w:val="clear"/>
            <w:vAlign w:val="center"/>
          </w:tcPr>
          <w:p>
            <w:pPr>
              <w:pStyle w:val="TableContents"/>
              <w:bidi w:val="0"/>
              <w:spacing w:before="0" w:after="283"/>
              <w:jc w:val="left"/>
              <w:rPr/>
            </w:pPr>
            <w:r>
              <w:rPr/>
              <w:t> </w:t>
            </w:r>
          </w:p>
        </w:tc>
      </w:tr>
      <w:tr>
        <w:trPr/>
        <w:tc>
          <w:tcPr>
            <w:tcW w:w="302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Due after one year through five years</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80,345</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80,133</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4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56,390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30"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729"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56,492</w:t>
            </w:r>
          </w:p>
        </w:tc>
        <w:tc>
          <w:tcPr>
            <w:tcW w:w="75" w:type="dxa"/>
            <w:tcBorders/>
            <w:shd w:fill="FFFFFF" w:val="clear"/>
            <w:vAlign w:val="center"/>
          </w:tcPr>
          <w:p>
            <w:pPr>
              <w:pStyle w:val="TableContents"/>
              <w:bidi w:val="0"/>
              <w:spacing w:before="0" w:after="283"/>
              <w:jc w:val="left"/>
              <w:rPr/>
            </w:pPr>
            <w:r>
              <w:rPr/>
              <w:t> </w:t>
            </w:r>
          </w:p>
        </w:tc>
      </w:tr>
      <w:tr>
        <w:trPr/>
        <w:tc>
          <w:tcPr>
            <w:tcW w:w="30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278,559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4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256,769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30"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29"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256,928</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Accounting standards pertaining to fair value measurements establish a three-tier fair value hierarchy, which prioritizes the inputs used in measuring fair value. These tiers include: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 When available, we use quoted market prices to determine the fair value of our investments, and they are included in Level 1. When quoted market prices are unobservable, we use quotes from independent pricing vendors based on recent trading activity and other relevant information, and they are included in Level 2.</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summarizes, by major security type, our financial instruments that are measured at fair value on a recurring basis and are categorized using the fair value hierarchy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7031" w:type="dxa"/>
        <w:jc w:val="left"/>
        <w:tblInd w:w="0" w:type="dxa"/>
        <w:tblLayout w:type="fixed"/>
        <w:tblCellMar>
          <w:top w:w="0" w:type="dxa"/>
          <w:left w:w="0" w:type="dxa"/>
          <w:bottom w:w="0" w:type="dxa"/>
          <w:right w:w="0" w:type="dxa"/>
        </w:tblCellMar>
      </w:tblPr>
      <w:tblGrid>
        <w:gridCol w:w="2360"/>
        <w:gridCol w:w="60"/>
        <w:gridCol w:w="163"/>
        <w:gridCol w:w="907"/>
        <w:gridCol w:w="78"/>
        <w:gridCol w:w="78"/>
        <w:gridCol w:w="163"/>
        <w:gridCol w:w="907"/>
        <w:gridCol w:w="78"/>
        <w:gridCol w:w="78"/>
        <w:gridCol w:w="386"/>
        <w:gridCol w:w="248"/>
        <w:gridCol w:w="78"/>
        <w:gridCol w:w="78"/>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551"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June 27, 2026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163" w:type="dxa"/>
            <w:tcBorders/>
            <w:vAlign w:val="center"/>
          </w:tcPr>
          <w:p>
            <w:pPr>
              <w:pStyle w:val="TableContents"/>
              <w:bidi w:val="0"/>
              <w:spacing w:before="0" w:after="283"/>
              <w:jc w:val="left"/>
              <w:rPr/>
            </w:pPr>
            <w:r>
              <w:rPr/>
              <w:t> </w:t>
            </w:r>
          </w:p>
        </w:tc>
        <w:tc>
          <w:tcPr>
            <w:tcW w:w="907"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07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78" w:type="dxa"/>
            <w:tcBorders/>
            <w:vAlign w:val="center"/>
          </w:tcPr>
          <w:p>
            <w:pPr>
              <w:pStyle w:val="TableContents"/>
              <w:bidi w:val="0"/>
              <w:spacing w:before="0" w:after="283"/>
              <w:jc w:val="left"/>
              <w:rPr/>
            </w:pPr>
            <w:r>
              <w:rPr/>
              <w:t> </w:t>
            </w:r>
          </w:p>
        </w:tc>
        <w:tc>
          <w:tcPr>
            <w:tcW w:w="78"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122,616</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6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122,616</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165,527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165,527</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81,008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81,008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76,550</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76,550</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shd w:fill="CCEEFF" w:val="clear"/>
            <w:vAlign w:val="center"/>
          </w:tcPr>
          <w:p>
            <w:pPr>
              <w:pStyle w:val="TableContents"/>
              <w:bidi w:val="0"/>
              <w:spacing w:before="0" w:after="283"/>
              <w:ind w:left="0" w:right="0" w:hanging="0"/>
              <w:jc w:val="left"/>
              <w:rPr/>
            </w:pPr>
            <w:r>
              <w:rPr/>
              <w:t> </w:t>
            </w:r>
          </w:p>
        </w:tc>
        <w:tc>
          <w:tcPr>
            <w:tcW w:w="9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33,008</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33,008</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63" w:type="dxa"/>
            <w:tcBorders/>
            <w:shd w:fill="FFFFFF" w:val="clear"/>
            <w:vAlign w:val="center"/>
          </w:tcPr>
          <w:p>
            <w:pPr>
              <w:pStyle w:val="TableContents"/>
              <w:bidi w:val="0"/>
              <w:spacing w:before="0" w:after="283"/>
              <w:ind w:left="0" w:right="0" w:hanging="0"/>
              <w:jc w:val="left"/>
              <w:rPr/>
            </w:pPr>
            <w:r>
              <w:rPr/>
              <w:t> </w:t>
            </w:r>
          </w:p>
        </w:tc>
        <w:tc>
          <w:tcPr>
            <w:tcW w:w="9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18,737</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18,737</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63"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9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CCEEFF" w:val="clear"/>
            <w:vAlign w:val="center"/>
          </w:tcPr>
          <w:p>
            <w:pPr>
              <w:pStyle w:val="TableContents"/>
              <w:bidi w:val="0"/>
              <w:spacing w:before="0" w:after="283"/>
              <w:jc w:val="left"/>
              <w:rPr/>
            </w:pPr>
            <w:r>
              <w:rPr/>
              <w:t> </w:t>
            </w:r>
          </w:p>
        </w:tc>
        <w:tc>
          <w:tcPr>
            <w:tcW w:w="78"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122,616</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63"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375,551</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8" w:type="dxa"/>
            <w:tcBorders/>
            <w:shd w:fill="FFFFFF" w:val="clear"/>
            <w:vAlign w:val="center"/>
          </w:tcPr>
          <w:p>
            <w:pPr>
              <w:pStyle w:val="TableContents"/>
              <w:bidi w:val="0"/>
              <w:spacing w:before="0" w:after="283"/>
              <w:jc w:val="left"/>
              <w:rPr/>
            </w:pPr>
            <w:r>
              <w:rPr/>
              <w:t> </w:t>
            </w:r>
          </w:p>
        </w:tc>
        <w:tc>
          <w:tcPr>
            <w:tcW w:w="78"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498,167</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tbl>
      <w:tblPr>
        <w:tblW w:w="7315" w:type="dxa"/>
        <w:jc w:val="left"/>
        <w:tblInd w:w="0" w:type="dxa"/>
        <w:tblLayout w:type="fixed"/>
        <w:tblCellMar>
          <w:top w:w="0" w:type="dxa"/>
          <w:left w:w="0" w:type="dxa"/>
          <w:bottom w:w="0" w:type="dxa"/>
          <w:right w:w="0" w:type="dxa"/>
        </w:tblCellMar>
      </w:tblPr>
      <w:tblGrid>
        <w:gridCol w:w="2360"/>
        <w:gridCol w:w="60"/>
        <w:gridCol w:w="181"/>
        <w:gridCol w:w="1007"/>
        <w:gridCol w:w="86"/>
        <w:gridCol w:w="86"/>
        <w:gridCol w:w="181"/>
        <w:gridCol w:w="1007"/>
        <w:gridCol w:w="86"/>
        <w:gridCol w:w="86"/>
        <w:gridCol w:w="386"/>
        <w:gridCol w:w="248"/>
        <w:gridCol w:w="86"/>
        <w:gridCol w:w="86"/>
        <w:gridCol w:w="199"/>
        <w:gridCol w:w="1110"/>
        <w:gridCol w:w="60"/>
      </w:tblGrid>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4835" w:type="dxa"/>
            <w:gridSpan w:val="14"/>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 measurements at December 27, 2025 using:</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181" w:type="dxa"/>
            <w:tcBorders/>
            <w:vAlign w:val="center"/>
          </w:tcPr>
          <w:p>
            <w:pPr>
              <w:pStyle w:val="TableContents"/>
              <w:bidi w:val="0"/>
              <w:spacing w:before="0" w:after="283"/>
              <w:jc w:val="left"/>
              <w:rPr/>
            </w:pPr>
            <w:r>
              <w:rPr/>
              <w:t> </w:t>
            </w:r>
          </w:p>
        </w:tc>
        <w:tc>
          <w:tcPr>
            <w:tcW w:w="1007"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jc w:val="left"/>
              <w:rPr/>
            </w:pPr>
            <w:r>
              <w:rPr/>
              <w:t> </w:t>
            </w:r>
          </w:p>
        </w:tc>
        <w:tc>
          <w:tcPr>
            <w:tcW w:w="386" w:type="dxa"/>
            <w:tcBorders/>
            <w:vAlign w:val="center"/>
          </w:tcPr>
          <w:p>
            <w:pPr>
              <w:pStyle w:val="TableContents"/>
              <w:bidi w:val="0"/>
              <w:spacing w:before="0" w:after="283"/>
              <w:jc w:val="left"/>
              <w:rPr/>
            </w:pPr>
            <w:r>
              <w:rPr/>
              <w:t> </w:t>
            </w:r>
          </w:p>
        </w:tc>
        <w:tc>
          <w:tcPr>
            <w:tcW w:w="248" w:type="dxa"/>
            <w:tcBorders/>
            <w:vAlign w:val="center"/>
          </w:tcPr>
          <w:p>
            <w:pPr>
              <w:pStyle w:val="TableContents"/>
              <w:bidi w:val="0"/>
              <w:spacing w:before="0" w:after="283"/>
              <w:jc w:val="center"/>
              <w:rPr/>
            </w:pPr>
            <w:r>
              <w:rPr/>
              <w:t> </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 Estimated</w:t>
            </w:r>
          </w:p>
        </w:tc>
        <w:tc>
          <w:tcPr>
            <w:tcW w:w="60" w:type="dxa"/>
            <w:tcBorders/>
            <w:vAlign w:val="center"/>
          </w:tcPr>
          <w:p>
            <w:pPr>
              <w:pStyle w:val="TableContents"/>
              <w:bidi w:val="0"/>
              <w:spacing w:before="0" w:after="283"/>
              <w:jc w:val="left"/>
              <w:rPr/>
            </w:pPr>
            <w:r>
              <w:rPr/>
              <w:t> </w:t>
            </w:r>
          </w:p>
        </w:tc>
      </w:tr>
      <w:tr>
        <w:trPr/>
        <w:tc>
          <w:tcPr>
            <w:tcW w:w="23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1</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18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2</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6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Level 3</w:t>
            </w:r>
          </w:p>
        </w:tc>
        <w:tc>
          <w:tcPr>
            <w:tcW w:w="86" w:type="dxa"/>
            <w:tcBorders/>
            <w:vAlign w:val="center"/>
          </w:tcPr>
          <w:p>
            <w:pPr>
              <w:pStyle w:val="TableContents"/>
              <w:bidi w:val="0"/>
              <w:spacing w:before="0" w:after="283"/>
              <w:jc w:val="left"/>
              <w:rPr/>
            </w:pPr>
            <w:r>
              <w:rPr/>
              <w:t> </w:t>
            </w:r>
          </w:p>
        </w:tc>
        <w:tc>
          <w:tcPr>
            <w:tcW w:w="86" w:type="dxa"/>
            <w:tcBorders/>
            <w:vAlign w:val="center"/>
          </w:tcPr>
          <w:p>
            <w:pPr>
              <w:pStyle w:val="TableContents"/>
              <w:bidi w:val="0"/>
              <w:spacing w:before="0" w:after="283"/>
              <w:ind w:left="0" w:right="0" w:hanging="0"/>
              <w:jc w:val="left"/>
              <w:rPr/>
            </w:pPr>
            <w:r>
              <w:rPr/>
              <w:t> </w:t>
            </w:r>
          </w:p>
        </w:tc>
        <w:tc>
          <w:tcPr>
            <w:tcW w:w="130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Fair Value</w:t>
            </w:r>
          </w:p>
        </w:tc>
        <w:tc>
          <w:tcPr>
            <w:tcW w:w="60" w:type="dxa"/>
            <w:tcBorders/>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w:t>
            </w:r>
          </w:p>
        </w:tc>
        <w:tc>
          <w:tcPr>
            <w:tcW w:w="60"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142,091</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8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38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ind w:left="0" w:right="0" w:hanging="0"/>
              <w:jc w:val="left"/>
              <w:rPr/>
            </w:pPr>
            <w:r>
              <w:rPr/>
              <w:t> </w:t>
            </w:r>
          </w:p>
        </w:tc>
        <w:tc>
          <w:tcPr>
            <w:tcW w:w="19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142,091</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Corporate debt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183,611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183,611</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Bank certificates of deposit</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58,156</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58,156</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Money market funds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51,712</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51,712</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U.S. treasury securities</w:t>
            </w:r>
          </w:p>
        </w:tc>
        <w:tc>
          <w:tcPr>
            <w:tcW w:w="60"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shd w:fill="CCEEFF" w:val="clear"/>
            <w:vAlign w:val="center"/>
          </w:tcPr>
          <w:p>
            <w:pPr>
              <w:pStyle w:val="TableContents"/>
              <w:bidi w:val="0"/>
              <w:spacing w:before="0" w:after="283"/>
              <w:ind w:left="0" w:right="0" w:hanging="0"/>
              <w:jc w:val="left"/>
              <w:rPr/>
            </w:pPr>
            <w:r>
              <w:rPr/>
              <w:t> </w:t>
            </w:r>
          </w:p>
        </w:tc>
        <w:tc>
          <w:tcPr>
            <w:tcW w:w="100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37,652</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ind w:left="0" w:right="0" w:hanging="0"/>
              <w:jc w:val="left"/>
              <w:rPr/>
            </w:pPr>
            <w:r>
              <w:rPr/>
              <w:t> </w:t>
            </w:r>
          </w:p>
        </w:tc>
        <w:tc>
          <w:tcPr>
            <w:tcW w:w="111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37,652</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Asset-backed securities</w:t>
            </w:r>
          </w:p>
        </w:tc>
        <w:tc>
          <w:tcPr>
            <w:tcW w:w="60"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81" w:type="dxa"/>
            <w:tcBorders/>
            <w:shd w:fill="FFFFFF" w:val="clear"/>
            <w:vAlign w:val="center"/>
          </w:tcPr>
          <w:p>
            <w:pPr>
              <w:pStyle w:val="TableContents"/>
              <w:bidi w:val="0"/>
              <w:spacing w:before="0" w:after="283"/>
              <w:ind w:left="0" w:right="0" w:hanging="0"/>
              <w:jc w:val="left"/>
              <w:rPr/>
            </w:pPr>
            <w:r>
              <w:rPr/>
              <w:t> </w:t>
            </w:r>
          </w:p>
        </w:tc>
        <w:tc>
          <w:tcPr>
            <w:tcW w:w="100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386" w:type="dxa"/>
            <w:tcBorders/>
            <w:shd w:fill="FFFFFF" w:val="clear"/>
            <w:vAlign w:val="center"/>
          </w:tcPr>
          <w:p>
            <w:pPr>
              <w:pStyle w:val="TableContents"/>
              <w:bidi w:val="0"/>
              <w:spacing w:before="0" w:after="283"/>
              <w:ind w:left="0" w:right="0" w:hanging="0"/>
              <w:jc w:val="left"/>
              <w:rPr/>
            </w:pPr>
            <w:r>
              <w:rPr/>
              <w:t> </w:t>
            </w:r>
          </w:p>
        </w:tc>
        <w:tc>
          <w:tcPr>
            <w:tcW w:w="24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jc w:val="left"/>
              <w:rPr/>
            </w:pPr>
            <w:r>
              <w:rPr/>
              <w:t> </w:t>
            </w:r>
          </w:p>
        </w:tc>
        <w:tc>
          <w:tcPr>
            <w:tcW w:w="199" w:type="dxa"/>
            <w:tcBorders/>
            <w:shd w:fill="FFFFFF" w:val="clear"/>
            <w:vAlign w:val="center"/>
          </w:tcPr>
          <w:p>
            <w:pPr>
              <w:pStyle w:val="TableContents"/>
              <w:bidi w:val="0"/>
              <w:spacing w:before="0" w:after="283"/>
              <w:ind w:left="0" w:right="0" w:hanging="0"/>
              <w:jc w:val="left"/>
              <w:rPr/>
            </w:pPr>
            <w:r>
              <w:rPr/>
              <w:t> </w:t>
            </w:r>
          </w:p>
        </w:tc>
        <w:tc>
          <w:tcPr>
            <w:tcW w:w="111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10,056</w:t>
            </w:r>
          </w:p>
        </w:tc>
        <w:tc>
          <w:tcPr>
            <w:tcW w:w="60" w:type="dxa"/>
            <w:tcBorders/>
            <w:shd w:fill="FFFFFF" w:val="clear"/>
            <w:vAlign w:val="center"/>
          </w:tcPr>
          <w:p>
            <w:pPr>
              <w:pStyle w:val="TableContents"/>
              <w:bidi w:val="0"/>
              <w:spacing w:before="0" w:after="283"/>
              <w:jc w:val="left"/>
              <w:rPr/>
            </w:pPr>
            <w:r>
              <w:rPr/>
              <w:t> </w:t>
            </w:r>
          </w:p>
        </w:tc>
      </w:tr>
      <w:tr>
        <w:trPr/>
        <w:tc>
          <w:tcPr>
            <w:tcW w:w="23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government security</w:t>
            </w:r>
          </w:p>
        </w:tc>
        <w:tc>
          <w:tcPr>
            <w:tcW w:w="60"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81"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007"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38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24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CCEEFF" w:val="clear"/>
            <w:vAlign w:val="center"/>
          </w:tcPr>
          <w:p>
            <w:pPr>
              <w:pStyle w:val="TableContents"/>
              <w:bidi w:val="0"/>
              <w:spacing w:before="0" w:after="283"/>
              <w:jc w:val="left"/>
              <w:rPr/>
            </w:pPr>
            <w:r>
              <w:rPr/>
              <w:t> </w:t>
            </w:r>
          </w:p>
        </w:tc>
        <w:tc>
          <w:tcPr>
            <w:tcW w:w="86" w:type="dxa"/>
            <w:tcBorders/>
            <w:shd w:fill="CCEEFF" w:val="clear"/>
            <w:vAlign w:val="center"/>
          </w:tcPr>
          <w:p>
            <w:pPr>
              <w:pStyle w:val="TableContents"/>
              <w:bidi w:val="0"/>
              <w:spacing w:before="0" w:after="283"/>
              <w:jc w:val="left"/>
              <w:rPr/>
            </w:pPr>
            <w:r>
              <w:rPr/>
              <w:t> </w:t>
            </w:r>
          </w:p>
        </w:tc>
        <w:tc>
          <w:tcPr>
            <w:tcW w:w="19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111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703</w:t>
            </w:r>
          </w:p>
        </w:tc>
        <w:tc>
          <w:tcPr>
            <w:tcW w:w="60" w:type="dxa"/>
            <w:tcBorders/>
            <w:shd w:fill="CCEEFF" w:val="clear"/>
            <w:vAlign w:val="center"/>
          </w:tcPr>
          <w:p>
            <w:pPr>
              <w:pStyle w:val="TableContents"/>
              <w:bidi w:val="0"/>
              <w:spacing w:before="0" w:after="283"/>
              <w:jc w:val="left"/>
              <w:rPr/>
            </w:pPr>
            <w:r>
              <w:rPr/>
              <w:t> </w:t>
            </w:r>
          </w:p>
        </w:tc>
      </w:tr>
      <w:tr>
        <w:trPr/>
        <w:tc>
          <w:tcPr>
            <w:tcW w:w="23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142,091</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81"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007"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341,890</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38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4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86" w:type="dxa"/>
            <w:tcBorders/>
            <w:shd w:fill="FFFFFF" w:val="clear"/>
            <w:vAlign w:val="center"/>
          </w:tcPr>
          <w:p>
            <w:pPr>
              <w:pStyle w:val="TableContents"/>
              <w:bidi w:val="0"/>
              <w:spacing w:before="0" w:after="283"/>
              <w:jc w:val="left"/>
              <w:rPr/>
            </w:pPr>
            <w:r>
              <w:rPr/>
              <w:t> </w:t>
            </w:r>
          </w:p>
        </w:tc>
        <w:tc>
          <w:tcPr>
            <w:tcW w:w="86" w:type="dxa"/>
            <w:tcBorders/>
            <w:shd w:fill="FFFFFF" w:val="clear"/>
            <w:vAlign w:val="center"/>
          </w:tcPr>
          <w:p>
            <w:pPr>
              <w:pStyle w:val="TableContents"/>
              <w:bidi w:val="0"/>
              <w:spacing w:before="0" w:after="283"/>
              <w:ind w:left="0" w:right="0" w:hanging="0"/>
              <w:jc w:val="left"/>
              <w:rPr/>
            </w:pPr>
            <w:r>
              <w:rPr/>
              <w:t> </w:t>
            </w:r>
          </w:p>
        </w:tc>
        <w:tc>
          <w:tcPr>
            <w:tcW w:w="19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1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483,981</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710" w:type="dxa"/>
        <w:jc w:val="left"/>
        <w:tblInd w:w="0" w:type="dxa"/>
        <w:tblLayout w:type="fixed"/>
        <w:tblCellMar>
          <w:top w:w="0" w:type="dxa"/>
          <w:left w:w="0" w:type="dxa"/>
          <w:bottom w:w="0" w:type="dxa"/>
          <w:right w:w="0" w:type="dxa"/>
        </w:tblCellMar>
      </w:tblPr>
      <w:tblGrid>
        <w:gridCol w:w="170"/>
        <w:gridCol w:w="254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6.</w:t>
            </w:r>
          </w:p>
        </w:tc>
        <w:tc>
          <w:tcPr>
            <w:tcW w:w="254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Employee Stock Benefit Plans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May 15, 2026, our stockholders approved the Cohu, Inc. 2026 Equity Incentive Plan (“2026 Plan”). The 2026 Plan replaced the Cohu, Inc. 2005 Equity Incentive Plan (“2005 Plan”), under which no further awards may be granted. Outstanding awards under the 2005 Plan remain in effect under their original terms, and any shares that return to the share reserve through forfeiture, expiration, or cash settlement become available for issuance under the 2026 Plan. The initial number of common shares that are reserved for issuance pursuant to equity awards granted under the 2026 Plan shall not exceed 3.4 million plus any Returning Shares (as defined in the 2026 Plan). On May 15, 2026, our stockholders also approved an amendment to our 1997 Employee Stock Purchase Plan (“ESPP”), which increased the number of ESPP shares that may be issued by 600,000.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2026 Plan and our ESPP are broad-based, long-term retention programs intended to attract, motivate, and retain talented employees as well as align stockholder and employee interests. Awards that may be granted under the 2026 Plan include, but are not limited to, non-qualified and incentive stock options, restricted stock units, and performance stock units. We settle employee stock option exercises, employee stock purchase plan purchases, and the vesting of restricted stock units and performance stock units with newly issued common shares. On June 27, 2026, there were 3,430,546 shares available for future equity grants under the 2026 Plan and 864,359 shares available for purchase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360" w:right="0" w:firstLine="180"/>
        <w:jc w:val="left"/>
        <w:rPr>
          <w:rFonts w:ascii="Times New Roman" w:hAnsi="Times New Roman"/>
          <w:b/>
          <w:caps w:val="false"/>
          <w:smallCaps w:val="false"/>
          <w:sz w:val="20"/>
        </w:rPr>
      </w:pPr>
      <w:r>
        <w:rPr>
          <w:rFonts w:ascii="Times New Roman" w:hAnsi="Times New Roman"/>
          <w:b/>
          <w:caps w:val="false"/>
          <w:smallCaps w:val="false"/>
          <w:sz w:val="20"/>
        </w:rPr>
        <w:t>Stock Options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Stock options may be granted to employees, consultants and non-employee directors to purchase a fixed number of shares of our common stock. The exercise prices of options granted are at least equal to the fair market value of our common stock on the dates of grant and options vest and become exercisable in annual increments that range from one to four years from the date of grant. Stock options granted under the 2026 Plan have a maximum contractual term of ten years. In the first six months of fiscal 2026, we did not grant any stock options and as of June 27, 2026, no stock options were outstanding.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Restricted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restricted stock units (“RSUs”) to certain employees, consultants and directors. RSUs vest in annual increments that range from one to four years from the date of grant. Prior to vesting, RSUs do not have dividend equivalent rights, do not have voting rights and the shares underlying the RSUs are not considered issued and outstanding. Shares of our common stock or treasury shares will be issued on the date the RSUs vest net of the minimum statutory tax withholding requirements to be paid by us on behalf of our employees. As a result, the actual number of shares issued will be fewer than the number of RSUs outstanding on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six months of fiscal 2026, we awarded 521,997 RSUs and issued 594,191 shares of our common stock on vesting of previously granted awards and 83,524 RSUs were forfeited. On June 27, 2026, we had 1,184,430 RSUs outstanding with an aggregate intrinsic value of approximately $75.9 million and the weighted average remaining vesting period was approximately 1.3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Performance Stock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grant performance stock units (“PSUs”) to certain senior executives as a part of our long-term equity compensation program. The number of shares of common stock that will ultimately be issued to settle PSUs granted ranges from 0% to 200% of the number granted and is determined based on certain performance criteria over a three-year measurement period. The performance criteria for the PSUs are based on a combination of our annualized Total Shareholder Return (“TSR”) for the performance period and, for PSUs granted to senior executives in 2024 and 2025, the relative performance of our TSR compared with the Russell 2000 Index (RUT) for the performance period, and for PSUs granted to senior executives in 2026, the percentile performance of our TSR within the members of the RUT as of the first day of the performance period. Granted PSUs will vest 100% on the third anniversary of their grant, assuming achievement of the applicable performance criteria.</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 of the PSUs using a Monte Carlo simulation model on the date of grant. Compensation expense is recognized over the requisite service period. To the extent applicable performance conditions are satisfied, shares of our common stock or treasury shares are issued on the date the PSUs vest net of the minimum statutory tax withholding requirements to be paid by us on behalf of our employees. As a result, the actual number of shares issued will be fewer than the actual number of PSUs outstanding on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the first six months of fiscal 2026, we awarded 252,209 PSUs, we issued 10,135 shares of our common stock on vesting of previously granted awards and 190,802 awarded shares were forfeited. On June 27, 2026, we had 798,111 PSUs outstanding with an aggregate intrinsic value of approximately $51.1 million and the weighted average remaining vesting period was approximately 1.5 years.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b/>
          <w:caps w:val="false"/>
          <w:smallCaps w:val="false"/>
          <w:sz w:val="20"/>
        </w:rPr>
      </w:pPr>
      <w:r>
        <w:rPr>
          <w:rFonts w:ascii="Times New Roman" w:hAnsi="Times New Roman"/>
          <w:b/>
          <w:caps w:val="false"/>
          <w:smallCaps w:val="false"/>
          <w:sz w:val="20"/>
        </w:rPr>
        <w:t>Employee Stock Purchase Plan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The ESPP provides for the issuance of shares of our common stock. Under the ESPP, eligible employees may purchase shares of Cohu common stock through payroll deductions at a price equal to 85 percent of the lower of the fair market value of Cohu common stock at the beginning or end of each 6-month purchase offering period, subject to certain limits. The two offering periods run from November 1 through April 30 and May 1 through October 31, respectively. During the first six months of fiscal 2026, 89,222 shares of our common stock were sold to our employees under the ESPP.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2995" w:type="dxa"/>
        <w:jc w:val="left"/>
        <w:tblInd w:w="0" w:type="dxa"/>
        <w:tblLayout w:type="fixed"/>
        <w:tblCellMar>
          <w:top w:w="0" w:type="dxa"/>
          <w:left w:w="0" w:type="dxa"/>
          <w:bottom w:w="0" w:type="dxa"/>
          <w:right w:w="0" w:type="dxa"/>
        </w:tblCellMar>
      </w:tblPr>
      <w:tblGrid>
        <w:gridCol w:w="170"/>
        <w:gridCol w:w="2825"/>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7.</w:t>
            </w:r>
          </w:p>
        </w:tc>
        <w:tc>
          <w:tcPr>
            <w:tcW w:w="282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Derivative Financial Instruments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Economic (Non-Designated)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to manage our foreign exchange exposure related to intercompany transactions and other balance sheet items that are subject to revaluation. For accounting purposes, our foreign currency forward contracts that are not designated as hedging instruments are recorded at fair value as of the end of our reporting period in our condensed consolidated balance sheets with changes in fair value recorded within foreign transaction gain (loss) in our condensed consolidated statements of operations for both realized and unrealized gains and losses. The gain or loss recorded on these instruments is substantially offset by the remeasurement adjustment on the foreign currency denominated asset or liability.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related to non-designated derivative instruments in the condensed consolidated statements of operations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926" w:type="dxa"/>
        <w:jc w:val="left"/>
        <w:tblInd w:w="0" w:type="dxa"/>
        <w:tblLayout w:type="fixed"/>
        <w:tblCellMar>
          <w:top w:w="0" w:type="dxa"/>
          <w:left w:w="0" w:type="dxa"/>
          <w:bottom w:w="0" w:type="dxa"/>
          <w:right w:w="0" w:type="dxa"/>
        </w:tblCellMar>
      </w:tblPr>
      <w:tblGrid>
        <w:gridCol w:w="2915"/>
        <w:gridCol w:w="2480"/>
        <w:gridCol w:w="60"/>
        <w:gridCol w:w="152"/>
        <w:gridCol w:w="663"/>
        <w:gridCol w:w="97"/>
        <w:gridCol w:w="73"/>
        <w:gridCol w:w="152"/>
        <w:gridCol w:w="590"/>
        <w:gridCol w:w="60"/>
        <w:gridCol w:w="60"/>
        <w:gridCol w:w="141"/>
        <w:gridCol w:w="617"/>
        <w:gridCol w:w="90"/>
        <w:gridCol w:w="67"/>
        <w:gridCol w:w="70"/>
        <w:gridCol w:w="579"/>
        <w:gridCol w:w="60"/>
      </w:tblGrid>
      <w:tr>
        <w:trPr/>
        <w:tc>
          <w:tcPr>
            <w:tcW w:w="2915" w:type="dxa"/>
            <w:tcBorders/>
            <w:vAlign w:val="center"/>
          </w:tcPr>
          <w:p>
            <w:pPr>
              <w:pStyle w:val="TableContents"/>
              <w:bidi w:val="0"/>
              <w:spacing w:before="0" w:after="283"/>
              <w:jc w:val="left"/>
              <w:rPr/>
            </w:pPr>
            <w:r>
              <w:rPr/>
              <w:t> </w:t>
            </w:r>
          </w:p>
        </w:tc>
        <w:tc>
          <w:tcPr>
            <w:tcW w:w="24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64"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6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not designated</w:t>
            </w:r>
          </w:p>
        </w:tc>
        <w:tc>
          <w:tcPr>
            <w:tcW w:w="248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27,</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4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75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27,</w:t>
            </w:r>
          </w:p>
        </w:tc>
        <w:tc>
          <w:tcPr>
            <w:tcW w:w="90" w:type="dxa"/>
            <w:tcBorders/>
            <w:vAlign w:val="center"/>
          </w:tcPr>
          <w:p>
            <w:pPr>
              <w:pStyle w:val="TableContents"/>
              <w:bidi w:val="0"/>
              <w:spacing w:before="0" w:after="283"/>
              <w:jc w:val="left"/>
              <w:rPr/>
            </w:pPr>
            <w:r>
              <w:rPr/>
              <w:t> </w:t>
            </w:r>
          </w:p>
        </w:tc>
        <w:tc>
          <w:tcPr>
            <w:tcW w:w="67" w:type="dxa"/>
            <w:tcBorders/>
            <w:vAlign w:val="center"/>
          </w:tcPr>
          <w:p>
            <w:pPr>
              <w:pStyle w:val="TableContents"/>
              <w:bidi w:val="0"/>
              <w:spacing w:before="0" w:after="283"/>
              <w:ind w:left="0" w:right="0" w:hanging="0"/>
              <w:jc w:val="left"/>
              <w:rPr/>
            </w:pPr>
            <w:r>
              <w:rPr/>
              <w:t> </w:t>
            </w:r>
          </w:p>
        </w:tc>
        <w:tc>
          <w:tcPr>
            <w:tcW w:w="6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28,</w:t>
            </w:r>
          </w:p>
        </w:tc>
        <w:tc>
          <w:tcPr>
            <w:tcW w:w="6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4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5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0" w:type="dxa"/>
            <w:tcBorders>
              <w:bottom w:val="single" w:sz="2" w:space="0" w:color="000000"/>
            </w:tcBorders>
            <w:tcMar>
              <w:bottom w:w="28" w:type="dxa"/>
            </w:tcMar>
            <w:vAlign w:val="center"/>
          </w:tcPr>
          <w:p>
            <w:pPr>
              <w:pStyle w:val="TableContents"/>
              <w:bidi w:val="0"/>
              <w:spacing w:before="0" w:after="283"/>
              <w:jc w:val="left"/>
              <w:rPr/>
            </w:pPr>
            <w:r>
              <w:rPr/>
              <w:t> </w:t>
            </w:r>
          </w:p>
        </w:tc>
        <w:tc>
          <w:tcPr>
            <w:tcW w:w="6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4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transaction gain (loss)</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(1,634</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3,790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(3,351</w:t>
            </w:r>
          </w:p>
        </w:tc>
        <w:tc>
          <w:tcPr>
            <w:tcW w:w="9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7" w:type="dxa"/>
            <w:tcBorders/>
            <w:shd w:fill="CCEEFF" w:val="clear"/>
            <w:vAlign w:val="center"/>
          </w:tcPr>
          <w:p>
            <w:pPr>
              <w:pStyle w:val="TableContents"/>
              <w:bidi w:val="0"/>
              <w:spacing w:before="0" w:after="283"/>
              <w:jc w:val="left"/>
              <w:rPr/>
            </w:pPr>
            <w:r>
              <w:rPr/>
              <w:t> </w:t>
            </w:r>
          </w:p>
        </w:tc>
        <w:tc>
          <w:tcPr>
            <w:tcW w:w="70" w:type="dxa"/>
            <w:tcBorders/>
            <w:shd w:fill="CCEEFF" w:val="clear"/>
            <w:vAlign w:val="center"/>
          </w:tcPr>
          <w:p>
            <w:pPr>
              <w:pStyle w:val="TableContents"/>
              <w:bidi w:val="0"/>
              <w:spacing w:before="0" w:after="283"/>
              <w:ind w:left="0" w:right="0" w:hanging="0"/>
              <w:jc w:val="left"/>
              <w:rPr/>
            </w:pPr>
            <w:r>
              <w:rPr/>
              <w:t> </w:t>
            </w:r>
          </w:p>
        </w:tc>
        <w:tc>
          <w:tcPr>
            <w:tcW w:w="579"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5,295</w:t>
            </w:r>
          </w:p>
        </w:tc>
        <w:tc>
          <w:tcPr>
            <w:tcW w:w="60"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 xml:space="preserve">Net Investment Hedges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have implemented an ongoing program to hedge foreign currency risk associated with our net investment positions in certain foreign subsidiaries. These exposures are managed through the use of foreign currency forward contracts, which are designated as net investment hedges.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location and amount of gains and losses from net investment hedges recorded in the foreign currency translation component of AOCL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8589" w:type="dxa"/>
        <w:jc w:val="left"/>
        <w:tblInd w:w="0" w:type="dxa"/>
        <w:tblLayout w:type="fixed"/>
        <w:tblCellMar>
          <w:top w:w="0" w:type="dxa"/>
          <w:left w:w="0" w:type="dxa"/>
          <w:bottom w:w="0" w:type="dxa"/>
          <w:right w:w="0" w:type="dxa"/>
        </w:tblCellMar>
      </w:tblPr>
      <w:tblGrid>
        <w:gridCol w:w="2915"/>
        <w:gridCol w:w="2120"/>
        <w:gridCol w:w="60"/>
        <w:gridCol w:w="176"/>
        <w:gridCol w:w="473"/>
        <w:gridCol w:w="83"/>
        <w:gridCol w:w="83"/>
        <w:gridCol w:w="173"/>
        <w:gridCol w:w="754"/>
        <w:gridCol w:w="80"/>
        <w:gridCol w:w="60"/>
        <w:gridCol w:w="137"/>
        <w:gridCol w:w="531"/>
        <w:gridCol w:w="65"/>
        <w:gridCol w:w="65"/>
        <w:gridCol w:w="137"/>
        <w:gridCol w:w="597"/>
        <w:gridCol w:w="80"/>
      </w:tblGrid>
      <w:tr>
        <w:trPr/>
        <w:tc>
          <w:tcPr>
            <w:tcW w:w="2915"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4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2" w:type="dxa"/>
            <w:gridSpan w:val="6"/>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91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Derivatives designated</w:t>
            </w:r>
          </w:p>
        </w:tc>
        <w:tc>
          <w:tcPr>
            <w:tcW w:w="212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Location of gain (loss)</w:t>
            </w:r>
          </w:p>
        </w:tc>
        <w:tc>
          <w:tcPr>
            <w:tcW w:w="60" w:type="dxa"/>
            <w:tcBorders/>
            <w:vAlign w:val="center"/>
          </w:tcPr>
          <w:p>
            <w:pPr>
              <w:pStyle w:val="TableContents"/>
              <w:bidi w:val="0"/>
              <w:spacing w:before="0" w:after="283"/>
              <w:ind w:left="0" w:right="0" w:hanging="0"/>
              <w:jc w:val="left"/>
              <w:rPr/>
            </w:pPr>
            <w:r>
              <w:rPr/>
              <w:t> </w:t>
            </w:r>
          </w:p>
        </w:tc>
        <w:tc>
          <w:tcPr>
            <w:tcW w:w="64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27,</w:t>
            </w:r>
          </w:p>
        </w:tc>
        <w:tc>
          <w:tcPr>
            <w:tcW w:w="83" w:type="dxa"/>
            <w:tcBorders/>
            <w:vAlign w:val="center"/>
          </w:tcPr>
          <w:p>
            <w:pPr>
              <w:pStyle w:val="TableContents"/>
              <w:bidi w:val="0"/>
              <w:spacing w:before="0" w:after="283"/>
              <w:jc w:val="left"/>
              <w:rPr/>
            </w:pPr>
            <w:r>
              <w:rPr/>
              <w:t> </w:t>
            </w:r>
          </w:p>
        </w:tc>
        <w:tc>
          <w:tcPr>
            <w:tcW w:w="83" w:type="dxa"/>
            <w:tcBorders/>
            <w:vAlign w:val="center"/>
          </w:tcPr>
          <w:p>
            <w:pPr>
              <w:pStyle w:val="TableContents"/>
              <w:bidi w:val="0"/>
              <w:spacing w:before="0" w:after="283"/>
              <w:ind w:left="0" w:right="0" w:hanging="0"/>
              <w:jc w:val="left"/>
              <w:rPr/>
            </w:pPr>
            <w:r>
              <w:rPr/>
              <w:t> </w:t>
            </w:r>
          </w:p>
        </w:tc>
        <w:tc>
          <w:tcPr>
            <w:tcW w:w="927"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8"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27,</w:t>
            </w:r>
          </w:p>
        </w:tc>
        <w:tc>
          <w:tcPr>
            <w:tcW w:w="65" w:type="dxa"/>
            <w:tcBorders/>
            <w:vAlign w:val="center"/>
          </w:tcPr>
          <w:p>
            <w:pPr>
              <w:pStyle w:val="TableContents"/>
              <w:bidi w:val="0"/>
              <w:spacing w:before="0" w:after="283"/>
              <w:jc w:val="left"/>
              <w:rPr/>
            </w:pPr>
            <w:r>
              <w:rPr/>
              <w:t> </w:t>
            </w:r>
          </w:p>
        </w:tc>
        <w:tc>
          <w:tcPr>
            <w:tcW w:w="65" w:type="dxa"/>
            <w:tcBorders/>
            <w:vAlign w:val="center"/>
          </w:tcPr>
          <w:p>
            <w:pPr>
              <w:pStyle w:val="TableContents"/>
              <w:bidi w:val="0"/>
              <w:spacing w:before="0" w:after="283"/>
              <w:ind w:left="0" w:right="0" w:hanging="0"/>
              <w:jc w:val="left"/>
              <w:rPr/>
            </w:pPr>
            <w:r>
              <w:rPr/>
              <w:t> </w:t>
            </w:r>
          </w:p>
        </w:tc>
        <w:tc>
          <w:tcPr>
            <w:tcW w:w="73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 28,</w:t>
            </w:r>
          </w:p>
        </w:tc>
        <w:tc>
          <w:tcPr>
            <w:tcW w:w="80" w:type="dxa"/>
            <w:tcBorders/>
            <w:vAlign w:val="center"/>
          </w:tcPr>
          <w:p>
            <w:pPr>
              <w:pStyle w:val="TableContents"/>
              <w:bidi w:val="0"/>
              <w:spacing w:before="0" w:after="283"/>
              <w:jc w:val="left"/>
              <w:rPr/>
            </w:pPr>
            <w:r>
              <w:rPr/>
              <w:t> </w:t>
            </w:r>
          </w:p>
        </w:tc>
      </w:tr>
      <w:tr>
        <w:trPr/>
        <w:tc>
          <w:tcPr>
            <w:tcW w:w="291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as hedging instruments</w:t>
            </w:r>
          </w:p>
        </w:tc>
        <w:tc>
          <w:tcPr>
            <w:tcW w:w="212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recognized on derivatives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4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3" w:type="dxa"/>
            <w:tcBorders>
              <w:bottom w:val="single" w:sz="2" w:space="0" w:color="000000"/>
            </w:tcBorders>
            <w:tcMar>
              <w:bottom w:w="28" w:type="dxa"/>
            </w:tcMar>
            <w:vAlign w:val="center"/>
          </w:tcPr>
          <w:p>
            <w:pPr>
              <w:pStyle w:val="TableContents"/>
              <w:bidi w:val="0"/>
              <w:spacing w:before="0" w:after="283"/>
              <w:jc w:val="left"/>
              <w:rPr/>
            </w:pPr>
            <w:r>
              <w:rPr/>
              <w:t> </w:t>
            </w:r>
          </w:p>
        </w:tc>
        <w:tc>
          <w:tcPr>
            <w:tcW w:w="8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27"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8"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5" w:type="dxa"/>
            <w:tcBorders>
              <w:bottom w:val="single" w:sz="2" w:space="0" w:color="000000"/>
            </w:tcBorders>
            <w:tcMar>
              <w:bottom w:w="28" w:type="dxa"/>
            </w:tcMar>
            <w:vAlign w:val="center"/>
          </w:tcPr>
          <w:p>
            <w:pPr>
              <w:pStyle w:val="TableContents"/>
              <w:bidi w:val="0"/>
              <w:spacing w:before="0" w:after="283"/>
              <w:jc w:val="left"/>
              <w:rPr/>
            </w:pPr>
            <w:r>
              <w:rPr/>
              <w:t> </w:t>
            </w:r>
          </w:p>
        </w:tc>
        <w:tc>
          <w:tcPr>
            <w:tcW w:w="65"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3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91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Foreign exchange forward contracts</w:t>
            </w:r>
          </w:p>
        </w:tc>
        <w:tc>
          <w:tcPr>
            <w:tcW w:w="212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AOCL</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47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507</w:t>
            </w:r>
          </w:p>
        </w:tc>
        <w:tc>
          <w:tcPr>
            <w:tcW w:w="83" w:type="dxa"/>
            <w:tcBorders/>
            <w:shd w:fill="CCEEFF" w:val="clear"/>
            <w:vAlign w:val="center"/>
          </w:tcPr>
          <w:p>
            <w:pPr>
              <w:pStyle w:val="TableContents"/>
              <w:bidi w:val="0"/>
              <w:spacing w:before="0" w:after="283"/>
              <w:jc w:val="left"/>
              <w:rPr/>
            </w:pPr>
            <w:r>
              <w:rPr/>
              <w:t> </w:t>
            </w:r>
          </w:p>
        </w:tc>
        <w:tc>
          <w:tcPr>
            <w:tcW w:w="83" w:type="dxa"/>
            <w:tcBorders/>
            <w:shd w:fill="CCEEFF" w:val="clear"/>
            <w:vAlign w:val="center"/>
          </w:tcPr>
          <w:p>
            <w:pPr>
              <w:pStyle w:val="TableContents"/>
              <w:bidi w:val="0"/>
              <w:spacing w:before="0" w:after="283"/>
              <w:ind w:left="0" w:right="0" w:hanging="0"/>
              <w:jc w:val="left"/>
              <w:rPr/>
            </w:pPr>
            <w:r>
              <w:rPr/>
              <w:t> </w:t>
            </w:r>
          </w:p>
        </w:tc>
        <w:tc>
          <w:tcPr>
            <w:tcW w:w="17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754"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(6,102</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3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1,566</w:t>
            </w:r>
          </w:p>
        </w:tc>
        <w:tc>
          <w:tcPr>
            <w:tcW w:w="65" w:type="dxa"/>
            <w:tcBorders/>
            <w:shd w:fill="CCEEFF" w:val="clear"/>
            <w:vAlign w:val="center"/>
          </w:tcPr>
          <w:p>
            <w:pPr>
              <w:pStyle w:val="TableContents"/>
              <w:bidi w:val="0"/>
              <w:spacing w:before="0" w:after="283"/>
              <w:jc w:val="left"/>
              <w:rPr/>
            </w:pPr>
            <w:r>
              <w:rPr/>
              <w:t> </w:t>
            </w:r>
          </w:p>
        </w:tc>
        <w:tc>
          <w:tcPr>
            <w:tcW w:w="65" w:type="dxa"/>
            <w:tcBorders/>
            <w:shd w:fill="CCEEFF" w:val="clear"/>
            <w:vAlign w:val="center"/>
          </w:tcPr>
          <w:p>
            <w:pPr>
              <w:pStyle w:val="TableContents"/>
              <w:bidi w:val="0"/>
              <w:spacing w:before="0" w:after="283"/>
              <w:ind w:left="0" w:right="0" w:hanging="0"/>
              <w:jc w:val="left"/>
              <w:rPr/>
            </w:pPr>
            <w:r>
              <w:rPr/>
              <w:t> </w:t>
            </w:r>
          </w:p>
        </w:tc>
        <w:tc>
          <w:tcPr>
            <w:tcW w:w="1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(8,671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Gains recognized in foreign transaction loss, in the condensed consolidated statements of operations for the portion of the net investment hedges excluded from the assessment of hedge effectiveness was $0.4 million for each of the three-month periods, and $0.7 million for both the first six months ended June 27, 2026, and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Cash flows associated with settlements of our non-designated foreign currency forward contracts are reported in net cash provided by operating activities and our net investment hedges are included in investing activities in our condensed consolidated statements of 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fair value of our foreign currency forward contracts was determined based on current foreign currency exchange rates and forward points. All our foreign currency forward contracts outstanding on June 27, 2026, will mature during the third quarter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The following table provides information about our foreign currency forward contracts outstanding as of June 27, 2026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tbl>
      <w:tblPr>
        <w:tblW w:w="6108" w:type="dxa"/>
        <w:jc w:val="left"/>
        <w:tblInd w:w="0" w:type="dxa"/>
        <w:tblLayout w:type="fixed"/>
        <w:tblCellMar>
          <w:top w:w="0" w:type="dxa"/>
          <w:left w:w="0" w:type="dxa"/>
          <w:bottom w:w="0" w:type="dxa"/>
          <w:right w:w="0" w:type="dxa"/>
        </w:tblCellMar>
      </w:tblPr>
      <w:tblGrid>
        <w:gridCol w:w="1565"/>
        <w:gridCol w:w="1445"/>
        <w:gridCol w:w="60"/>
        <w:gridCol w:w="94"/>
        <w:gridCol w:w="1335"/>
        <w:gridCol w:w="60"/>
        <w:gridCol w:w="60"/>
        <w:gridCol w:w="248"/>
        <w:gridCol w:w="1181"/>
        <w:gridCol w:w="60"/>
      </w:tblGrid>
      <w:tr>
        <w:trPr/>
        <w:tc>
          <w:tcPr>
            <w:tcW w:w="1565" w:type="dxa"/>
            <w:tcBorders/>
            <w:vAlign w:val="center"/>
          </w:tcPr>
          <w:p>
            <w:pPr>
              <w:pStyle w:val="TableContents"/>
              <w:bidi w:val="0"/>
              <w:spacing w:before="0" w:after="283"/>
              <w:jc w:val="left"/>
              <w:rPr/>
            </w:pPr>
            <w:r>
              <w:rPr/>
              <w:t> </w:t>
            </w:r>
          </w:p>
        </w:tc>
        <w:tc>
          <w:tcPr>
            <w:tcW w:w="14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Amount</w:t>
            </w:r>
          </w:p>
        </w:tc>
        <w:tc>
          <w:tcPr>
            <w:tcW w:w="60" w:type="dxa"/>
            <w:tcBorders/>
            <w:vAlign w:val="center"/>
          </w:tcPr>
          <w:p>
            <w:pPr>
              <w:pStyle w:val="TableContents"/>
              <w:bidi w:val="0"/>
              <w:spacing w:before="0" w:after="283"/>
              <w:jc w:val="left"/>
              <w:rPr/>
            </w:pPr>
            <w:r>
              <w:rPr/>
              <w:t> </w:t>
            </w:r>
          </w:p>
        </w:tc>
      </w:tr>
      <w:tr>
        <w:trPr/>
        <w:tc>
          <w:tcPr>
            <w:tcW w:w="1565"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Currency</w:t>
            </w:r>
          </w:p>
        </w:tc>
        <w:tc>
          <w:tcPr>
            <w:tcW w:w="144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Contract Position</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(Local Currency)</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4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(U.S. Dollars)</w:t>
            </w:r>
          </w:p>
        </w:tc>
        <w:tc>
          <w:tcPr>
            <w:tcW w:w="60" w:type="dxa"/>
            <w:tcBorders/>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45,389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48"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51,775</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15,122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18,755</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South Korean Won</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3,079,083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1,995</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Japanese Yen</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Buy</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671,258</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4,160</w:t>
            </w:r>
          </w:p>
        </w:tc>
        <w:tc>
          <w:tcPr>
            <w:tcW w:w="60" w:type="dxa"/>
            <w:tcBorders/>
            <w:shd w:fill="FFFFFF" w:val="clear"/>
            <w:vAlign w:val="center"/>
          </w:tcPr>
          <w:p>
            <w:pPr>
              <w:pStyle w:val="TableContents"/>
              <w:bidi w:val="0"/>
              <w:spacing w:before="0" w:after="283"/>
              <w:jc w:val="left"/>
              <w:rPr/>
            </w:pPr>
            <w:r>
              <w:rPr/>
              <w:t> </w:t>
            </w:r>
          </w:p>
        </w:tc>
      </w:tr>
      <w:tr>
        <w:trPr/>
        <w:tc>
          <w:tcPr>
            <w:tcW w:w="1565"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Euro</w:t>
            </w:r>
          </w:p>
        </w:tc>
        <w:tc>
          <w:tcPr>
            <w:tcW w:w="144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CCEEFF" w:val="clear"/>
            <w:vAlign w:val="center"/>
          </w:tcPr>
          <w:p>
            <w:pPr>
              <w:pStyle w:val="TableContents"/>
              <w:bidi w:val="0"/>
              <w:spacing w:before="0" w:after="283"/>
              <w:jc w:val="left"/>
              <w:rPr/>
            </w:pPr>
            <w:r>
              <w:rPr/>
              <w:t> </w:t>
            </w:r>
          </w:p>
        </w:tc>
        <w:tc>
          <w:tcPr>
            <w:tcW w:w="94" w:type="dxa"/>
            <w:tcBorders/>
            <w:shd w:fill="CCEEFF" w:val="clear"/>
            <w:vAlign w:val="center"/>
          </w:tcPr>
          <w:p>
            <w:pPr>
              <w:pStyle w:val="TableContents"/>
              <w:bidi w:val="0"/>
              <w:spacing w:before="0" w:after="283"/>
              <w:ind w:left="0" w:right="0" w:hanging="0"/>
              <w:jc w:val="left"/>
              <w:rPr/>
            </w:pPr>
            <w:r>
              <w:rPr/>
              <w:t> </w:t>
            </w:r>
          </w:p>
        </w:tc>
        <w:tc>
          <w:tcPr>
            <w:tcW w:w="133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48" w:type="dxa"/>
            <w:tcBorders/>
            <w:shd w:fill="CCEEFF" w:val="clear"/>
            <w:vAlign w:val="center"/>
          </w:tcPr>
          <w:p>
            <w:pPr>
              <w:pStyle w:val="TableContents"/>
              <w:bidi w:val="0"/>
              <w:spacing w:before="0" w:after="283"/>
              <w:ind w:left="0" w:right="0" w:hanging="0"/>
              <w:jc w:val="left"/>
              <w:rPr/>
            </w:pPr>
            <w:r>
              <w:rPr/>
              <w:t> </w:t>
            </w:r>
          </w:p>
        </w:tc>
        <w:tc>
          <w:tcPr>
            <w:tcW w:w="1181"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58,075</w:t>
            </w:r>
          </w:p>
        </w:tc>
        <w:tc>
          <w:tcPr>
            <w:tcW w:w="60" w:type="dxa"/>
            <w:tcBorders/>
            <w:shd w:fill="CCEEFF" w:val="clear"/>
            <w:vAlign w:val="center"/>
          </w:tcPr>
          <w:p>
            <w:pPr>
              <w:pStyle w:val="TableContents"/>
              <w:bidi w:val="0"/>
              <w:spacing w:before="0" w:after="283"/>
              <w:jc w:val="left"/>
              <w:rPr/>
            </w:pPr>
            <w:r>
              <w:rPr/>
              <w:t> </w:t>
            </w:r>
          </w:p>
        </w:tc>
      </w:tr>
      <w:tr>
        <w:trPr/>
        <w:tc>
          <w:tcPr>
            <w:tcW w:w="1565"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Swiss Franc</w:t>
            </w:r>
          </w:p>
        </w:tc>
        <w:tc>
          <w:tcPr>
            <w:tcW w:w="1445" w:type="dxa"/>
            <w:tcBorders/>
            <w:shd w:fill="FFFF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Sell</w:t>
            </w:r>
          </w:p>
        </w:tc>
        <w:tc>
          <w:tcPr>
            <w:tcW w:w="60" w:type="dxa"/>
            <w:tcBorders/>
            <w:shd w:fill="FFFFFF" w:val="clear"/>
            <w:vAlign w:val="center"/>
          </w:tcPr>
          <w:p>
            <w:pPr>
              <w:pStyle w:val="TableContents"/>
              <w:bidi w:val="0"/>
              <w:spacing w:before="0" w:after="283"/>
              <w:jc w:val="left"/>
              <w:rPr/>
            </w:pPr>
            <w:r>
              <w:rPr/>
              <w:t> </w:t>
            </w:r>
          </w:p>
        </w:tc>
        <w:tc>
          <w:tcPr>
            <w:tcW w:w="94" w:type="dxa"/>
            <w:tcBorders/>
            <w:shd w:fill="FFFFFF" w:val="clear"/>
            <w:vAlign w:val="center"/>
          </w:tcPr>
          <w:p>
            <w:pPr>
              <w:pStyle w:val="TableContents"/>
              <w:bidi w:val="0"/>
              <w:spacing w:before="0" w:after="283"/>
              <w:ind w:left="0" w:right="0" w:hanging="0"/>
              <w:jc w:val="left"/>
              <w:rPr/>
            </w:pPr>
            <w:r>
              <w:rPr/>
              <w:t> </w:t>
            </w:r>
          </w:p>
        </w:tc>
        <w:tc>
          <w:tcPr>
            <w:tcW w:w="133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14,100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48" w:type="dxa"/>
            <w:tcBorders/>
            <w:shd w:fill="FFFFFF" w:val="clear"/>
            <w:vAlign w:val="center"/>
          </w:tcPr>
          <w:p>
            <w:pPr>
              <w:pStyle w:val="TableContents"/>
              <w:bidi w:val="0"/>
              <w:spacing w:before="0" w:after="283"/>
              <w:ind w:left="0" w:right="0" w:hanging="0"/>
              <w:jc w:val="left"/>
              <w:rPr/>
            </w:pPr>
            <w:r>
              <w:rPr/>
              <w:t> </w:t>
            </w:r>
          </w:p>
        </w:tc>
        <w:tc>
          <w:tcPr>
            <w:tcW w:w="1181"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17,772</w:t>
            </w:r>
          </w:p>
        </w:tc>
        <w:tc>
          <w:tcPr>
            <w:tcW w:w="6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foreign currency contracts are classified within Level 2 of the fair value hierarchy as they are valued using pricing models that utilize observable market inputs. The fair values of foreign currency contracts outstanding on June 27, 2026, and December 27, 2025, were immaterial.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760" w:type="dxa"/>
        <w:jc w:val="left"/>
        <w:tblInd w:w="0" w:type="dxa"/>
        <w:tblLayout w:type="fixed"/>
        <w:tblCellMar>
          <w:top w:w="0" w:type="dxa"/>
          <w:left w:w="0" w:type="dxa"/>
          <w:bottom w:w="0" w:type="dxa"/>
          <w:right w:w="0" w:type="dxa"/>
        </w:tblCellMar>
      </w:tblPr>
      <w:tblGrid>
        <w:gridCol w:w="170"/>
        <w:gridCol w:w="590"/>
      </w:tblGrid>
      <w:tr>
        <w:trPr/>
        <w:tc>
          <w:tcPr>
            <w:tcW w:w="17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8.</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Equity</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Common Stock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May 15, 2026, our stockholders approved an amendment to Cohu’s Amended and Restated Certificate of Incorporation to increase the number of authorized shares of common stock from 90,000,000 to 150,000,000 shares. Accordingly, on May 15, 2026, we filed with the Secretary of State of the State of Delaware an Amended and Restated Certificate of Incorporation implementing the approved changes (the “Restated Certificate”), and the Restated Certificate was effective as of that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Capped Call Transactions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connection with the Notes offering described in Note 3, “Borrowings and Credit Agreements”, on September 24, 2025, we entered into privately negotiated capped call transactions (the “Base Capped Call Transactions”) with an affiliate of one or more of the initial purchasers of the Notes and certain other financial institutions (the “Option Counterparties”). In addition, on September 25, 2025, in connection with the initial purchasers’ exercise in full of their option to purchase additional Notes, we entered into additional capped call transactions (the “Additional Capped Call Transactions,” and, together with the Base Capped Call Transactions, the “Capped Call Transactions”) with each of the Option Counterparties. The Capped Call Transactions are separate from the Notes and do not change the holders' rights under the Notes. Holders of the Notes do not have any rights with respect to the Capped Call Transactions. The Capped Call Transactions are generally expected to reduce the potential dilution to our common stock upon any conversion of the Notes and/or offset any potential cash payments we are required to make in excess of the principal amount of converted Notes, with such reduction and/or offset subject to a cap.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Capped Call Transactions are for an aggregate of 10.58 million shares of our common stock, subject to certain anti-dilution adjustments. Each capped call option has an initial strike price of approximately $27.18 per share, which corresponds to the initial conversion price of the Notes, and an initial cap price of approximately $41.02 per share, representing a premium of approximately 100% above the reference price of $20.51, which was the last reported sale price of our common stock on September 24, 2025. The strike and cap prices are subject to certain adjustments. The Capped Call Transactions are intended to offset some or all of the potential dilution to our common stock caused by any conversion of the Notes up to the cap price. The capped call options can be settled in either net shares or cash at our option in components commencing October 15, 2030, and ending January 15, 2031, which could be extended under certain circumstances.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capped call options are subject to either adjustment or termination upon the occurrence of specified extraordinary events affecting us, including a merger, tender offer, nationalization, insolvency or delisting. In addition, certain events may result in a termination of the capped call options, including changes in law and hedging disruptions. The Capped Call Transactions are recorded at their aggregate cost of $31.4 million as a reduction to paid-in capital stock in the shareholders’ equity section of our consolidated balance sheet.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We did not repurchase any common shares of our stock during the three and six months ended June 27, 2026. We did not repurchase any common shares of our stock during the three months ended June 28, 2025. During the six months ended June 28, 2025, we repurchased 432,288 shares of our common stock for $8.6 million to be held as treasury stock. As of June 27, 2026,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375" w:type="dxa"/>
        <w:jc w:val="left"/>
        <w:tblInd w:w="0" w:type="dxa"/>
        <w:tblLayout w:type="fixed"/>
        <w:tblCellMar>
          <w:top w:w="0" w:type="dxa"/>
          <w:left w:w="0" w:type="dxa"/>
          <w:bottom w:w="0" w:type="dxa"/>
          <w:right w:w="0" w:type="dxa"/>
        </w:tblCellMar>
      </w:tblPr>
      <w:tblGrid>
        <w:gridCol w:w="170"/>
        <w:gridCol w:w="1205"/>
      </w:tblGrid>
      <w:tr>
        <w:trPr/>
        <w:tc>
          <w:tcPr>
            <w:tcW w:w="17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9.</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Income Taxes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 xml:space="preserve">We account for income taxes in accordance with ASC Topic 740, </w:t>
      </w:r>
      <w:r>
        <w:rPr>
          <w:rFonts w:ascii="Times New Roman" w:hAnsi="Times New Roman"/>
          <w:i/>
          <w:caps w:val="false"/>
          <w:smallCaps w:val="false"/>
          <w:sz w:val="20"/>
        </w:rPr>
        <w:t>Income Taxes</w:t>
      </w:r>
      <w:r>
        <w:rPr>
          <w:rFonts w:ascii="Times New Roman" w:hAnsi="Times New Roman"/>
          <w:caps w:val="false"/>
          <w:smallCaps w:val="false"/>
          <w:sz w:val="20"/>
        </w:rPr>
        <w:t xml:space="preserve">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changes in uncertain tax benefit positions, changes to valuation allowances, the accrual of taxes on unremitted income of our foreign subsidiaries, state taxes, and foreign withholding taxes.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Taiwan,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Companies are required to assess whether a valuation allowance should be recorded against their deferred tax assets (“DTAs”) based on the consideration of all available evidence, using a “more likely than not” realization standard. The four sources of taxable income that must be considered in determining whether DTAs will be realized are, (1) future reversals of existing taxable temporary differences (i.e. offset of gross deferred tax assets against gross deferred tax liabilities); (2) taxable income in prior carryback years, if carryback is permitted under the tax law; (3) tax planning strategies and (4) future taxable income exclusive of reversing temporary differences and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assessing whether a valuation allowance is required, significant weight is to be given to evidence that can be objectively verified. We have evaluated our DTAs at each reporting period, including an assessment of our cumulative income or loss over the prior three-year period and future periods, to determine if a valuation allowance was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Based on the evidence available, including a lack of sustainable earnings and history of expiring unused NOLs, and tax credits, we continue to maintain our judgment that previously recorded valuation allowances against substantially all net deferred tax assets are required in the United States, Switzerland, and Malaysia. If a change in judgment regarding this valuation allowance were to occur in the future, we will record a potentially material deferred tax benefit, which could result in a favorable impact on the effective tax rate in that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they are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3505" w:type="dxa"/>
        <w:jc w:val="left"/>
        <w:tblInd w:w="0" w:type="dxa"/>
        <w:tblLayout w:type="fixed"/>
        <w:tblCellMar>
          <w:top w:w="0" w:type="dxa"/>
          <w:left w:w="0" w:type="dxa"/>
          <w:bottom w:w="0" w:type="dxa"/>
          <w:right w:w="0" w:type="dxa"/>
        </w:tblCellMar>
      </w:tblPr>
      <w:tblGrid>
        <w:gridCol w:w="275"/>
        <w:gridCol w:w="3230"/>
      </w:tblGrid>
      <w:tr>
        <w:trPr/>
        <w:tc>
          <w:tcPr>
            <w:tcW w:w="2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10.</w:t>
            </w:r>
          </w:p>
        </w:tc>
        <w:tc>
          <w:tcPr>
            <w:tcW w:w="32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Segment and Geographic Information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We applied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which is our Chief Executive Officer Luis A. Müller,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 which derives revenue from the design and manufacture of equipment and components used in the testing of semiconductors.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CODM assesses performance of the Semiconductor Test &amp; Inspection segment and decides how to allocate resources based on income (loss) before taxes. The table below summarizes selected financial information for our single reportable segment.</w:t>
      </w:r>
    </w:p>
    <w:p>
      <w:pPr>
        <w:pStyle w:val="TextBody"/>
        <w:bidi w:val="0"/>
        <w:spacing w:before="0" w:after="0"/>
        <w:ind w:left="0" w:right="0" w:hanging="0"/>
        <w:jc w:val="left"/>
        <w:rPr>
          <w:caps w:val="false"/>
          <w:smallCaps w:val="false"/>
        </w:rPr>
      </w:pPr>
      <w:r>
        <w:rPr>
          <w:caps w:val="false"/>
          <w:smallCaps w:val="false"/>
        </w:rPr>
        <w:t> </w:t>
      </w:r>
    </w:p>
    <w:tbl>
      <w:tblPr>
        <w:tblW w:w="8411" w:type="dxa"/>
        <w:jc w:val="left"/>
        <w:tblInd w:w="0" w:type="dxa"/>
        <w:tblLayout w:type="fixed"/>
        <w:tblCellMar>
          <w:top w:w="0" w:type="dxa"/>
          <w:left w:w="0" w:type="dxa"/>
          <w:bottom w:w="0" w:type="dxa"/>
          <w:right w:w="0" w:type="dxa"/>
        </w:tblCellMar>
      </w:tblPr>
      <w:tblGrid>
        <w:gridCol w:w="3590"/>
        <w:gridCol w:w="60"/>
        <w:gridCol w:w="176"/>
        <w:gridCol w:w="983"/>
        <w:gridCol w:w="80"/>
        <w:gridCol w:w="60"/>
        <w:gridCol w:w="176"/>
        <w:gridCol w:w="983"/>
        <w:gridCol w:w="80"/>
        <w:gridCol w:w="60"/>
        <w:gridCol w:w="147"/>
        <w:gridCol w:w="817"/>
        <w:gridCol w:w="80"/>
        <w:gridCol w:w="60"/>
        <w:gridCol w:w="147"/>
        <w:gridCol w:w="817"/>
        <w:gridCol w:w="95"/>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Three Months</w:t>
            </w:r>
          </w:p>
          <w:p>
            <w:pPr>
              <w:pStyle w:val="TableContents"/>
              <w:bidi w:val="0"/>
              <w:spacing w:before="0" w:after="0"/>
              <w:ind w:left="0" w:right="0" w:hanging="0"/>
              <w:jc w:val="center"/>
              <w:rPr>
                <w:rFonts w:ascii="Times New Roman;Times;serif" w:hAnsi="Times New Roman;Times;serif"/>
                <w:sz w:val="20"/>
              </w:rPr>
            </w:pPr>
            <w:r>
              <w:rPr>
                <w:rFonts w:ascii="Times New Roman;Times;serif" w:hAnsi="Times New Roman;Times;serif"/>
                <w:sz w:val="20"/>
              </w:rPr>
              <w:t>Ended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w:t>
            </w:r>
          </w:p>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Ended</w:t>
            </w:r>
          </w:p>
        </w:tc>
        <w:tc>
          <w:tcPr>
            <w:tcW w:w="95"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95" w:type="dxa"/>
            <w:tcBorders/>
            <w:vAlign w:val="center"/>
          </w:tcPr>
          <w:p>
            <w:pPr>
              <w:pStyle w:val="TableContents"/>
              <w:bidi w:val="0"/>
              <w:spacing w:before="0" w:after="283"/>
              <w:ind w:left="0" w:right="0" w:hanging="0"/>
              <w:jc w:val="left"/>
              <w:rPr/>
            </w:pPr>
            <w:r>
              <w:rPr/>
              <w:t> </w:t>
            </w:r>
          </w:p>
        </w:tc>
      </w:tr>
      <w:tr>
        <w:trPr/>
        <w:tc>
          <w:tcPr>
            <w:tcW w:w="3590" w:type="dxa"/>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6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95" w:type="dxa"/>
            <w:tcBorders/>
            <w:vAlign w:val="center"/>
          </w:tcPr>
          <w:p>
            <w:pPr>
              <w:pStyle w:val="TableContents"/>
              <w:bidi w:val="0"/>
              <w:spacing w:before="0" w:after="283"/>
              <w:ind w:left="0" w:right="0" w:hanging="0"/>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149,002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107,680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274,121</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204,477</w:t>
            </w:r>
          </w:p>
        </w:tc>
        <w:tc>
          <w:tcPr>
            <w:tcW w:w="9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81,193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60,173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148,133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114,327</w:t>
            </w:r>
          </w:p>
        </w:tc>
        <w:tc>
          <w:tcPr>
            <w:tcW w:w="9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23,870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21,674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49,289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43,607</w:t>
            </w:r>
          </w:p>
        </w:tc>
        <w:tc>
          <w:tcPr>
            <w:tcW w:w="9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14,521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13,320</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29,229</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26,445</w:t>
            </w:r>
          </w:p>
        </w:tc>
        <w:tc>
          <w:tcPr>
            <w:tcW w:w="9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General &amp; administrative</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14,623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12,783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29,482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24,984</w:t>
            </w:r>
          </w:p>
        </w:tc>
        <w:tc>
          <w:tcPr>
            <w:tcW w:w="9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7,277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6" w:type="dxa"/>
            <w:tcBorders/>
            <w:shd w:fill="FFFFFF" w:val="clear"/>
            <w:vAlign w:val="center"/>
          </w:tcPr>
          <w:p>
            <w:pPr>
              <w:pStyle w:val="TableContents"/>
              <w:bidi w:val="0"/>
              <w:spacing w:before="0" w:after="283"/>
              <w:ind w:left="0" w:right="0" w:hanging="0"/>
              <w:jc w:val="left"/>
              <w:rPr/>
            </w:pPr>
            <w:r>
              <w:rPr/>
              <w:t> </w:t>
            </w:r>
          </w:p>
        </w:tc>
        <w:tc>
          <w:tcPr>
            <w:tcW w:w="98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10,081</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14,577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47" w:type="dxa"/>
            <w:tcBorders/>
            <w:shd w:fill="FFFFFF" w:val="clear"/>
            <w:vAlign w:val="center"/>
          </w:tcPr>
          <w:p>
            <w:pPr>
              <w:pStyle w:val="TableContents"/>
              <w:bidi w:val="0"/>
              <w:spacing w:before="0" w:after="283"/>
              <w:ind w:left="0" w:right="0" w:hanging="0"/>
              <w:jc w:val="left"/>
              <w:rPr/>
            </w:pPr>
            <w:r>
              <w:rPr/>
              <w:t> </w:t>
            </w:r>
          </w:p>
        </w:tc>
        <w:tc>
          <w:tcPr>
            <w:tcW w:w="81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19,933</w:t>
            </w:r>
          </w:p>
        </w:tc>
        <w:tc>
          <w:tcPr>
            <w:tcW w:w="95" w:type="dxa"/>
            <w:tcBorders/>
            <w:shd w:fill="FFFFFF" w:val="clear"/>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Stock-based compensation</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6,593</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6" w:type="dxa"/>
            <w:tcBorders/>
            <w:shd w:fill="CCEEFF" w:val="clear"/>
            <w:vAlign w:val="center"/>
          </w:tcPr>
          <w:p>
            <w:pPr>
              <w:pStyle w:val="TableContents"/>
              <w:bidi w:val="0"/>
              <w:spacing w:before="0" w:after="283"/>
              <w:ind w:left="0" w:right="0" w:hanging="0"/>
              <w:jc w:val="left"/>
              <w:rPr/>
            </w:pPr>
            <w:r>
              <w:rPr/>
              <w:t> </w:t>
            </w:r>
          </w:p>
        </w:tc>
        <w:tc>
          <w:tcPr>
            <w:tcW w:w="98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5,675</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12,869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7" w:type="dxa"/>
            <w:tcBorders/>
            <w:shd w:fill="CCEEFF" w:val="clear"/>
            <w:vAlign w:val="center"/>
          </w:tcPr>
          <w:p>
            <w:pPr>
              <w:pStyle w:val="TableContents"/>
              <w:bidi w:val="0"/>
              <w:spacing w:before="0" w:after="283"/>
              <w:ind w:left="0" w:right="0" w:hanging="0"/>
              <w:jc w:val="left"/>
              <w:rPr/>
            </w:pPr>
            <w:r>
              <w:rPr/>
              <w:t> </w:t>
            </w:r>
          </w:p>
        </w:tc>
        <w:tc>
          <w:tcPr>
            <w:tcW w:w="81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11,905</w:t>
            </w:r>
          </w:p>
        </w:tc>
        <w:tc>
          <w:tcPr>
            <w:tcW w:w="95" w:type="dxa"/>
            <w:tcBorders/>
            <w:shd w:fill="CCEEFF" w:val="clear"/>
            <w:vAlign w:val="center"/>
          </w:tcPr>
          <w:p>
            <w:pPr>
              <w:pStyle w:val="TableContents"/>
              <w:bidi w:val="0"/>
              <w:spacing w:before="0" w:after="283"/>
              <w:jc w:val="left"/>
              <w:rPr/>
            </w:pPr>
            <w:r>
              <w:rPr/>
              <w:t> </w:t>
            </w:r>
          </w:p>
        </w:tc>
      </w:tr>
      <w:tr>
        <w:trPr/>
        <w:tc>
          <w:tcPr>
            <w:tcW w:w="3590" w:type="dxa"/>
            <w:tcBorders/>
            <w:shd w:fill="FFFFFF" w:val="clear"/>
            <w:vAlign w:val="center"/>
          </w:tcPr>
          <w:p>
            <w:pPr>
              <w:pStyle w:val="TableContents"/>
              <w:bidi w:val="0"/>
              <w:spacing w:lineRule="auto" w:line="288"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 xml:space="preserve">Other segment items </w:t>
            </w:r>
            <w:r>
              <w:rPr>
                <w:rFonts w:ascii="Times New Roman;Times;serif" w:hAnsi="Times New Roman;Times;serif"/>
                <w:caps w:val="false"/>
                <w:smallCaps w:val="false"/>
                <w:sz w:val="16"/>
              </w:rPr>
              <w:t>(1)</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(1,064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83"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(1,195</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(2,434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14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81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4,073</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before taxes</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1,989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6"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83"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(14,831</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(7,024</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ind w:left="0" w:right="0" w:hanging="0"/>
              <w:jc w:val="left"/>
              <w:rPr/>
            </w:pPr>
            <w:r>
              <w:rPr/>
              <w:t> </w:t>
            </w:r>
          </w:p>
        </w:tc>
        <w:tc>
          <w:tcPr>
            <w:tcW w:w="14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81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(40,797</w:t>
            </w:r>
          </w:p>
        </w:tc>
        <w:tc>
          <w:tcPr>
            <w:tcW w:w="9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pPr>
      <w:r>
        <w:rPr/>
        <w:t> </w:t>
      </w:r>
    </w:p>
    <w:tbl>
      <w:tblPr>
        <w:tblW w:w="8110" w:type="dxa"/>
        <w:jc w:val="left"/>
        <w:tblInd w:w="0" w:type="dxa"/>
        <w:tblLayout w:type="fixed"/>
        <w:tblCellMar>
          <w:top w:w="0" w:type="dxa"/>
          <w:left w:w="0" w:type="dxa"/>
          <w:bottom w:w="0" w:type="dxa"/>
          <w:right w:w="0" w:type="dxa"/>
        </w:tblCellMar>
      </w:tblPr>
      <w:tblGrid>
        <w:gridCol w:w="60"/>
        <w:gridCol w:w="245"/>
        <w:gridCol w:w="7805"/>
      </w:tblGrid>
      <w:tr>
        <w:trPr/>
        <w:tc>
          <w:tcPr>
            <w:tcW w:w="60" w:type="dxa"/>
            <w:tcBorders/>
            <w:vAlign w:val="center"/>
          </w:tcPr>
          <w:p>
            <w:pPr>
              <w:pStyle w:val="TableContents"/>
              <w:bidi w:val="0"/>
              <w:spacing w:before="0" w:after="283"/>
              <w:jc w:val="left"/>
              <w:rPr/>
            </w:pPr>
            <w:r>
              <w:rPr/>
              <w:t> </w:t>
            </w:r>
          </w:p>
        </w:tc>
        <w:tc>
          <w:tcPr>
            <w:tcW w:w="24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780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segment items include restructuring charges as well as miscellaneous non-operating items.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For revenues by geography and information on customer concentration, see Note 1, “Summary of Significant Accounting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910" w:type="dxa"/>
        <w:jc w:val="left"/>
        <w:tblInd w:w="0" w:type="dxa"/>
        <w:tblLayout w:type="fixed"/>
        <w:tblCellMar>
          <w:top w:w="0" w:type="dxa"/>
          <w:left w:w="0" w:type="dxa"/>
          <w:bottom w:w="0" w:type="dxa"/>
          <w:right w:w="0" w:type="dxa"/>
        </w:tblCellMar>
      </w:tblPr>
      <w:tblGrid>
        <w:gridCol w:w="320"/>
        <w:gridCol w:w="590"/>
      </w:tblGrid>
      <w:tr>
        <w:trPr/>
        <w:tc>
          <w:tcPr>
            <w:tcW w:w="32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11. </w:t>
            </w:r>
          </w:p>
        </w:tc>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Leases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We lease certain of our facilities, equipment and vehicles under non-cancelable operating and finance leases. Leases with initial terms of 12 months or less are not recorded on the condensed consolidated balance sheet, but we recognize those lease payments in the condensed consolidated statements of operations on a straight-line basis over the lease term. Lease and non-lease components are included in the calculation of the ROU asset and lease liabilities.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leases have remaining lease terms of up to 32 years, some of which include one or more options to extend the lease for up to 25 years. Our lease terms include renewal terms when we are reasonably certain that we will exercise the renewal options. We sublease certain leased assets to third parties, mainly as a result of unused space in our facilities.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Supplemental balance sheet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068" w:type="dxa"/>
        <w:jc w:val="left"/>
        <w:tblInd w:w="0" w:type="dxa"/>
        <w:tblLayout w:type="fixed"/>
        <w:tblCellMar>
          <w:top w:w="0" w:type="dxa"/>
          <w:left w:w="0" w:type="dxa"/>
          <w:bottom w:w="28" w:type="dxa"/>
          <w:right w:w="0" w:type="dxa"/>
        </w:tblCellMar>
      </w:tblPr>
      <w:tblGrid>
        <w:gridCol w:w="1985"/>
        <w:gridCol w:w="2825"/>
        <w:gridCol w:w="60"/>
        <w:gridCol w:w="202"/>
        <w:gridCol w:w="957"/>
        <w:gridCol w:w="185"/>
        <w:gridCol w:w="60"/>
        <w:gridCol w:w="278"/>
        <w:gridCol w:w="1316"/>
        <w:gridCol w:w="200"/>
      </w:tblGrid>
      <w:tr>
        <w:trPr/>
        <w:tc>
          <w:tcPr>
            <w:tcW w:w="198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2825" w:type="dxa"/>
            <w:tcBorders>
              <w:bottom w:val="single" w:sz="2" w:space="0" w:color="000000"/>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Classification</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185" w:type="dxa"/>
            <w:tcBorders>
              <w:bottom w:val="single" w:sz="2" w:space="0" w:color="000000"/>
            </w:tcBorders>
            <w:vAlign w:val="center"/>
          </w:tcPr>
          <w:p>
            <w:pPr>
              <w:pStyle w:val="TableContents"/>
              <w:bidi w:val="0"/>
              <w:spacing w:before="0" w:after="283"/>
              <w:jc w:val="left"/>
              <w:rPr/>
            </w:pPr>
            <w:r>
              <w:rPr/>
              <w:t> </w:t>
            </w:r>
          </w:p>
        </w:tc>
        <w:tc>
          <w:tcPr>
            <w:tcW w:w="60" w:type="dxa"/>
            <w:tcBorders>
              <w:bottom w:val="single" w:sz="2" w:space="0" w:color="000000"/>
            </w:tcBorders>
            <w:vAlign w:val="center"/>
          </w:tcPr>
          <w:p>
            <w:pPr>
              <w:pStyle w:val="TableContents"/>
              <w:bidi w:val="0"/>
              <w:spacing w:before="0" w:after="283"/>
              <w:ind w:left="0" w:right="0" w:hanging="0"/>
              <w:jc w:val="left"/>
              <w:rPr/>
            </w:pPr>
            <w:r>
              <w:rPr/>
              <w:t> </w:t>
            </w:r>
          </w:p>
        </w:tc>
        <w:tc>
          <w:tcPr>
            <w:tcW w:w="1594" w:type="dxa"/>
            <w:gridSpan w:val="2"/>
            <w:tcBorders>
              <w:bottom w:val="single" w:sz="2" w:space="0" w:color="000000"/>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 2025</w:t>
            </w:r>
          </w:p>
        </w:tc>
        <w:tc>
          <w:tcPr>
            <w:tcW w:w="200" w:type="dxa"/>
            <w:tcBorders/>
            <w:tcMar>
              <w:bottom w:w="0" w:type="dxa"/>
            </w:tcMar>
            <w:vAlign w:val="center"/>
          </w:tcPr>
          <w:p>
            <w:pPr>
              <w:pStyle w:val="TableContents"/>
              <w:bidi w:val="0"/>
              <w:spacing w:before="0" w:after="283"/>
              <w:ind w:left="0" w:right="0" w:hanging="0"/>
              <w:jc w:val="left"/>
              <w:rPr/>
            </w:pPr>
            <w:r>
              <w:rPr/>
              <w:t> </w:t>
            </w:r>
          </w:p>
        </w:tc>
      </w:tr>
      <w:tr>
        <w:trPr/>
        <w:tc>
          <w:tcPr>
            <w:tcW w:w="1985"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Assets</w:t>
            </w:r>
          </w:p>
        </w:tc>
        <w:tc>
          <w:tcPr>
            <w:tcW w:w="2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985"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assets</w:t>
            </w:r>
          </w:p>
        </w:tc>
        <w:tc>
          <w:tcPr>
            <w:tcW w:w="2825" w:type="dxa"/>
            <w:tcBorders/>
            <w:shd w:fill="FFFF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 right-of-use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27,715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29,271</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985"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 assets</w:t>
            </w:r>
          </w:p>
        </w:tc>
        <w:tc>
          <w:tcPr>
            <w:tcW w:w="28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Property, plant and equipment, net</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68</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810" w:type="dxa"/>
            <w:gridSpan w:val="2"/>
            <w:tcBorders/>
            <w:shd w:fill="FFFFFF" w:val="clear"/>
            <w:tcMar>
              <w:bottom w:w="0" w:type="dxa"/>
            </w:tcM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assets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27,755</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29,339</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1985" w:type="dxa"/>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b/>
                <w:caps w:val="false"/>
                <w:smallCaps w:val="false"/>
                <w:sz w:val="20"/>
              </w:rPr>
            </w:pPr>
            <w:r>
              <w:rPr>
                <w:rFonts w:ascii="Times New Roman;Times;serif" w:hAnsi="Times New Roman;Times;serif"/>
                <w:b/>
                <w:caps w:val="false"/>
                <w:smallCaps w:val="false"/>
                <w:sz w:val="20"/>
              </w:rPr>
              <w:t>Liabilities</w:t>
            </w:r>
          </w:p>
        </w:tc>
        <w:tc>
          <w:tcPr>
            <w:tcW w:w="2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985"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Current</w:t>
            </w:r>
          </w:p>
        </w:tc>
        <w:tc>
          <w:tcPr>
            <w:tcW w:w="2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28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Other accrued liabilities</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4,301</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ind w:left="0" w:right="0" w:hanging="0"/>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3,100</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1985" w:type="dxa"/>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Noncurrent</w:t>
            </w:r>
          </w:p>
        </w:tc>
        <w:tc>
          <w:tcPr>
            <w:tcW w:w="2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2825" w:type="dxa"/>
            <w:tcBorders/>
            <w:shd w:fill="CCEEFF" w:val="clear"/>
            <w:tcMar>
              <w:bottom w:w="0" w:type="dxa"/>
            </w:tcM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Long-term lease liabilities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957"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30,713</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bottom w:val="single" w:sz="2" w:space="0" w:color="000000"/>
            </w:tcBorders>
            <w:shd w:fill="CCEEFF" w:val="clear"/>
            <w:vAlign w:val="center"/>
          </w:tcPr>
          <w:p>
            <w:pPr>
              <w:pStyle w:val="TableContents"/>
              <w:bidi w:val="0"/>
              <w:spacing w:before="0" w:after="283"/>
              <w:ind w:left="0" w:right="0" w:hanging="0"/>
              <w:jc w:val="left"/>
              <w:rPr/>
            </w:pPr>
            <w:r>
              <w:rPr/>
              <w:t> </w:t>
            </w:r>
          </w:p>
        </w:tc>
        <w:tc>
          <w:tcPr>
            <w:tcW w:w="1316" w:type="dxa"/>
            <w:tcBorders>
              <w:bottom w:val="single" w:sz="2" w:space="0" w:color="000000"/>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31,693</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4810" w:type="dxa"/>
            <w:gridSpan w:val="2"/>
            <w:tcBorders/>
            <w:shd w:fill="FFFFFF" w:val="clear"/>
            <w:tcMar>
              <w:bottom w:w="0" w:type="dxa"/>
            </w:tcMar>
            <w:vAlign w:val="center"/>
          </w:tcPr>
          <w:p>
            <w:pPr>
              <w:pStyle w:val="TableContents"/>
              <w:bidi w:val="0"/>
              <w:spacing w:before="0" w:after="0"/>
              <w:ind w:left="18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liabilities</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02"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35,014</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ind w:left="0" w:right="0" w:hanging="0"/>
              <w:jc w:val="left"/>
              <w:rPr/>
            </w:pPr>
            <w:r>
              <w:rPr/>
              <w:t> </w:t>
            </w:r>
          </w:p>
        </w:tc>
        <w:tc>
          <w:tcPr>
            <w:tcW w:w="278" w:type="dxa"/>
            <w:tcBorders>
              <w:bottom w:val="double" w:sz="6" w:space="0" w:color="000000"/>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1316" w:type="dxa"/>
            <w:tcBorders>
              <w:bottom w:val="double" w:sz="6" w:space="0" w:color="000000"/>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34,793</w:t>
            </w:r>
          </w:p>
        </w:tc>
        <w:tc>
          <w:tcPr>
            <w:tcW w:w="200" w:type="dxa"/>
            <w:tcBorders/>
            <w:shd w:fill="FFFFFF" w:val="clear"/>
            <w:tcMar>
              <w:bottom w:w="0" w:type="dxa"/>
            </w:tcMar>
            <w:vAlign w:val="center"/>
          </w:tcPr>
          <w:p>
            <w:pPr>
              <w:pStyle w:val="TableContents"/>
              <w:bidi w:val="0"/>
              <w:spacing w:before="0" w:after="283"/>
              <w:jc w:val="left"/>
              <w:rPr/>
            </w:pPr>
            <w:r>
              <w:rPr/>
              <w:t> </w:t>
            </w:r>
          </w:p>
        </w:tc>
      </w:tr>
      <w:tr>
        <w:trPr/>
        <w:tc>
          <w:tcPr>
            <w:tcW w:w="1985" w:type="dxa"/>
            <w:tcBorders/>
            <w:shd w:fill="CCEEFF" w:val="clear"/>
            <w:tcMar>
              <w:bottom w:w="0" w:type="dxa"/>
            </w:tcMar>
            <w:vAlign w:val="center"/>
          </w:tcPr>
          <w:p>
            <w:pPr>
              <w:pStyle w:val="TableContents"/>
              <w:bidi w:val="0"/>
              <w:spacing w:before="0" w:after="283"/>
              <w:jc w:val="left"/>
              <w:rPr/>
            </w:pPr>
            <w:r>
              <w:rPr/>
              <w:t> </w:t>
            </w:r>
          </w:p>
        </w:tc>
        <w:tc>
          <w:tcPr>
            <w:tcW w:w="282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10" w:type="dxa"/>
            <w:gridSpan w:val="2"/>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remaining lease term (years)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810" w:type="dxa"/>
            <w:gridSpan w:val="2"/>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ind w:left="0" w:right="0" w:hanging="0"/>
              <w:jc w:val="left"/>
              <w:rPr/>
            </w:pPr>
            <w:r>
              <w:rPr/>
              <w:t> </w:t>
            </w:r>
          </w:p>
        </w:tc>
        <w:tc>
          <w:tcPr>
            <w:tcW w:w="957"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8.7</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ind w:left="0" w:right="0" w:hanging="0"/>
              <w:jc w:val="left"/>
              <w:rPr/>
            </w:pPr>
            <w:r>
              <w:rPr/>
              <w:t> </w:t>
            </w:r>
          </w:p>
        </w:tc>
        <w:tc>
          <w:tcPr>
            <w:tcW w:w="1316" w:type="dxa"/>
            <w:tcBorders/>
            <w:shd w:fill="CCEE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w:t>
            </w:r>
          </w:p>
        </w:tc>
        <w:tc>
          <w:tcPr>
            <w:tcW w:w="200" w:type="dxa"/>
            <w:tcBorders/>
            <w:shd w:fill="CCEEFF" w:val="clear"/>
            <w:tcMar>
              <w:bottom w:w="0" w:type="dxa"/>
            </w:tcMar>
            <w:vAlign w:val="center"/>
          </w:tcPr>
          <w:p>
            <w:pPr>
              <w:pStyle w:val="TableContents"/>
              <w:bidi w:val="0"/>
              <w:spacing w:before="0" w:after="283"/>
              <w:jc w:val="left"/>
              <w:rPr/>
            </w:pPr>
            <w:r>
              <w:rPr/>
              <w:t> </w:t>
            </w:r>
          </w:p>
        </w:tc>
      </w:tr>
      <w:tr>
        <w:trPr/>
        <w:tc>
          <w:tcPr>
            <w:tcW w:w="1985" w:type="dxa"/>
            <w:tcBorders/>
            <w:shd w:fill="FFFFFF" w:val="clear"/>
            <w:tcMar>
              <w:bottom w:w="0" w:type="dxa"/>
            </w:tcMar>
            <w:vAlign w:val="center"/>
          </w:tcPr>
          <w:p>
            <w:pPr>
              <w:pStyle w:val="TableContents"/>
              <w:bidi w:val="0"/>
              <w:spacing w:before="0" w:after="283"/>
              <w:jc w:val="left"/>
              <w:rPr/>
            </w:pPr>
            <w:r>
              <w:rPr/>
              <w:t> </w:t>
            </w:r>
          </w:p>
        </w:tc>
        <w:tc>
          <w:tcPr>
            <w:tcW w:w="282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jc w:val="left"/>
              <w:rPr/>
            </w:pPr>
            <w:r>
              <w:rPr/>
              <w:t> </w:t>
            </w:r>
          </w:p>
        </w:tc>
        <w:tc>
          <w:tcPr>
            <w:tcW w:w="957" w:type="dxa"/>
            <w:tcBorders/>
            <w:shd w:fill="FFFFFF" w:val="clear"/>
            <w:tcMar>
              <w:bottom w:w="0" w:type="dxa"/>
            </w:tcMar>
            <w:vAlign w:val="center"/>
          </w:tcPr>
          <w:p>
            <w:pPr>
              <w:pStyle w:val="TableContents"/>
              <w:bidi w:val="0"/>
              <w:spacing w:before="0" w:after="283"/>
              <w:jc w:val="left"/>
              <w:rPr/>
            </w:pPr>
            <w:r>
              <w:rPr/>
              <w:t> </w:t>
            </w:r>
          </w:p>
        </w:tc>
        <w:tc>
          <w:tcPr>
            <w:tcW w:w="185" w:type="dxa"/>
            <w:tcBorders/>
            <w:shd w:fill="FFFFFF" w:val="clear"/>
            <w:tcMar>
              <w:bottom w:w="0" w:type="dxa"/>
            </w:tcMar>
            <w:vAlign w:val="center"/>
          </w:tcPr>
          <w:p>
            <w:pPr>
              <w:pStyle w:val="TableContents"/>
              <w:bidi w:val="0"/>
              <w:spacing w:before="0" w:after="283"/>
              <w:jc w:val="left"/>
              <w:rPr/>
            </w:pPr>
            <w:r>
              <w:rPr/>
              <w:t> </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jc w:val="left"/>
              <w:rPr/>
            </w:pPr>
            <w:r>
              <w:rPr/>
              <w:t> </w:t>
            </w:r>
          </w:p>
        </w:tc>
        <w:tc>
          <w:tcPr>
            <w:tcW w:w="1316" w:type="dxa"/>
            <w:tcBorders/>
            <w:shd w:fill="FFFFFF" w:val="clear"/>
            <w:tcMar>
              <w:bottom w:w="0" w:type="dxa"/>
            </w:tcMar>
            <w:vAlign w:val="center"/>
          </w:tcPr>
          <w:p>
            <w:pPr>
              <w:pStyle w:val="TableContents"/>
              <w:bidi w:val="0"/>
              <w:spacing w:before="0" w:after="283"/>
              <w:jc w:val="left"/>
              <w:rPr/>
            </w:pPr>
            <w:r>
              <w:rPr/>
              <w:t> </w:t>
            </w:r>
          </w:p>
        </w:tc>
        <w:tc>
          <w:tcPr>
            <w:tcW w:w="200" w:type="dxa"/>
            <w:tcBorders/>
            <w:shd w:fill="FFFFFF" w:val="clear"/>
            <w:tcMar>
              <w:bottom w:w="0" w:type="dxa"/>
            </w:tcMar>
            <w:vAlign w:val="center"/>
          </w:tcPr>
          <w:p>
            <w:pPr>
              <w:pStyle w:val="TableContents"/>
              <w:bidi w:val="0"/>
              <w:spacing w:before="0" w:after="283"/>
              <w:ind w:left="0" w:right="0" w:hanging="0"/>
              <w:jc w:val="left"/>
              <w:rPr/>
            </w:pPr>
            <w:r>
              <w:rPr/>
              <w:t> </w:t>
            </w:r>
          </w:p>
        </w:tc>
      </w:tr>
      <w:tr>
        <w:trPr/>
        <w:tc>
          <w:tcPr>
            <w:tcW w:w="4810" w:type="dxa"/>
            <w:gridSpan w:val="2"/>
            <w:tcBorders/>
            <w:shd w:fill="CCEE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Weighted-average discount rate</w:t>
            </w:r>
          </w:p>
        </w:tc>
        <w:tc>
          <w:tcPr>
            <w:tcW w:w="60" w:type="dxa"/>
            <w:tcBorders/>
            <w:shd w:fill="CCEEFF" w:val="clear"/>
            <w:tcMar>
              <w:bottom w:w="0" w:type="dxa"/>
            </w:tcMar>
            <w:vAlign w:val="center"/>
          </w:tcPr>
          <w:p>
            <w:pPr>
              <w:pStyle w:val="TableContents"/>
              <w:bidi w:val="0"/>
              <w:spacing w:before="0" w:after="283"/>
              <w:jc w:val="left"/>
              <w:rPr/>
            </w:pPr>
            <w:r>
              <w:rPr/>
              <w:t> </w:t>
            </w:r>
          </w:p>
        </w:tc>
        <w:tc>
          <w:tcPr>
            <w:tcW w:w="202" w:type="dxa"/>
            <w:tcBorders/>
            <w:shd w:fill="CCEEFF" w:val="clear"/>
            <w:tcMar>
              <w:bottom w:w="0" w:type="dxa"/>
            </w:tcMar>
            <w:vAlign w:val="center"/>
          </w:tcPr>
          <w:p>
            <w:pPr>
              <w:pStyle w:val="TableContents"/>
              <w:bidi w:val="0"/>
              <w:spacing w:before="0" w:after="283"/>
              <w:jc w:val="left"/>
              <w:rPr/>
            </w:pPr>
            <w:r>
              <w:rPr/>
              <w:t> </w:t>
            </w:r>
          </w:p>
        </w:tc>
        <w:tc>
          <w:tcPr>
            <w:tcW w:w="957" w:type="dxa"/>
            <w:tcBorders/>
            <w:shd w:fill="CCEEFF" w:val="clear"/>
            <w:tcMar>
              <w:bottom w:w="0" w:type="dxa"/>
            </w:tcMar>
            <w:vAlign w:val="center"/>
          </w:tcPr>
          <w:p>
            <w:pPr>
              <w:pStyle w:val="TableContents"/>
              <w:bidi w:val="0"/>
              <w:spacing w:before="0" w:after="283"/>
              <w:jc w:val="left"/>
              <w:rPr/>
            </w:pPr>
            <w:r>
              <w:rPr/>
              <w:t> </w:t>
            </w:r>
          </w:p>
        </w:tc>
        <w:tc>
          <w:tcPr>
            <w:tcW w:w="185" w:type="dxa"/>
            <w:tcBorders/>
            <w:shd w:fill="CCEEFF" w:val="clear"/>
            <w:tcMar>
              <w:bottom w:w="0" w:type="dxa"/>
            </w:tcMar>
            <w:vAlign w:val="center"/>
          </w:tcPr>
          <w:p>
            <w:pPr>
              <w:pStyle w:val="TableContents"/>
              <w:bidi w:val="0"/>
              <w:spacing w:before="0" w:after="283"/>
              <w:jc w:val="left"/>
              <w:rPr/>
            </w:pPr>
            <w:r>
              <w:rPr/>
              <w:t> </w:t>
            </w:r>
          </w:p>
        </w:tc>
        <w:tc>
          <w:tcPr>
            <w:tcW w:w="60" w:type="dxa"/>
            <w:tcBorders/>
            <w:shd w:fill="CCEEFF" w:val="clear"/>
            <w:tcMar>
              <w:bottom w:w="0" w:type="dxa"/>
            </w:tcMar>
            <w:vAlign w:val="center"/>
          </w:tcPr>
          <w:p>
            <w:pPr>
              <w:pStyle w:val="TableContents"/>
              <w:bidi w:val="0"/>
              <w:spacing w:before="0" w:after="283"/>
              <w:jc w:val="left"/>
              <w:rPr/>
            </w:pPr>
            <w:r>
              <w:rPr/>
              <w:t> </w:t>
            </w:r>
          </w:p>
        </w:tc>
        <w:tc>
          <w:tcPr>
            <w:tcW w:w="278" w:type="dxa"/>
            <w:tcBorders/>
            <w:shd w:fill="CCEEFF" w:val="clear"/>
            <w:tcMar>
              <w:bottom w:w="0" w:type="dxa"/>
            </w:tcMar>
            <w:vAlign w:val="center"/>
          </w:tcPr>
          <w:p>
            <w:pPr>
              <w:pStyle w:val="TableContents"/>
              <w:bidi w:val="0"/>
              <w:spacing w:before="0" w:after="283"/>
              <w:jc w:val="left"/>
              <w:rPr/>
            </w:pPr>
            <w:r>
              <w:rPr/>
              <w:t> </w:t>
            </w:r>
          </w:p>
        </w:tc>
        <w:tc>
          <w:tcPr>
            <w:tcW w:w="1316" w:type="dxa"/>
            <w:tcBorders/>
            <w:shd w:fill="CCEEFF" w:val="clear"/>
            <w:tcMar>
              <w:bottom w:w="0" w:type="dxa"/>
            </w:tcMar>
            <w:vAlign w:val="center"/>
          </w:tcPr>
          <w:p>
            <w:pPr>
              <w:pStyle w:val="TableContents"/>
              <w:bidi w:val="0"/>
              <w:spacing w:before="0" w:after="283"/>
              <w:jc w:val="left"/>
              <w:rPr/>
            </w:pPr>
            <w:r>
              <w:rPr/>
              <w:t> </w:t>
            </w:r>
          </w:p>
        </w:tc>
        <w:tc>
          <w:tcPr>
            <w:tcW w:w="200" w:type="dxa"/>
            <w:tcBorders/>
            <w:shd w:fill="CCEEFF" w:val="clear"/>
            <w:tcMar>
              <w:bottom w:w="0" w:type="dxa"/>
            </w:tcMar>
            <w:vAlign w:val="center"/>
          </w:tcPr>
          <w:p>
            <w:pPr>
              <w:pStyle w:val="TableContents"/>
              <w:bidi w:val="0"/>
              <w:spacing w:before="0" w:after="283"/>
              <w:ind w:left="0" w:right="0" w:hanging="0"/>
              <w:jc w:val="left"/>
              <w:rPr/>
            </w:pPr>
            <w:r>
              <w:rPr/>
              <w:t> </w:t>
            </w:r>
          </w:p>
        </w:tc>
      </w:tr>
      <w:tr>
        <w:trPr/>
        <w:tc>
          <w:tcPr>
            <w:tcW w:w="4810" w:type="dxa"/>
            <w:gridSpan w:val="2"/>
            <w:tcBorders/>
            <w:shd w:fill="FFFFFF" w:val="clear"/>
            <w:tcMar>
              <w:bottom w:w="0" w:type="dxa"/>
            </w:tcM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FFFFFF" w:val="clear"/>
            <w:tcMar>
              <w:bottom w:w="0" w:type="dxa"/>
            </w:tcMar>
            <w:vAlign w:val="center"/>
          </w:tcPr>
          <w:p>
            <w:pPr>
              <w:pStyle w:val="TableContents"/>
              <w:bidi w:val="0"/>
              <w:spacing w:before="0" w:after="283"/>
              <w:jc w:val="left"/>
              <w:rPr/>
            </w:pPr>
            <w:r>
              <w:rPr/>
              <w:t> </w:t>
            </w:r>
          </w:p>
        </w:tc>
        <w:tc>
          <w:tcPr>
            <w:tcW w:w="202" w:type="dxa"/>
            <w:tcBorders/>
            <w:shd w:fill="FFFFFF" w:val="clear"/>
            <w:tcMar>
              <w:bottom w:w="0" w:type="dxa"/>
            </w:tcMar>
            <w:vAlign w:val="center"/>
          </w:tcPr>
          <w:p>
            <w:pPr>
              <w:pStyle w:val="TableContents"/>
              <w:bidi w:val="0"/>
              <w:spacing w:before="0" w:after="283"/>
              <w:ind w:left="0" w:right="0" w:hanging="0"/>
              <w:jc w:val="left"/>
              <w:rPr/>
            </w:pPr>
            <w:r>
              <w:rPr/>
              <w:t> </w:t>
            </w:r>
          </w:p>
        </w:tc>
        <w:tc>
          <w:tcPr>
            <w:tcW w:w="957"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185"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tcMar>
              <w:bottom w:w="0" w:type="dxa"/>
            </w:tcMar>
            <w:vAlign w:val="center"/>
          </w:tcPr>
          <w:p>
            <w:pPr>
              <w:pStyle w:val="TableContents"/>
              <w:bidi w:val="0"/>
              <w:spacing w:before="0" w:after="283"/>
              <w:jc w:val="left"/>
              <w:rPr/>
            </w:pPr>
            <w:r>
              <w:rPr/>
              <w:t> </w:t>
            </w:r>
          </w:p>
        </w:tc>
        <w:tc>
          <w:tcPr>
            <w:tcW w:w="278" w:type="dxa"/>
            <w:tcBorders/>
            <w:shd w:fill="FFFFFF" w:val="clear"/>
            <w:tcMar>
              <w:bottom w:w="0" w:type="dxa"/>
            </w:tcMar>
            <w:vAlign w:val="center"/>
          </w:tcPr>
          <w:p>
            <w:pPr>
              <w:pStyle w:val="TableContents"/>
              <w:bidi w:val="0"/>
              <w:spacing w:before="0" w:after="283"/>
              <w:ind w:left="0" w:right="0" w:hanging="0"/>
              <w:jc w:val="left"/>
              <w:rPr/>
            </w:pPr>
            <w:r>
              <w:rPr/>
              <w:t> </w:t>
            </w:r>
          </w:p>
        </w:tc>
        <w:tc>
          <w:tcPr>
            <w:tcW w:w="1316" w:type="dxa"/>
            <w:tcBorders/>
            <w:shd w:fill="FFFFFF" w:val="clear"/>
            <w:tcMar>
              <w:bottom w:w="0"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w:t>
            </w:r>
          </w:p>
        </w:tc>
        <w:tc>
          <w:tcPr>
            <w:tcW w:w="200" w:type="dxa"/>
            <w:tcBorders/>
            <w:shd w:fill="FFFFFF" w:val="clear"/>
            <w:tcMar>
              <w:bottom w:w="0" w:type="dxa"/>
            </w:tcM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Notes to Unaudited Condensed Consolidated Financial Statements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283"/>
        <w:jc w:val="left"/>
        <w:rPr/>
      </w:pPr>
      <w:r>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The components of lease expense were as follows:</w:t>
      </w:r>
    </w:p>
    <w:p>
      <w:pPr>
        <w:pStyle w:val="TextBody"/>
        <w:bidi w:val="0"/>
        <w:spacing w:before="0" w:after="0"/>
        <w:ind w:left="560" w:right="0" w:hanging="0"/>
        <w:jc w:val="left"/>
        <w:rPr>
          <w:caps w:val="false"/>
          <w:smallCaps w:val="false"/>
        </w:rPr>
      </w:pPr>
      <w:r>
        <w:rPr>
          <w:caps w:val="false"/>
          <w:smallCaps w:val="false"/>
        </w:rPr>
        <w:t> </w:t>
      </w:r>
    </w:p>
    <w:tbl>
      <w:tblPr>
        <w:tblW w:w="7571" w:type="dxa"/>
        <w:jc w:val="left"/>
        <w:tblInd w:w="0" w:type="dxa"/>
        <w:tblLayout w:type="fixed"/>
        <w:tblCellMar>
          <w:top w:w="0" w:type="dxa"/>
          <w:left w:w="0" w:type="dxa"/>
          <w:bottom w:w="0" w:type="dxa"/>
          <w:right w:w="0" w:type="dxa"/>
        </w:tblCellMar>
      </w:tblPr>
      <w:tblGrid>
        <w:gridCol w:w="2390"/>
        <w:gridCol w:w="60"/>
        <w:gridCol w:w="237"/>
        <w:gridCol w:w="922"/>
        <w:gridCol w:w="77"/>
        <w:gridCol w:w="77"/>
        <w:gridCol w:w="237"/>
        <w:gridCol w:w="922"/>
        <w:gridCol w:w="60"/>
        <w:gridCol w:w="60"/>
        <w:gridCol w:w="237"/>
        <w:gridCol w:w="922"/>
        <w:gridCol w:w="68"/>
        <w:gridCol w:w="68"/>
        <w:gridCol w:w="237"/>
        <w:gridCol w:w="922"/>
        <w:gridCol w:w="75"/>
      </w:tblGrid>
      <w:tr>
        <w:trPr/>
        <w:tc>
          <w:tcPr>
            <w:tcW w:w="23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7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5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75" w:type="dxa"/>
            <w:tcBorders/>
            <w:vAlign w:val="center"/>
          </w:tcPr>
          <w:p>
            <w:pPr>
              <w:pStyle w:val="TableContents"/>
              <w:bidi w:val="0"/>
              <w:spacing w:before="0" w:after="283"/>
              <w:ind w:left="0" w:right="0" w:hanging="0"/>
              <w:jc w:val="left"/>
              <w:rPr/>
            </w:pPr>
            <w:r>
              <w:rPr/>
              <w:t> </w:t>
            </w:r>
          </w:p>
        </w:tc>
      </w:tr>
      <w:tr>
        <w:trPr/>
        <w:tc>
          <w:tcPr>
            <w:tcW w:w="239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77" w:type="dxa"/>
            <w:tcBorders>
              <w:bottom w:val="single" w:sz="2" w:space="0" w:color="000000"/>
            </w:tcBorders>
            <w:tcMar>
              <w:bottom w:w="28" w:type="dxa"/>
            </w:tcMar>
            <w:vAlign w:val="center"/>
          </w:tcPr>
          <w:p>
            <w:pPr>
              <w:pStyle w:val="TableContents"/>
              <w:bidi w:val="0"/>
              <w:spacing w:before="0" w:after="283"/>
              <w:jc w:val="left"/>
              <w:rPr/>
            </w:pPr>
            <w:r>
              <w:rPr/>
              <w:t> </w:t>
            </w:r>
          </w:p>
        </w:tc>
        <w:tc>
          <w:tcPr>
            <w:tcW w:w="77"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8" w:type="dxa"/>
            <w:tcBorders>
              <w:bottom w:val="single" w:sz="2" w:space="0" w:color="000000"/>
            </w:tcBorders>
            <w:tcMar>
              <w:bottom w:w="28" w:type="dxa"/>
            </w:tcMar>
            <w:vAlign w:val="center"/>
          </w:tcPr>
          <w:p>
            <w:pPr>
              <w:pStyle w:val="TableContents"/>
              <w:bidi w:val="0"/>
              <w:spacing w:before="0" w:after="283"/>
              <w:jc w:val="left"/>
              <w:rPr/>
            </w:pPr>
            <w:r>
              <w:rPr/>
              <w:t> </w:t>
            </w:r>
          </w:p>
        </w:tc>
        <w:tc>
          <w:tcPr>
            <w:tcW w:w="68"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75" w:type="dxa"/>
            <w:tcBorders/>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1,692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3,375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37"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3,020</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Variable lease expense</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504</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650</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1,414</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ind w:left="0" w:right="0" w:hanging="0"/>
              <w:jc w:val="left"/>
              <w:rPr/>
            </w:pPr>
            <w:r>
              <w:rPr/>
              <w:t> </w:t>
            </w:r>
          </w:p>
        </w:tc>
        <w:tc>
          <w:tcPr>
            <w:tcW w:w="922"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1,296</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Short-term operating leases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8</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Finance leases</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7" w:type="dxa"/>
            <w:tcBorders/>
            <w:shd w:fill="FFFFFF" w:val="clear"/>
            <w:vAlign w:val="center"/>
          </w:tcPr>
          <w:p>
            <w:pPr>
              <w:pStyle w:val="TableContents"/>
              <w:bidi w:val="0"/>
              <w:spacing w:before="0" w:after="283"/>
              <w:jc w:val="left"/>
              <w:rPr/>
            </w:pPr>
            <w:r>
              <w:rPr/>
              <w:t> </w:t>
            </w:r>
          </w:p>
        </w:tc>
        <w:tc>
          <w:tcPr>
            <w:tcW w:w="922" w:type="dxa"/>
            <w:tcBorders/>
            <w:shd w:fill="FFFFFF" w:val="clear"/>
            <w:vAlign w:val="center"/>
          </w:tcPr>
          <w:p>
            <w:pPr>
              <w:pStyle w:val="TableContents"/>
              <w:bidi w:val="0"/>
              <w:spacing w:before="0" w:after="283"/>
              <w:jc w:val="left"/>
              <w:rPr/>
            </w:pPr>
            <w:r>
              <w:rPr/>
              <w:t> </w:t>
            </w:r>
          </w:p>
        </w:tc>
        <w:tc>
          <w:tcPr>
            <w:tcW w:w="75" w:type="dxa"/>
            <w:tcBorders/>
            <w:shd w:fill="FFFFFF" w:val="clear"/>
            <w:vAlign w:val="center"/>
          </w:tcPr>
          <w:p>
            <w:pPr>
              <w:pStyle w:val="TableContents"/>
              <w:bidi w:val="0"/>
              <w:spacing w:before="0" w:after="283"/>
              <w:ind w:left="0" w:right="0" w:hanging="0"/>
              <w:jc w:val="left"/>
              <w:rPr/>
            </w:pPr>
            <w:r>
              <w:rPr/>
              <w:t> </w:t>
            </w:r>
          </w:p>
        </w:tc>
      </w:tr>
      <w:tr>
        <w:trPr/>
        <w:tc>
          <w:tcPr>
            <w:tcW w:w="2390" w:type="dxa"/>
            <w:tcBorders/>
            <w:shd w:fill="CCEE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leased assets</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12</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jc w:val="left"/>
              <w:rPr/>
            </w:pPr>
            <w:r>
              <w:rPr/>
              <w:t> </w:t>
            </w:r>
          </w:p>
        </w:tc>
        <w:tc>
          <w:tcPr>
            <w:tcW w:w="237" w:type="dxa"/>
            <w:tcBorders/>
            <w:shd w:fill="CCEEFF" w:val="clear"/>
            <w:vAlign w:val="center"/>
          </w:tcPr>
          <w:p>
            <w:pPr>
              <w:pStyle w:val="TableContents"/>
              <w:bidi w:val="0"/>
              <w:spacing w:before="0" w:after="283"/>
              <w:ind w:left="0" w:right="0" w:hanging="0"/>
              <w:jc w:val="left"/>
              <w:rPr/>
            </w:pPr>
            <w:r>
              <w:rPr/>
              <w:t> </w:t>
            </w:r>
          </w:p>
        </w:tc>
        <w:tc>
          <w:tcPr>
            <w:tcW w:w="922"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41</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2390" w:type="dxa"/>
            <w:tcBorders/>
            <w:shd w:fill="FFFFFF" w:val="clear"/>
            <w:vAlign w:val="center"/>
          </w:tcPr>
          <w:p>
            <w:pPr>
              <w:pStyle w:val="TableContents"/>
              <w:bidi w:val="0"/>
              <w:spacing w:before="0" w:after="0"/>
              <w:ind w:left="36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Interest on lease liabilities</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77" w:type="dxa"/>
            <w:tcBorders/>
            <w:shd w:fill="FFFFFF" w:val="clear"/>
            <w:vAlign w:val="center"/>
          </w:tcPr>
          <w:p>
            <w:pPr>
              <w:pStyle w:val="TableContents"/>
              <w:bidi w:val="0"/>
              <w:spacing w:before="0" w:after="283"/>
              <w:jc w:val="left"/>
              <w:rPr/>
            </w:pPr>
            <w:r>
              <w:rPr/>
              <w:t> </w:t>
            </w:r>
          </w:p>
        </w:tc>
        <w:tc>
          <w:tcPr>
            <w:tcW w:w="77"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8" w:type="dxa"/>
            <w:tcBorders/>
            <w:shd w:fill="FFFFFF" w:val="clear"/>
            <w:vAlign w:val="center"/>
          </w:tcPr>
          <w:p>
            <w:pPr>
              <w:pStyle w:val="TableContents"/>
              <w:bidi w:val="0"/>
              <w:spacing w:before="0" w:after="283"/>
              <w:jc w:val="left"/>
              <w:rPr/>
            </w:pPr>
            <w:r>
              <w:rPr/>
              <w:t> </w:t>
            </w:r>
          </w:p>
        </w:tc>
        <w:tc>
          <w:tcPr>
            <w:tcW w:w="68" w:type="dxa"/>
            <w:tcBorders/>
            <w:shd w:fill="FFFFFF" w:val="clear"/>
            <w:vAlign w:val="center"/>
          </w:tcPr>
          <w:p>
            <w:pPr>
              <w:pStyle w:val="TableContents"/>
              <w:bidi w:val="0"/>
              <w:spacing w:before="0" w:after="283"/>
              <w:jc w:val="left"/>
              <w:rPr/>
            </w:pPr>
            <w:r>
              <w:rPr/>
              <w:t> </w:t>
            </w:r>
          </w:p>
        </w:tc>
        <w:tc>
          <w:tcPr>
            <w:tcW w:w="237"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922"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w:t>
            </w:r>
          </w:p>
        </w:tc>
        <w:tc>
          <w:tcPr>
            <w:tcW w:w="75" w:type="dxa"/>
            <w:tcBorders/>
            <w:shd w:fill="FFFFFF" w:val="clear"/>
            <w:vAlign w:val="center"/>
          </w:tcPr>
          <w:p>
            <w:pPr>
              <w:pStyle w:val="TableContents"/>
              <w:bidi w:val="0"/>
              <w:spacing w:before="0" w:after="283"/>
              <w:jc w:val="left"/>
              <w:rPr/>
            </w:pPr>
            <w:r>
              <w:rPr/>
              <w:t> </w:t>
            </w:r>
          </w:p>
        </w:tc>
      </w:tr>
      <w:tr>
        <w:trPr/>
        <w:tc>
          <w:tcPr>
            <w:tcW w:w="2390" w:type="dxa"/>
            <w:tcBorders/>
            <w:shd w:fill="CCEEFF" w:val="clear"/>
            <w:vAlign w:val="center"/>
          </w:tcPr>
          <w:p>
            <w:pPr>
              <w:pStyle w:val="TableContents"/>
              <w:bidi w:val="0"/>
              <w:spacing w:before="0" w:after="0"/>
              <w:ind w:left="72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lease cost</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2,216</w:t>
            </w:r>
          </w:p>
        </w:tc>
        <w:tc>
          <w:tcPr>
            <w:tcW w:w="77"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4,830</w:t>
            </w:r>
          </w:p>
        </w:tc>
        <w:tc>
          <w:tcPr>
            <w:tcW w:w="68" w:type="dxa"/>
            <w:tcBorders/>
            <w:shd w:fill="CCEEFF" w:val="clear"/>
            <w:vAlign w:val="center"/>
          </w:tcPr>
          <w:p>
            <w:pPr>
              <w:pStyle w:val="TableContents"/>
              <w:bidi w:val="0"/>
              <w:spacing w:before="0" w:after="283"/>
              <w:jc w:val="left"/>
              <w:rPr/>
            </w:pPr>
            <w:r>
              <w:rPr/>
              <w:t> </w:t>
            </w:r>
          </w:p>
        </w:tc>
        <w:tc>
          <w:tcPr>
            <w:tcW w:w="68" w:type="dxa"/>
            <w:tcBorders/>
            <w:shd w:fill="CCEEFF" w:val="clear"/>
            <w:vAlign w:val="center"/>
          </w:tcPr>
          <w:p>
            <w:pPr>
              <w:pStyle w:val="TableContents"/>
              <w:bidi w:val="0"/>
              <w:spacing w:before="0" w:after="283"/>
              <w:ind w:left="0" w:right="0" w:hanging="0"/>
              <w:jc w:val="left"/>
              <w:rPr/>
            </w:pPr>
            <w:r>
              <w:rPr/>
              <w:t> </w:t>
            </w:r>
          </w:p>
        </w:tc>
        <w:tc>
          <w:tcPr>
            <w:tcW w:w="237"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2"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4,387</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460"/>
        <w:jc w:val="left"/>
        <w:rPr>
          <w:rFonts w:ascii="Times New Roman" w:hAnsi="Times New Roman"/>
          <w:caps w:val="false"/>
          <w:smallCaps w:val="false"/>
          <w:sz w:val="20"/>
        </w:rPr>
      </w:pPr>
      <w:r>
        <w:rPr>
          <w:rFonts w:ascii="Times New Roman" w:hAnsi="Times New Roman"/>
          <w:caps w:val="false"/>
          <w:smallCaps w:val="false"/>
          <w:sz w:val="20"/>
        </w:rPr>
        <w:t>Supplemental cash flow information related to leases was as follows:</w:t>
      </w:r>
    </w:p>
    <w:p>
      <w:pPr>
        <w:pStyle w:val="TextBody"/>
        <w:bidi w:val="0"/>
        <w:spacing w:before="0" w:after="0"/>
        <w:ind w:left="0" w:right="0" w:hanging="0"/>
        <w:jc w:val="left"/>
        <w:rPr>
          <w:caps w:val="false"/>
          <w:smallCaps w:val="false"/>
        </w:rPr>
      </w:pPr>
      <w:r>
        <w:rPr>
          <w:caps w:val="false"/>
          <w:smallCaps w:val="false"/>
        </w:rPr>
        <w:t> </w:t>
      </w:r>
    </w:p>
    <w:tbl>
      <w:tblPr>
        <w:tblW w:w="8359" w:type="dxa"/>
        <w:jc w:val="left"/>
        <w:tblInd w:w="0" w:type="dxa"/>
        <w:tblLayout w:type="fixed"/>
        <w:tblCellMar>
          <w:top w:w="0" w:type="dxa"/>
          <w:left w:w="0" w:type="dxa"/>
          <w:bottom w:w="0" w:type="dxa"/>
          <w:right w:w="0" w:type="dxa"/>
        </w:tblCellMar>
      </w:tblPr>
      <w:tblGrid>
        <w:gridCol w:w="5780"/>
        <w:gridCol w:w="60"/>
        <w:gridCol w:w="236"/>
        <w:gridCol w:w="923"/>
        <w:gridCol w:w="63"/>
        <w:gridCol w:w="63"/>
        <w:gridCol w:w="202"/>
        <w:gridCol w:w="957"/>
        <w:gridCol w:w="75"/>
      </w:tblGrid>
      <w:tr>
        <w:trPr/>
        <w:tc>
          <w:tcPr>
            <w:tcW w:w="57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2444"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75" w:type="dxa"/>
            <w:tcBorders/>
            <w:vAlign w:val="center"/>
          </w:tcPr>
          <w:p>
            <w:pPr>
              <w:pStyle w:val="TableContents"/>
              <w:bidi w:val="0"/>
              <w:spacing w:before="0" w:after="283"/>
              <w:ind w:left="0" w:right="0" w:hanging="0"/>
              <w:jc w:val="left"/>
              <w:rPr/>
            </w:pPr>
            <w:r>
              <w:rPr/>
              <w:t> </w:t>
            </w:r>
          </w:p>
        </w:tc>
      </w:tr>
      <w:tr>
        <w:trPr/>
        <w:tc>
          <w:tcPr>
            <w:tcW w:w="578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 2026</w:t>
            </w:r>
          </w:p>
        </w:tc>
        <w:tc>
          <w:tcPr>
            <w:tcW w:w="63" w:type="dxa"/>
            <w:tcBorders>
              <w:bottom w:val="single" w:sz="2" w:space="0" w:color="000000"/>
            </w:tcBorders>
            <w:tcMar>
              <w:bottom w:w="28" w:type="dxa"/>
            </w:tcMar>
            <w:vAlign w:val="center"/>
          </w:tcPr>
          <w:p>
            <w:pPr>
              <w:pStyle w:val="TableContents"/>
              <w:bidi w:val="0"/>
              <w:spacing w:before="0" w:after="283"/>
              <w:jc w:val="left"/>
              <w:rPr/>
            </w:pPr>
            <w:r>
              <w:rPr/>
              <w:t> </w:t>
            </w:r>
          </w:p>
        </w:tc>
        <w:tc>
          <w:tcPr>
            <w:tcW w:w="6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5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 2025</w:t>
            </w:r>
          </w:p>
        </w:tc>
        <w:tc>
          <w:tcPr>
            <w:tcW w:w="75" w:type="dxa"/>
            <w:tcBorders/>
            <w:vAlign w:val="center"/>
          </w:tcPr>
          <w:p>
            <w:pPr>
              <w:pStyle w:val="TableContents"/>
              <w:bidi w:val="0"/>
              <w:spacing w:before="0" w:after="283"/>
              <w:ind w:left="0" w:right="0" w:hanging="0"/>
              <w:jc w:val="left"/>
              <w:rPr/>
            </w:pPr>
            <w:r>
              <w:rPr/>
              <w:t> </w:t>
            </w:r>
          </w:p>
        </w:tc>
      </w:tr>
      <w:tr>
        <w:trPr/>
        <w:tc>
          <w:tcPr>
            <w:tcW w:w="578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paid for amounts included in the measurement of lease liabilities:</w:t>
            </w:r>
          </w:p>
        </w:tc>
        <w:tc>
          <w:tcPr>
            <w:tcW w:w="6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 </w:t>
            </w:r>
          </w:p>
        </w:tc>
        <w:tc>
          <w:tcPr>
            <w:tcW w:w="92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jc w:val="left"/>
              <w:rPr/>
            </w:pPr>
            <w:r>
              <w:rPr/>
              <w:t> </w:t>
            </w:r>
          </w:p>
        </w:tc>
        <w:tc>
          <w:tcPr>
            <w:tcW w:w="202" w:type="dxa"/>
            <w:tcBorders/>
            <w:shd w:fill="CCEEFF" w:val="clear"/>
            <w:vAlign w:val="center"/>
          </w:tcPr>
          <w:p>
            <w:pPr>
              <w:pStyle w:val="TableContents"/>
              <w:bidi w:val="0"/>
              <w:spacing w:before="0" w:after="283"/>
              <w:jc w:val="left"/>
              <w:rPr/>
            </w:pPr>
            <w:r>
              <w:rPr/>
              <w:t> </w:t>
            </w:r>
          </w:p>
        </w:tc>
        <w:tc>
          <w:tcPr>
            <w:tcW w:w="957" w:type="dxa"/>
            <w:tcBorders/>
            <w:shd w:fill="CCEEFF" w:val="clear"/>
            <w:vAlign w:val="center"/>
          </w:tcPr>
          <w:p>
            <w:pPr>
              <w:pStyle w:val="TableContents"/>
              <w:bidi w:val="0"/>
              <w:spacing w:before="0" w:after="283"/>
              <w:jc w:val="lef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5780" w:type="dxa"/>
            <w:tcBorders/>
            <w:shd w:fill="FFFF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 cash flows from operating leases</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3,087</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3,055</w:t>
            </w:r>
          </w:p>
        </w:tc>
        <w:tc>
          <w:tcPr>
            <w:tcW w:w="75" w:type="dxa"/>
            <w:tcBorders/>
            <w:shd w:fill="FFFFFF" w:val="clear"/>
            <w:vAlign w:val="center"/>
          </w:tcPr>
          <w:p>
            <w:pPr>
              <w:pStyle w:val="TableContents"/>
              <w:bidi w:val="0"/>
              <w:spacing w:before="0" w:after="283"/>
              <w:jc w:val="left"/>
              <w:rPr/>
            </w:pPr>
            <w:r>
              <w:rPr/>
              <w:t> </w:t>
            </w:r>
          </w:p>
        </w:tc>
      </w:tr>
      <w:tr>
        <w:trPr/>
        <w:tc>
          <w:tcPr>
            <w:tcW w:w="5780" w:type="dxa"/>
            <w:tcBorders/>
            <w:shd w:fill="CCEEFF" w:val="clear"/>
            <w:vAlign w:val="center"/>
          </w:tcPr>
          <w:p>
            <w:pPr>
              <w:pStyle w:val="TableContents"/>
              <w:bidi w:val="0"/>
              <w:spacing w:before="0" w:after="0"/>
              <w:ind w:left="0" w:right="0" w:firstLine="18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Financing cash flows from finance leases</w:t>
            </w:r>
          </w:p>
        </w:tc>
        <w:tc>
          <w:tcPr>
            <w:tcW w:w="60" w:type="dxa"/>
            <w:tcBorders/>
            <w:shd w:fill="CCEEFF" w:val="clear"/>
            <w:vAlign w:val="center"/>
          </w:tcPr>
          <w:p>
            <w:pPr>
              <w:pStyle w:val="TableContents"/>
              <w:bidi w:val="0"/>
              <w:spacing w:before="0" w:after="283"/>
              <w:ind w:left="0" w:right="0" w:hanging="0"/>
              <w:jc w:val="left"/>
              <w:rPr/>
            </w:pPr>
            <w:r>
              <w:rPr/>
              <w:t> </w:t>
            </w:r>
          </w:p>
        </w:tc>
        <w:tc>
          <w:tcPr>
            <w:tcW w:w="236"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3" w:type="dxa"/>
            <w:tcBorders/>
            <w:shd w:fill="CCEEFF" w:val="clear"/>
            <w:vAlign w:val="center"/>
          </w:tcPr>
          <w:p>
            <w:pPr>
              <w:pStyle w:val="TableContents"/>
              <w:bidi w:val="0"/>
              <w:spacing w:before="0" w:after="283"/>
              <w:jc w:val="left"/>
              <w:rPr/>
            </w:pPr>
            <w:r>
              <w:rPr/>
              <w:t> </w:t>
            </w:r>
          </w:p>
        </w:tc>
        <w:tc>
          <w:tcPr>
            <w:tcW w:w="63" w:type="dxa"/>
            <w:tcBorders/>
            <w:shd w:fill="CCEEFF" w:val="clear"/>
            <w:vAlign w:val="center"/>
          </w:tcPr>
          <w:p>
            <w:pPr>
              <w:pStyle w:val="TableContents"/>
              <w:bidi w:val="0"/>
              <w:spacing w:before="0" w:after="283"/>
              <w:ind w:left="0" w:right="0" w:hanging="0"/>
              <w:jc w:val="left"/>
              <w:rPr/>
            </w:pPr>
            <w:r>
              <w:rPr/>
              <w:t> </w:t>
            </w:r>
          </w:p>
        </w:tc>
        <w:tc>
          <w:tcPr>
            <w:tcW w:w="20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w:t>
            </w:r>
          </w:p>
        </w:tc>
        <w:tc>
          <w:tcPr>
            <w:tcW w:w="75" w:type="dxa"/>
            <w:tcBorders/>
            <w:shd w:fill="CCEEFF" w:val="clear"/>
            <w:vAlign w:val="center"/>
          </w:tcPr>
          <w:p>
            <w:pPr>
              <w:pStyle w:val="TableContents"/>
              <w:bidi w:val="0"/>
              <w:spacing w:before="0" w:after="283"/>
              <w:ind w:left="0" w:right="0" w:hanging="0"/>
              <w:jc w:val="left"/>
              <w:rPr/>
            </w:pPr>
            <w:r>
              <w:rPr/>
              <w:t> </w:t>
            </w:r>
          </w:p>
        </w:tc>
      </w:tr>
      <w:tr>
        <w:trPr/>
        <w:tc>
          <w:tcPr>
            <w:tcW w:w="578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Leased assets obtained in exchange for new operating lease liabilities</w:t>
            </w:r>
          </w:p>
        </w:tc>
        <w:tc>
          <w:tcPr>
            <w:tcW w:w="60" w:type="dxa"/>
            <w:tcBorders/>
            <w:shd w:fill="FFFFFF" w:val="clear"/>
            <w:vAlign w:val="center"/>
          </w:tcPr>
          <w:p>
            <w:pPr>
              <w:pStyle w:val="TableContents"/>
              <w:bidi w:val="0"/>
              <w:spacing w:before="0" w:after="283"/>
              <w:ind w:left="0" w:right="0" w:hanging="0"/>
              <w:jc w:val="left"/>
              <w:rPr/>
            </w:pPr>
            <w:r>
              <w:rPr/>
              <w:t> </w:t>
            </w:r>
          </w:p>
        </w:tc>
        <w:tc>
          <w:tcPr>
            <w:tcW w:w="236"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2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1,155</w:t>
            </w:r>
          </w:p>
        </w:tc>
        <w:tc>
          <w:tcPr>
            <w:tcW w:w="63" w:type="dxa"/>
            <w:tcBorders/>
            <w:shd w:fill="FFFFFF" w:val="clear"/>
            <w:vAlign w:val="center"/>
          </w:tcPr>
          <w:p>
            <w:pPr>
              <w:pStyle w:val="TableContents"/>
              <w:bidi w:val="0"/>
              <w:spacing w:before="0" w:after="283"/>
              <w:jc w:val="left"/>
              <w:rPr/>
            </w:pPr>
            <w:r>
              <w:rPr/>
              <w:t> </w:t>
            </w:r>
          </w:p>
        </w:tc>
        <w:tc>
          <w:tcPr>
            <w:tcW w:w="63" w:type="dxa"/>
            <w:tcBorders/>
            <w:shd w:fill="FFFFFF" w:val="clear"/>
            <w:vAlign w:val="center"/>
          </w:tcPr>
          <w:p>
            <w:pPr>
              <w:pStyle w:val="TableContents"/>
              <w:bidi w:val="0"/>
              <w:spacing w:before="0" w:after="283"/>
              <w:ind w:left="0" w:right="0" w:hanging="0"/>
              <w:jc w:val="left"/>
              <w:rPr/>
            </w:pPr>
            <w:r>
              <w:rPr/>
              <w:t> </w:t>
            </w:r>
          </w:p>
        </w:tc>
        <w:tc>
          <w:tcPr>
            <w:tcW w:w="202"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20,990</w:t>
            </w:r>
          </w:p>
        </w:tc>
        <w:tc>
          <w:tcPr>
            <w:tcW w:w="75"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Future minimum lease payments on June 27, 2026, are as follows:</w:t>
      </w:r>
    </w:p>
    <w:p>
      <w:pPr>
        <w:pStyle w:val="TextBody"/>
        <w:bidi w:val="0"/>
        <w:spacing w:before="0" w:after="0"/>
        <w:ind w:left="0" w:right="0" w:hanging="0"/>
        <w:jc w:val="left"/>
        <w:rPr>
          <w:caps w:val="false"/>
          <w:smallCaps w:val="false"/>
        </w:rPr>
      </w:pPr>
      <w:r>
        <w:rPr>
          <w:caps w:val="false"/>
          <w:smallCaps w:val="false"/>
        </w:rPr>
        <w:t> </w:t>
      </w:r>
    </w:p>
    <w:tbl>
      <w:tblPr>
        <w:tblW w:w="5285" w:type="dxa"/>
        <w:jc w:val="left"/>
        <w:tblInd w:w="0" w:type="dxa"/>
        <w:tblLayout w:type="fixed"/>
        <w:tblCellMar>
          <w:top w:w="0" w:type="dxa"/>
          <w:left w:w="0" w:type="dxa"/>
          <w:bottom w:w="0" w:type="dxa"/>
          <w:right w:w="0" w:type="dxa"/>
        </w:tblCellMar>
      </w:tblPr>
      <w:tblGrid>
        <w:gridCol w:w="2600"/>
        <w:gridCol w:w="60"/>
        <w:gridCol w:w="133"/>
        <w:gridCol w:w="697"/>
        <w:gridCol w:w="80"/>
        <w:gridCol w:w="60"/>
        <w:gridCol w:w="405"/>
        <w:gridCol w:w="260"/>
        <w:gridCol w:w="60"/>
        <w:gridCol w:w="60"/>
        <w:gridCol w:w="125"/>
        <w:gridCol w:w="650"/>
        <w:gridCol w:w="95"/>
      </w:tblGrid>
      <w:tr>
        <w:trPr/>
        <w:tc>
          <w:tcPr>
            <w:tcW w:w="26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3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Operating</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6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Finance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center"/>
              <w:rPr/>
            </w:pPr>
            <w:r>
              <w:rPr/>
              <w:t> </w:t>
            </w:r>
          </w:p>
        </w:tc>
        <w:tc>
          <w:tcPr>
            <w:tcW w:w="95" w:type="dxa"/>
            <w:tcBorders/>
            <w:vAlign w:val="center"/>
          </w:tcPr>
          <w:p>
            <w:pPr>
              <w:pStyle w:val="TableContents"/>
              <w:bidi w:val="0"/>
              <w:spacing w:before="0" w:after="283"/>
              <w:ind w:left="0" w:right="0" w:hanging="0"/>
              <w:jc w:val="left"/>
              <w:rPr/>
            </w:pPr>
            <w:r>
              <w:rPr/>
              <w:t> </w:t>
            </w:r>
          </w:p>
        </w:tc>
      </w:tr>
      <w:tr>
        <w:trPr/>
        <w:tc>
          <w:tcPr>
            <w:tcW w:w="26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3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8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6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leases</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7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Total</w:t>
            </w:r>
          </w:p>
        </w:tc>
        <w:tc>
          <w:tcPr>
            <w:tcW w:w="95" w:type="dxa"/>
            <w:tcBorders/>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3,390</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2027</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5,627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2028</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4,609</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4,609</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2029</w:t>
            </w:r>
          </w:p>
        </w:tc>
        <w:tc>
          <w:tcPr>
            <w:tcW w:w="60" w:type="dxa"/>
            <w:tcBorders/>
            <w:shd w:fill="FFFFFF" w:val="clear"/>
            <w:vAlign w:val="center"/>
          </w:tcPr>
          <w:p>
            <w:pPr>
              <w:pStyle w:val="TableContents"/>
              <w:bidi w:val="0"/>
              <w:spacing w:before="0" w:after="283"/>
              <w:jc w:val="left"/>
              <w:rPr/>
            </w:pPr>
            <w:r>
              <w:rPr/>
              <w:t> </w:t>
            </w:r>
          </w:p>
        </w:tc>
        <w:tc>
          <w:tcPr>
            <w:tcW w:w="133" w:type="dxa"/>
            <w:tcBorders/>
            <w:shd w:fill="FFFFFF" w:val="clear"/>
            <w:vAlign w:val="center"/>
          </w:tcPr>
          <w:p>
            <w:pPr>
              <w:pStyle w:val="TableContents"/>
              <w:bidi w:val="0"/>
              <w:spacing w:before="0" w:after="283"/>
              <w:ind w:left="0" w:right="0" w:hanging="0"/>
              <w:jc w:val="left"/>
              <w:rPr/>
            </w:pPr>
            <w:r>
              <w:rPr/>
              <w:t> </w:t>
            </w:r>
          </w:p>
        </w:tc>
        <w:tc>
          <w:tcPr>
            <w:tcW w:w="697"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shd w:fill="FFFFFF" w:val="clear"/>
            <w:vAlign w:val="center"/>
          </w:tcPr>
          <w:p>
            <w:pPr>
              <w:pStyle w:val="TableContents"/>
              <w:bidi w:val="0"/>
              <w:spacing w:before="0" w:after="283"/>
              <w:ind w:left="0" w:right="0" w:hanging="0"/>
              <w:jc w:val="left"/>
              <w:rPr/>
            </w:pPr>
            <w:r>
              <w:rPr/>
              <w:t> </w:t>
            </w:r>
          </w:p>
        </w:tc>
        <w:tc>
          <w:tcPr>
            <w:tcW w:w="26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shd w:fill="FFFFFF" w:val="clear"/>
            <w:vAlign w:val="center"/>
          </w:tcPr>
          <w:p>
            <w:pPr>
              <w:pStyle w:val="TableContents"/>
              <w:bidi w:val="0"/>
              <w:spacing w:before="0" w:after="283"/>
              <w:ind w:left="0" w:right="0" w:hanging="0"/>
              <w:jc w:val="left"/>
              <w:rPr/>
            </w:pPr>
            <w:r>
              <w:rPr/>
              <w:t> </w:t>
            </w:r>
          </w:p>
        </w:tc>
        <w:tc>
          <w:tcPr>
            <w:tcW w:w="65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4,717</w:t>
            </w:r>
          </w:p>
        </w:tc>
        <w:tc>
          <w:tcPr>
            <w:tcW w:w="95" w:type="dxa"/>
            <w:tcBorders/>
            <w:shd w:fill="FFFFFF" w:val="clear"/>
            <w:vAlign w:val="center"/>
          </w:tcPr>
          <w:p>
            <w:pPr>
              <w:pStyle w:val="TableContents"/>
              <w:bidi w:val="0"/>
              <w:spacing w:before="0" w:after="283"/>
              <w:ind w:left="0" w:right="0" w:hanging="0"/>
              <w:jc w:val="left"/>
              <w:rPr/>
            </w:pPr>
            <w:r>
              <w:rPr/>
              <w:t> </w:t>
            </w:r>
          </w:p>
        </w:tc>
      </w:tr>
      <w:tr>
        <w:trPr/>
        <w:tc>
          <w:tcPr>
            <w:tcW w:w="26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2030</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4,872</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4,872</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Thereafter</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23,503</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23,503</w:t>
            </w:r>
          </w:p>
        </w:tc>
        <w:tc>
          <w:tcPr>
            <w:tcW w:w="95" w:type="dxa"/>
            <w:tcBorders/>
            <w:shd w:fill="FFFFFF" w:val="clear"/>
            <w:vAlign w:val="center"/>
          </w:tcPr>
          <w:p>
            <w:pPr>
              <w:pStyle w:val="TableContents"/>
              <w:bidi w:val="0"/>
              <w:spacing w:before="0" w:after="283"/>
              <w:jc w:val="left"/>
              <w:rPr/>
            </w:pPr>
            <w:r>
              <w:rPr/>
              <w:t> </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Total lease payments</w:t>
            </w:r>
          </w:p>
        </w:tc>
        <w:tc>
          <w:tcPr>
            <w:tcW w:w="60" w:type="dxa"/>
            <w:tcBorders/>
            <w:shd w:fill="CCEEFF" w:val="clear"/>
            <w:vAlign w:val="center"/>
          </w:tcPr>
          <w:p>
            <w:pPr>
              <w:pStyle w:val="TableContents"/>
              <w:bidi w:val="0"/>
              <w:spacing w:before="0" w:after="283"/>
              <w:jc w:val="left"/>
              <w:rPr/>
            </w:pPr>
            <w:r>
              <w:rPr/>
              <w:t> </w:t>
            </w:r>
          </w:p>
        </w:tc>
        <w:tc>
          <w:tcPr>
            <w:tcW w:w="133" w:type="dxa"/>
            <w:tcBorders/>
            <w:shd w:fill="CCEEFF" w:val="clear"/>
            <w:vAlign w:val="center"/>
          </w:tcPr>
          <w:p>
            <w:pPr>
              <w:pStyle w:val="TableContents"/>
              <w:bidi w:val="0"/>
              <w:spacing w:before="0" w:after="283"/>
              <w:ind w:left="0" w:right="0" w:hanging="0"/>
              <w:jc w:val="left"/>
              <w:rPr/>
            </w:pPr>
            <w:r>
              <w:rPr/>
              <w:t> </w:t>
            </w:r>
          </w:p>
        </w:tc>
        <w:tc>
          <w:tcPr>
            <w:tcW w:w="697"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46,718</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05" w:type="dxa"/>
            <w:tcBorders/>
            <w:shd w:fill="CCEEFF" w:val="clear"/>
            <w:vAlign w:val="center"/>
          </w:tcPr>
          <w:p>
            <w:pPr>
              <w:pStyle w:val="TableContents"/>
              <w:bidi w:val="0"/>
              <w:spacing w:before="0" w:after="283"/>
              <w:ind w:left="0" w:right="0" w:hanging="0"/>
              <w:jc w:val="left"/>
              <w:rPr/>
            </w:pPr>
            <w:r>
              <w:rPr/>
              <w:t> </w:t>
            </w:r>
          </w:p>
        </w:tc>
        <w:tc>
          <w:tcPr>
            <w:tcW w:w="26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25" w:type="dxa"/>
            <w:tcBorders/>
            <w:shd w:fill="CCEEFF" w:val="clear"/>
            <w:vAlign w:val="center"/>
          </w:tcPr>
          <w:p>
            <w:pPr>
              <w:pStyle w:val="TableContents"/>
              <w:bidi w:val="0"/>
              <w:spacing w:before="0" w:after="283"/>
              <w:ind w:left="0" w:right="0" w:hanging="0"/>
              <w:jc w:val="left"/>
              <w:rPr/>
            </w:pPr>
            <w:r>
              <w:rPr/>
              <w:t> </w:t>
            </w:r>
          </w:p>
        </w:tc>
        <w:tc>
          <w:tcPr>
            <w:tcW w:w="65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46,718</w:t>
            </w:r>
          </w:p>
        </w:tc>
        <w:tc>
          <w:tcPr>
            <w:tcW w:w="95" w:type="dxa"/>
            <w:tcBorders/>
            <w:shd w:fill="CCEEFF" w:val="clear"/>
            <w:vAlign w:val="center"/>
          </w:tcPr>
          <w:p>
            <w:pPr>
              <w:pStyle w:val="TableContents"/>
              <w:bidi w:val="0"/>
              <w:spacing w:before="0" w:after="283"/>
              <w:ind w:left="0" w:right="0" w:hanging="0"/>
              <w:jc w:val="left"/>
              <w:rPr/>
            </w:pPr>
            <w:r>
              <w:rPr/>
              <w:t> </w:t>
            </w:r>
          </w:p>
        </w:tc>
      </w:tr>
      <w:tr>
        <w:trPr/>
        <w:tc>
          <w:tcPr>
            <w:tcW w:w="26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Less: Interest</w:t>
            </w:r>
          </w:p>
        </w:tc>
        <w:tc>
          <w:tcPr>
            <w:tcW w:w="60" w:type="dxa"/>
            <w:tcBorders/>
            <w:shd w:fill="FFFFFF" w:val="clear"/>
            <w:vAlign w:val="center"/>
          </w:tcPr>
          <w:p>
            <w:pPr>
              <w:pStyle w:val="TableContents"/>
              <w:bidi w:val="0"/>
              <w:spacing w:before="0" w:after="283"/>
              <w:jc w:val="left"/>
              <w:rPr/>
            </w:pPr>
            <w:r>
              <w:rPr/>
              <w:t> </w:t>
            </w:r>
          </w:p>
        </w:tc>
        <w:tc>
          <w:tcPr>
            <w:tcW w:w="133"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97"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(11,704</w:t>
            </w:r>
          </w:p>
        </w:tc>
        <w:tc>
          <w:tcPr>
            <w:tcW w:w="8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40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26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5"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50"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(11,704</w:t>
            </w:r>
          </w:p>
        </w:tc>
        <w:tc>
          <w:tcPr>
            <w:tcW w:w="9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600" w:type="dxa"/>
            <w:tcBorders/>
            <w:shd w:fill="CCEEFF" w:val="clear"/>
            <w:vAlign w:val="center"/>
          </w:tcPr>
          <w:p>
            <w:pPr>
              <w:pStyle w:val="TableContents"/>
              <w:bidi w:val="0"/>
              <w:spacing w:before="0" w:after="0"/>
              <w:ind w:left="18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Present value of lease liabilities</w:t>
            </w:r>
          </w:p>
        </w:tc>
        <w:tc>
          <w:tcPr>
            <w:tcW w:w="60" w:type="dxa"/>
            <w:tcBorders/>
            <w:shd w:fill="CCEEFF" w:val="clear"/>
            <w:vAlign w:val="center"/>
          </w:tcPr>
          <w:p>
            <w:pPr>
              <w:pStyle w:val="TableContents"/>
              <w:bidi w:val="0"/>
              <w:spacing w:before="0" w:after="283"/>
              <w:ind w:left="0" w:right="0" w:hanging="0"/>
              <w:jc w:val="left"/>
              <w:rPr/>
            </w:pPr>
            <w:r>
              <w:rPr/>
              <w:t> </w:t>
            </w:r>
          </w:p>
        </w:tc>
        <w:tc>
          <w:tcPr>
            <w:tcW w:w="133"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7"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35,014</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40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26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bottom w:val="double" w:sz="6" w:space="0" w:color="000000"/>
            </w:tcBorders>
            <w:shd w:fill="CCEE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50" w:type="dxa"/>
            <w:tcBorders>
              <w:bottom w:val="double" w:sz="6"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35,014</w:t>
            </w:r>
          </w:p>
        </w:tc>
        <w:tc>
          <w:tcPr>
            <w:tcW w:w="95" w:type="dxa"/>
            <w:tcBorders/>
            <w:shd w:fill="CCEE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jc w:val="left"/>
        <w:rPr/>
      </w:pPr>
      <w:r>
        <w:rPr/>
        <w:t> </w:t>
      </w:r>
    </w:p>
    <w:tbl>
      <w:tblPr>
        <w:tblW w:w="1480" w:type="dxa"/>
        <w:jc w:val="left"/>
        <w:tblInd w:w="0" w:type="dxa"/>
        <w:tblLayout w:type="fixed"/>
        <w:tblCellMar>
          <w:top w:w="0" w:type="dxa"/>
          <w:left w:w="0" w:type="dxa"/>
          <w:bottom w:w="0" w:type="dxa"/>
          <w:right w:w="0" w:type="dxa"/>
        </w:tblCellMar>
      </w:tblPr>
      <w:tblGrid>
        <w:gridCol w:w="275"/>
        <w:gridCol w:w="1205"/>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12.</w:t>
            </w:r>
          </w:p>
        </w:tc>
        <w:tc>
          <w:tcPr>
            <w:tcW w:w="120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Contingencies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From time to time we are involved in various legal proceedings, examinations by various tax authorities and claims that have arisen in the ordinary course of our business. The outcome of any litigation is inherently uncertain. While there can be no assurance, we do not believe at the present time that the resolution of these matters will have a material adverse effect on our assets, financial position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29</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1315" w:type="dxa"/>
        <w:jc w:val="left"/>
        <w:tblInd w:w="0" w:type="dxa"/>
        <w:tblLayout w:type="fixed"/>
        <w:tblCellMar>
          <w:top w:w="0" w:type="dxa"/>
          <w:left w:w="0" w:type="dxa"/>
          <w:bottom w:w="0" w:type="dxa"/>
          <w:right w:w="0" w:type="dxa"/>
        </w:tblCellMar>
      </w:tblPr>
      <w:tblGrid>
        <w:gridCol w:w="275"/>
        <w:gridCol w:w="1040"/>
      </w:tblGrid>
      <w:tr>
        <w:trPr/>
        <w:tc>
          <w:tcPr>
            <w:tcW w:w="27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13.</w:t>
            </w:r>
          </w:p>
        </w:tc>
        <w:tc>
          <w:tcPr>
            <w:tcW w:w="1040"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Guarantees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Product Warranty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60" w:right="0" w:hanging="0"/>
        <w:jc w:val="left"/>
        <w:rPr>
          <w:rFonts w:ascii="Times New Roman" w:hAnsi="Times New Roman"/>
          <w:caps w:val="false"/>
          <w:smallCaps w:val="false"/>
          <w:sz w:val="20"/>
        </w:rPr>
      </w:pPr>
      <w:r>
        <w:rPr>
          <w:rFonts w:ascii="Times New Roman" w:hAnsi="Times New Roman"/>
          <w:caps w:val="false"/>
          <w:smallCaps w:val="false"/>
          <w:sz w:val="20"/>
        </w:rPr>
        <w:t>Our products are generally sold with warranty periods that range from 12 to 36 months following sale or acceptance. The product warranty promises customers that delivered products are as specified in the contract (an “assurance-type warranty”). Therefore, we account for such product warranties under ASC 460, and not as a separate performance obligation. Parts and labor are covered under the terms of the warranty agreement. The warranty provision is based on historical and projected experience by product and configuration.</w:t>
      </w:r>
    </w:p>
    <w:p>
      <w:pPr>
        <w:pStyle w:val="TextBody"/>
        <w:bidi w:val="0"/>
        <w:spacing w:before="0" w:after="0"/>
        <w:ind w:left="56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Changes in accrued warranty were as follows (</w:t>
      </w:r>
      <w:r>
        <w:rPr>
          <w:rFonts w:ascii="Times New Roman" w:hAnsi="Times New Roman"/>
          <w:i/>
          <w:caps w:val="false"/>
          <w:smallCaps w:val="false"/>
          <w:sz w:val="20"/>
        </w:rPr>
        <w:t>in thousands</w:t>
      </w:r>
      <w:r>
        <w:rPr>
          <w:rFonts w:ascii="Times New Roman" w:hAnsi="Times New Roman"/>
          <w:caps w:val="false"/>
          <w:smallCaps w:val="false"/>
          <w:sz w:val="20"/>
        </w:rPr>
        <w:t>):</w:t>
      </w:r>
    </w:p>
    <w:p>
      <w:pPr>
        <w:pStyle w:val="TextBody"/>
        <w:bidi w:val="0"/>
        <w:spacing w:before="0" w:after="0"/>
        <w:ind w:left="540" w:right="0" w:hanging="0"/>
        <w:jc w:val="left"/>
        <w:rPr>
          <w:caps w:val="false"/>
          <w:smallCaps w:val="false"/>
        </w:rPr>
      </w:pPr>
      <w:r>
        <w:rPr>
          <w:caps w:val="false"/>
          <w:smallCaps w:val="false"/>
        </w:rPr>
        <w:t> </w:t>
      </w:r>
    </w:p>
    <w:tbl>
      <w:tblPr>
        <w:tblW w:w="6079" w:type="dxa"/>
        <w:jc w:val="left"/>
        <w:tblInd w:w="0" w:type="dxa"/>
        <w:tblLayout w:type="fixed"/>
        <w:tblCellMar>
          <w:top w:w="0" w:type="dxa"/>
          <w:left w:w="0" w:type="dxa"/>
          <w:bottom w:w="0" w:type="dxa"/>
          <w:right w:w="0" w:type="dxa"/>
        </w:tblCellMar>
      </w:tblPr>
      <w:tblGrid>
        <w:gridCol w:w="2540"/>
        <w:gridCol w:w="60"/>
        <w:gridCol w:w="152"/>
        <w:gridCol w:w="663"/>
        <w:gridCol w:w="97"/>
        <w:gridCol w:w="73"/>
        <w:gridCol w:w="152"/>
        <w:gridCol w:w="590"/>
        <w:gridCol w:w="80"/>
        <w:gridCol w:w="60"/>
        <w:gridCol w:w="129"/>
        <w:gridCol w:w="565"/>
        <w:gridCol w:w="82"/>
        <w:gridCol w:w="62"/>
        <w:gridCol w:w="129"/>
        <w:gridCol w:w="565"/>
        <w:gridCol w:w="80"/>
      </w:tblGrid>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7"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532"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97" w:type="dxa"/>
            <w:tcBorders/>
            <w:vAlign w:val="center"/>
          </w:tcPr>
          <w:p>
            <w:pPr>
              <w:pStyle w:val="TableContents"/>
              <w:bidi w:val="0"/>
              <w:spacing w:before="0" w:after="283"/>
              <w:jc w:val="left"/>
              <w:rPr/>
            </w:pPr>
            <w:r>
              <w:rPr/>
              <w:t> </w:t>
            </w:r>
          </w:p>
        </w:tc>
        <w:tc>
          <w:tcPr>
            <w:tcW w:w="73" w:type="dxa"/>
            <w:tcBorders/>
            <w:vAlign w:val="center"/>
          </w:tcPr>
          <w:p>
            <w:pPr>
              <w:pStyle w:val="TableContents"/>
              <w:bidi w:val="0"/>
              <w:spacing w:before="0" w:after="283"/>
              <w:ind w:left="0" w:right="0" w:hanging="0"/>
              <w:jc w:val="left"/>
              <w:rPr/>
            </w:pPr>
            <w:r>
              <w:rPr/>
              <w:t> </w:t>
            </w:r>
          </w:p>
        </w:tc>
        <w:tc>
          <w:tcPr>
            <w:tcW w:w="742"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82" w:type="dxa"/>
            <w:tcBorders/>
            <w:vAlign w:val="center"/>
          </w:tcPr>
          <w:p>
            <w:pPr>
              <w:pStyle w:val="TableContents"/>
              <w:bidi w:val="0"/>
              <w:spacing w:before="0" w:after="283"/>
              <w:jc w:val="left"/>
              <w:rPr/>
            </w:pPr>
            <w:r>
              <w:rPr/>
              <w:t> </w:t>
            </w:r>
          </w:p>
        </w:tc>
        <w:tc>
          <w:tcPr>
            <w:tcW w:w="62"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80" w:type="dxa"/>
            <w:tcBorders/>
            <w:vAlign w:val="center"/>
          </w:tcPr>
          <w:p>
            <w:pPr>
              <w:pStyle w:val="TableContents"/>
              <w:bidi w:val="0"/>
              <w:spacing w:before="0" w:after="283"/>
              <w:jc w:val="left"/>
              <w:rPr/>
            </w:pPr>
            <w:r>
              <w:rPr/>
              <w:t> </w:t>
            </w:r>
          </w:p>
        </w:tc>
      </w:tr>
      <w:tr>
        <w:trPr/>
        <w:tc>
          <w:tcPr>
            <w:tcW w:w="254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97" w:type="dxa"/>
            <w:tcBorders>
              <w:bottom w:val="single" w:sz="2" w:space="0" w:color="000000"/>
            </w:tcBorders>
            <w:tcMar>
              <w:bottom w:w="28" w:type="dxa"/>
            </w:tcMar>
            <w:vAlign w:val="center"/>
          </w:tcPr>
          <w:p>
            <w:pPr>
              <w:pStyle w:val="TableContents"/>
              <w:bidi w:val="0"/>
              <w:spacing w:before="0" w:after="283"/>
              <w:jc w:val="left"/>
              <w:rPr/>
            </w:pPr>
            <w:r>
              <w:rPr/>
              <w:t> </w:t>
            </w:r>
          </w:p>
        </w:tc>
        <w:tc>
          <w:tcPr>
            <w:tcW w:w="73"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42"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82" w:type="dxa"/>
            <w:tcBorders>
              <w:bottom w:val="single" w:sz="2" w:space="0" w:color="000000"/>
            </w:tcBorders>
            <w:tcMar>
              <w:bottom w:w="28" w:type="dxa"/>
            </w:tcMar>
            <w:vAlign w:val="center"/>
          </w:tcPr>
          <w:p>
            <w:pPr>
              <w:pStyle w:val="TableContents"/>
              <w:bidi w:val="0"/>
              <w:spacing w:before="0" w:after="283"/>
              <w:jc w:val="left"/>
              <w:rPr/>
            </w:pPr>
            <w:r>
              <w:rPr/>
              <w:t> </w:t>
            </w:r>
          </w:p>
        </w:tc>
        <w:tc>
          <w:tcPr>
            <w:tcW w:w="62"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80" w:type="dxa"/>
            <w:tcBorders/>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beginning of period</w:t>
            </w:r>
          </w:p>
        </w:tc>
        <w:tc>
          <w:tcPr>
            <w:tcW w:w="60"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4,600</w:t>
            </w:r>
          </w:p>
        </w:tc>
        <w:tc>
          <w:tcPr>
            <w:tcW w:w="97" w:type="dxa"/>
            <w:tcBorders/>
            <w:shd w:fill="CCEEFF" w:val="clear"/>
            <w:vAlign w:val="center"/>
          </w:tcPr>
          <w:p>
            <w:pPr>
              <w:pStyle w:val="TableContents"/>
              <w:bidi w:val="0"/>
              <w:spacing w:before="0" w:after="283"/>
              <w:jc w:val="left"/>
              <w:rPr/>
            </w:pPr>
            <w:r>
              <w:rPr/>
              <w:t> </w:t>
            </w:r>
          </w:p>
        </w:tc>
        <w:tc>
          <w:tcPr>
            <w:tcW w:w="73" w:type="dxa"/>
            <w:tcBorders/>
            <w:shd w:fill="CCEEFF" w:val="clear"/>
            <w:vAlign w:val="center"/>
          </w:tcPr>
          <w:p>
            <w:pPr>
              <w:pStyle w:val="TableContents"/>
              <w:bidi w:val="0"/>
              <w:spacing w:before="0" w:after="283"/>
              <w:ind w:left="0" w:right="0" w:hanging="0"/>
              <w:jc w:val="left"/>
              <w:rPr/>
            </w:pPr>
            <w:r>
              <w:rPr/>
              <w:t> </w:t>
            </w:r>
          </w:p>
        </w:tc>
        <w:tc>
          <w:tcPr>
            <w:tcW w:w="152"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2,837</w:t>
            </w:r>
          </w:p>
        </w:tc>
        <w:tc>
          <w:tcPr>
            <w:tcW w:w="8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4,402</w:t>
            </w:r>
          </w:p>
        </w:tc>
        <w:tc>
          <w:tcPr>
            <w:tcW w:w="82" w:type="dxa"/>
            <w:tcBorders/>
            <w:shd w:fill="CCEEFF" w:val="clear"/>
            <w:vAlign w:val="center"/>
          </w:tcPr>
          <w:p>
            <w:pPr>
              <w:pStyle w:val="TableContents"/>
              <w:bidi w:val="0"/>
              <w:spacing w:before="0" w:after="283"/>
              <w:jc w:val="left"/>
              <w:rPr/>
            </w:pPr>
            <w:r>
              <w:rPr/>
              <w:t> </w:t>
            </w:r>
          </w:p>
        </w:tc>
        <w:tc>
          <w:tcPr>
            <w:tcW w:w="62" w:type="dxa"/>
            <w:tcBorders/>
            <w:shd w:fill="CCEEFF" w:val="clear"/>
            <w:vAlign w:val="center"/>
          </w:tcPr>
          <w:p>
            <w:pPr>
              <w:pStyle w:val="TableContents"/>
              <w:bidi w:val="0"/>
              <w:spacing w:before="0" w:after="283"/>
              <w:ind w:left="0" w:right="0" w:hanging="0"/>
              <w:jc w:val="left"/>
              <w:rPr/>
            </w:pPr>
            <w:r>
              <w:rPr/>
              <w:t> </w:t>
            </w:r>
          </w:p>
        </w:tc>
        <w:tc>
          <w:tcPr>
            <w:tcW w:w="129"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3,093</w:t>
            </w:r>
          </w:p>
        </w:tc>
        <w:tc>
          <w:tcPr>
            <w:tcW w:w="80" w:type="dxa"/>
            <w:tcBorders/>
            <w:shd w:fill="CCEEFF" w:val="clear"/>
            <w:vAlign w:val="center"/>
          </w:tcPr>
          <w:p>
            <w:pPr>
              <w:pStyle w:val="TableContents"/>
              <w:bidi w:val="0"/>
              <w:spacing w:before="0" w:after="283"/>
              <w:jc w:val="left"/>
              <w:rPr/>
            </w:pPr>
            <w:r>
              <w:rPr/>
              <w:t> </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expense accruals</w:t>
            </w:r>
          </w:p>
        </w:tc>
        <w:tc>
          <w:tcPr>
            <w:tcW w:w="60"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66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2,651</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jc w:val="left"/>
              <w:rPr/>
            </w:pPr>
            <w:r>
              <w:rPr/>
              <w:t> </w:t>
            </w:r>
          </w:p>
        </w:tc>
        <w:tc>
          <w:tcPr>
            <w:tcW w:w="152" w:type="dxa"/>
            <w:tcBorders/>
            <w:shd w:fill="FFFFFF" w:val="clear"/>
            <w:vAlign w:val="center"/>
          </w:tcPr>
          <w:p>
            <w:pPr>
              <w:pStyle w:val="TableContents"/>
              <w:bidi w:val="0"/>
              <w:spacing w:before="0" w:after="283"/>
              <w:ind w:left="0" w:right="0" w:hanging="0"/>
              <w:jc w:val="left"/>
              <w:rPr/>
            </w:pPr>
            <w:r>
              <w:rPr/>
              <w:t> </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1,306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3,861</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jc w:val="left"/>
              <w:rPr/>
            </w:pPr>
            <w:r>
              <w:rPr/>
              <w:t> </w:t>
            </w:r>
          </w:p>
        </w:tc>
        <w:tc>
          <w:tcPr>
            <w:tcW w:w="129" w:type="dxa"/>
            <w:tcBorders/>
            <w:shd w:fill="FFFFFF" w:val="clear"/>
            <w:vAlign w:val="center"/>
          </w:tcPr>
          <w:p>
            <w:pPr>
              <w:pStyle w:val="TableContents"/>
              <w:bidi w:val="0"/>
              <w:spacing w:before="0" w:after="283"/>
              <w:ind w:left="0" w:right="0" w:hanging="0"/>
              <w:jc w:val="left"/>
              <w:rPr/>
            </w:pPr>
            <w:r>
              <w:rPr/>
              <w:t> </w:t>
            </w:r>
          </w:p>
        </w:tc>
        <w:tc>
          <w:tcPr>
            <w:tcW w:w="56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2,091</w:t>
            </w:r>
          </w:p>
        </w:tc>
        <w:tc>
          <w:tcPr>
            <w:tcW w:w="80" w:type="dxa"/>
            <w:tcBorders/>
            <w:shd w:fill="FFFFFF" w:val="clear"/>
            <w:vAlign w:val="center"/>
          </w:tcPr>
          <w:p>
            <w:pPr>
              <w:pStyle w:val="TableContents"/>
              <w:bidi w:val="0"/>
              <w:spacing w:before="0" w:after="283"/>
              <w:jc w:val="left"/>
              <w:rPr/>
            </w:pPr>
            <w:r>
              <w:rPr/>
              <w:t> </w:t>
            </w:r>
          </w:p>
        </w:tc>
      </w:tr>
      <w:tr>
        <w:trPr/>
        <w:tc>
          <w:tcPr>
            <w:tcW w:w="254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Warranty payments</w:t>
            </w:r>
          </w:p>
        </w:tc>
        <w:tc>
          <w:tcPr>
            <w:tcW w:w="60"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63"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(1,373</w:t>
            </w:r>
          </w:p>
        </w:tc>
        <w:tc>
          <w:tcPr>
            <w:tcW w:w="97"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3" w:type="dxa"/>
            <w:tcBorders/>
            <w:shd w:fill="CCEEFF" w:val="clear"/>
            <w:vAlign w:val="center"/>
          </w:tcPr>
          <w:p>
            <w:pPr>
              <w:pStyle w:val="TableContents"/>
              <w:bidi w:val="0"/>
              <w:spacing w:before="0" w:after="283"/>
              <w:jc w:val="left"/>
              <w:rPr/>
            </w:pPr>
            <w:r>
              <w:rPr/>
              <w:t> </w:t>
            </w:r>
          </w:p>
        </w:tc>
        <w:tc>
          <w:tcPr>
            <w:tcW w:w="152"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90"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(907</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(2,385</w:t>
            </w:r>
          </w:p>
        </w:tc>
        <w:tc>
          <w:tcPr>
            <w:tcW w:w="82"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2" w:type="dxa"/>
            <w:tcBorders/>
            <w:shd w:fill="CCEEFF" w:val="clear"/>
            <w:vAlign w:val="center"/>
          </w:tcPr>
          <w:p>
            <w:pPr>
              <w:pStyle w:val="TableContents"/>
              <w:bidi w:val="0"/>
              <w:spacing w:before="0" w:after="283"/>
              <w:jc w:val="left"/>
              <w:rPr/>
            </w:pPr>
            <w:r>
              <w:rPr/>
              <w:t> </w:t>
            </w:r>
          </w:p>
        </w:tc>
        <w:tc>
          <w:tcPr>
            <w:tcW w:w="129"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565"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(1,948</w:t>
            </w:r>
          </w:p>
        </w:tc>
        <w:tc>
          <w:tcPr>
            <w:tcW w:w="8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254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Balance at end of period</w:t>
            </w:r>
          </w:p>
        </w:tc>
        <w:tc>
          <w:tcPr>
            <w:tcW w:w="60"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63"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5,878</w:t>
            </w:r>
          </w:p>
        </w:tc>
        <w:tc>
          <w:tcPr>
            <w:tcW w:w="97" w:type="dxa"/>
            <w:tcBorders/>
            <w:shd w:fill="FFFFFF" w:val="clear"/>
            <w:vAlign w:val="center"/>
          </w:tcPr>
          <w:p>
            <w:pPr>
              <w:pStyle w:val="TableContents"/>
              <w:bidi w:val="0"/>
              <w:spacing w:before="0" w:after="283"/>
              <w:jc w:val="left"/>
              <w:rPr/>
            </w:pPr>
            <w:r>
              <w:rPr/>
              <w:t> </w:t>
            </w:r>
          </w:p>
        </w:tc>
        <w:tc>
          <w:tcPr>
            <w:tcW w:w="73" w:type="dxa"/>
            <w:tcBorders/>
            <w:shd w:fill="FFFFFF" w:val="clear"/>
            <w:vAlign w:val="center"/>
          </w:tcPr>
          <w:p>
            <w:pPr>
              <w:pStyle w:val="TableContents"/>
              <w:bidi w:val="0"/>
              <w:spacing w:before="0" w:after="283"/>
              <w:ind w:left="0" w:right="0" w:hanging="0"/>
              <w:jc w:val="left"/>
              <w:rPr/>
            </w:pPr>
            <w:r>
              <w:rPr/>
              <w:t> </w:t>
            </w:r>
          </w:p>
        </w:tc>
        <w:tc>
          <w:tcPr>
            <w:tcW w:w="152"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w:t>
            </w:r>
          </w:p>
        </w:tc>
        <w:tc>
          <w:tcPr>
            <w:tcW w:w="8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5,878</w:t>
            </w:r>
          </w:p>
        </w:tc>
        <w:tc>
          <w:tcPr>
            <w:tcW w:w="82" w:type="dxa"/>
            <w:tcBorders/>
            <w:shd w:fill="FFFFFF" w:val="clear"/>
            <w:vAlign w:val="center"/>
          </w:tcPr>
          <w:p>
            <w:pPr>
              <w:pStyle w:val="TableContents"/>
              <w:bidi w:val="0"/>
              <w:spacing w:before="0" w:after="283"/>
              <w:jc w:val="left"/>
              <w:rPr/>
            </w:pPr>
            <w:r>
              <w:rPr/>
              <w:t> </w:t>
            </w:r>
          </w:p>
        </w:tc>
        <w:tc>
          <w:tcPr>
            <w:tcW w:w="62" w:type="dxa"/>
            <w:tcBorders/>
            <w:shd w:fill="FFFFFF" w:val="clear"/>
            <w:vAlign w:val="center"/>
          </w:tcPr>
          <w:p>
            <w:pPr>
              <w:pStyle w:val="TableContents"/>
              <w:bidi w:val="0"/>
              <w:spacing w:before="0" w:after="283"/>
              <w:ind w:left="0" w:right="0" w:hanging="0"/>
              <w:jc w:val="left"/>
              <w:rPr/>
            </w:pPr>
            <w:r>
              <w:rPr/>
              <w:t> </w:t>
            </w:r>
          </w:p>
        </w:tc>
        <w:tc>
          <w:tcPr>
            <w:tcW w:w="129"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65"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3,236</w:t>
            </w:r>
          </w:p>
        </w:tc>
        <w:tc>
          <w:tcPr>
            <w:tcW w:w="80" w:type="dxa"/>
            <w:tcBorders/>
            <w:shd w:fill="FFFFFF" w:val="clear"/>
            <w:vAlign w:val="center"/>
          </w:tcPr>
          <w:p>
            <w:pPr>
              <w:pStyle w:val="TableContents"/>
              <w:bidi w:val="0"/>
              <w:spacing w:before="0" w:after="283"/>
              <w:jc w:val="left"/>
              <w:rPr/>
            </w:pPr>
            <w:r>
              <w:rPr/>
              <w:t>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540" w:right="0" w:hanging="0"/>
        <w:jc w:val="left"/>
        <w:rPr>
          <w:rFonts w:ascii="Times New Roman" w:hAnsi="Times New Roman"/>
          <w:caps w:val="false"/>
          <w:smallCaps w:val="false"/>
          <w:sz w:val="20"/>
        </w:rPr>
      </w:pPr>
      <w:r>
        <w:rPr>
          <w:rFonts w:ascii="Times New Roman" w:hAnsi="Times New Roman"/>
          <w:caps w:val="false"/>
          <w:smallCaps w:val="false"/>
          <w:sz w:val="20"/>
        </w:rPr>
        <w:t>Accrued warranty amounts expected to be incurred after one year are included in noncurrent other accrued liabilities in the condensed consolidated balance sheet. These amounts totaled $0.3 million and $0.2 million at June 27, 2026, and December 27, 2025, respectively.</w:t>
      </w:r>
    </w:p>
    <w:p>
      <w:pPr>
        <w:pStyle w:val="TextBody"/>
        <w:bidi w:val="0"/>
        <w:spacing w:before="0" w:after="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b/>
          <w:caps w:val="false"/>
          <w:smallCaps w:val="false"/>
          <w:sz w:val="20"/>
        </w:rPr>
      </w:pPr>
      <w:bookmarkStart w:id="10" w:name="item_2"/>
      <w:bookmarkEnd w:id="10"/>
      <w:r>
        <w:rPr>
          <w:rFonts w:ascii="Times New Roman" w:hAnsi="Times New Roman"/>
          <w:b/>
          <w:caps w:val="false"/>
          <w:smallCaps w:val="false"/>
          <w:sz w:val="20"/>
        </w:rPr>
        <w:t>Item 2. Management’s Discussion and Analysis of Financial Condition and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i/>
          <w:caps w:val="false"/>
          <w:smallCaps w:val="false"/>
          <w:sz w:val="20"/>
        </w:rPr>
        <w:t>This Form 10-Q contains certain forward-looking statements including expectations of market conditions, challenges and plans, within the meaning of Section 21E of the Securities Exchange Act of 1934, as amended, and is subject to the Safe Harbor provisions created by that statute. Such forward-looking statements are based on management</w:t>
      </w:r>
      <w:r>
        <w:rPr>
          <w:rFonts w:ascii="Times New Roman" w:hAnsi="Times New Roman"/>
          <w:caps w:val="false"/>
          <w:smallCaps w:val="false"/>
          <w:sz w:val="20"/>
        </w:rPr>
        <w:t>’</w:t>
      </w:r>
      <w:r>
        <w:rPr>
          <w:rFonts w:ascii="Times New Roman" w:hAnsi="Times New Roman"/>
          <w:i/>
          <w:caps w:val="false"/>
          <w:smallCaps w:val="false"/>
          <w:sz w:val="20"/>
        </w:rPr>
        <w:t>s current expectations and beliefs, including estimates and projections about our business and include, but are not limited to, statements concerning financial position, business strategy, our industry environment, market growth expectations, and plans or objectives for future operations. Forward-looking statements are not guarantees of future performance, and are subject to certain risks, uncertainties, and assumptions that are difficult to predict and may cause actual results to differ materially from management</w:t>
      </w:r>
      <w:r>
        <w:rPr>
          <w:rFonts w:ascii="Times New Roman" w:hAnsi="Times New Roman"/>
          <w:caps w:val="false"/>
          <w:smallCaps w:val="false"/>
          <w:sz w:val="20"/>
        </w:rPr>
        <w:t>’</w:t>
      </w:r>
      <w:r>
        <w:rPr>
          <w:rFonts w:ascii="Times New Roman" w:hAnsi="Times New Roman"/>
          <w:i/>
          <w:caps w:val="false"/>
          <w:smallCaps w:val="false"/>
          <w:sz w:val="20"/>
        </w:rPr>
        <w:t xml:space="preserve">s current expectations. Such risks and uncertainties include those set forth in this Quarterly Report on Form 10-Q and our 2025 Annual Report on Form 10-K under the heading </w:t>
      </w:r>
      <w:r>
        <w:rPr>
          <w:rFonts w:ascii="Times New Roman" w:hAnsi="Times New Roman"/>
          <w:caps w:val="false"/>
          <w:smallCaps w:val="false"/>
          <w:sz w:val="20"/>
        </w:rPr>
        <w:t>“</w:t>
      </w:r>
      <w:r>
        <w:rPr>
          <w:rFonts w:ascii="Times New Roman" w:hAnsi="Times New Roman"/>
          <w:i/>
          <w:caps w:val="false"/>
          <w:smallCaps w:val="false"/>
          <w:sz w:val="20"/>
        </w:rPr>
        <w:t>Item</w:t>
      </w:r>
      <w:r>
        <w:rPr>
          <w:rFonts w:ascii="Times New Roman" w:hAnsi="Times New Roman"/>
          <w:caps w:val="false"/>
          <w:smallCaps w:val="false"/>
          <w:sz w:val="20"/>
        </w:rPr>
        <w:t> </w:t>
      </w:r>
      <w:r>
        <w:rPr>
          <w:rFonts w:ascii="Times New Roman" w:hAnsi="Times New Roman"/>
          <w:i/>
          <w:caps w:val="false"/>
          <w:smallCaps w:val="false"/>
          <w:sz w:val="20"/>
        </w:rPr>
        <w:t>1A. Risk Factors</w:t>
      </w:r>
      <w:r>
        <w:rPr>
          <w:rFonts w:ascii="Times New Roman" w:hAnsi="Times New Roman"/>
          <w:caps w:val="false"/>
          <w:smallCaps w:val="false"/>
          <w:sz w:val="20"/>
        </w:rPr>
        <w:t>”</w:t>
      </w:r>
      <w:r>
        <w:rPr>
          <w:rFonts w:ascii="Times New Roman" w:hAnsi="Times New Roman"/>
          <w:i/>
          <w:caps w:val="false"/>
          <w:smallCaps w:val="false"/>
          <w:sz w:val="20"/>
        </w:rPr>
        <w:t>. The forward-looking statements in this report speak only as of the time they are made, and do not necessarily reflect management</w:t>
      </w:r>
      <w:r>
        <w:rPr>
          <w:rFonts w:ascii="Times New Roman" w:hAnsi="Times New Roman"/>
          <w:caps w:val="false"/>
          <w:smallCaps w:val="false"/>
          <w:sz w:val="20"/>
        </w:rPr>
        <w:t>’</w:t>
      </w:r>
      <w:r>
        <w:rPr>
          <w:rFonts w:ascii="Times New Roman" w:hAnsi="Times New Roman"/>
          <w:i/>
          <w:caps w:val="false"/>
          <w:smallCaps w:val="false"/>
          <w:sz w:val="20"/>
        </w:rPr>
        <w:t>s outlook at any other point in time. We undertake no obligation to publicly update any forward-looking statements, whether as a result of new information, future events, or for any other reason, however, readers should carefully review the risk factors set forth in other reports or documents we file from time to time with the SEC after the date of this Quarterly Report. This Form 10-Q also contains estimates, projections and other information concerning our industry, our business, and the markets for certain of our products. Information that is based on estimates, forecasts, projections, market research or similar methodologies is inherently subject to uncertainties and actual events or circumstances may differ materially from events and circumstances reflected in this information. Unless otherwise expressly stated, we obtained this industry, business, market, and other data from reports, research surveys, studies, and similar data prepared by market research firms and other third parties, industry, and general publications, government data, and similar 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OVERVIEW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Cohu was founded in 1947 and is a global supplier of equipment and services optimizing semiconductor manufacturing yield and productivity. We serve global semiconductor manufacturers and test subcontractors with a broad portfolio of products and services.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the three months ending June 27, 2026, net sales increased 19.1% sequentially to $149.0 million. Revenue from our capital equipment products is primarily driven by customers’ capital expenditures and operating budgets, which depend on capacity utilization, inventory levels, and anticipated end market demand and may fluctuate significantly with industry conditions, with capital spending related to artificial intelligence (“AI”) and high performance computing currently more resilient than automotive, industrial, and consumer markets. In contrast, revenue from our recurring products, such as test consumables and services, is influenced by the volume of semiconductor devices tested and customers’ ongoing technology transitions, and because this revenue is tied to the installed base and production activity rather than discrete capital purchase decisions, it is generally more stable and less cyclical than capital equipment revenue.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Global macroeconomic and geopolitical factors continue to influence the semiconductor industry. While elevated interest rates and ongoing geopolitical uncertainty have moderated capital spending in certain end markets, industry conditions continue to be bifurcated. While automotive, and consumer-oriented semiconductor markets show improvement, customers continue to manage inventory levels closely and are cautious with capacity investments, leading many semiconductor companies to maintain cost controls and carefully manage expansion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By contrast, demand related to artificial intelligence (“AI”), high performance computing, and data center applications has remained comparatively strong and continues to support investment in advanced semiconductor testing and inspection solutions. Demand for semiconductors for the industrial market increased during the second quarter as reflected by an increase in estimated test cell utilization to low 80% at the end of June. During the second quarter of fiscal 2026, our net sales benefited from increased customer activity associated with AI driven computing applications, and higher demand in the industrial semiconductor market, which helped to offset ongoing weakness in automotive, and consumer focused markets. These trends are broadly consistent with market conditions and customer spending patterns specific to our end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response to economic conditions, in fiscal 2025, we initiated a global restructuring program designed to improve profitability while maintaining investments in product development. We continue to manage our cost structure with discipline while preserving flexibility to support anticipated growth opportunities, particularly in AI related applications. We remain focused on building a well balanced and resilient business model, executing on customer design wins, and developing innovative products. We are expanding our addressable market with new test, inspection, automation, and AI-driven software solutions and are encouraged by increasing customer adoption of semiconductor test and inspection equipment used in AI enabled data centers. Despite continued near term variability across certain semiconductor end markets, we believe our long term market drivers remain intact, supported by increasing semiconductor complexity, higher quality and reliability requirements, test intensity, automation, smart manufacturing initiatives, and the proliferation of electronics across automotive, mobile, industrial, computing, and consumer markets.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Application of Critical Accounting Estimates and Policies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discussion and analysis of our financial condition and results of operations is based upon our consolidated financial statements, which have been prepared in accordance with accounting principles generally accepted in the United States of America. The preparation of these financial statements requires us to make estimates and judgments that affect the reported amounts of assets, liabilities, revenues and expenses and related disclosure of contingent assets and liabilities. We base our estimates on historical experience, forecasts and on various other assumptions that are believed to be reasonable under the circumstances, however actual results may differ from those estimates under different assumptions or conditions. The methods, estimates and judgments we use in applying our accounting policies have a significant impact on the results we report in our financial statements. Some of our accounting policies require us to make difficult and subjective judgments, often as a result of the need to make estimates of matters that are inherently uncertain.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critical accounting estimates that we believe are the most important to investors’ understanding of our financial results and condition require complex management judgment and include:</w:t>
      </w:r>
    </w:p>
    <w:p>
      <w:pPr>
        <w:pStyle w:val="TextBody"/>
        <w:bidi w:val="0"/>
        <w:spacing w:before="0" w:after="0"/>
        <w:ind w:left="0" w:right="0" w:hanging="0"/>
        <w:jc w:val="left"/>
        <w:rPr>
          <w:caps w:val="false"/>
          <w:smallCaps w:val="false"/>
        </w:rPr>
      </w:pPr>
      <w:r>
        <w:rPr>
          <w:caps w:val="false"/>
          <w:smallCaps w:val="false"/>
        </w:rPr>
        <w:t> </w:t>
      </w:r>
    </w:p>
    <w:tbl>
      <w:tblPr>
        <w:tblW w:w="9700" w:type="dxa"/>
        <w:jc w:val="left"/>
        <w:tblInd w:w="0" w:type="dxa"/>
        <w:tblLayout w:type="fixed"/>
        <w:tblCellMar>
          <w:top w:w="0" w:type="dxa"/>
          <w:left w:w="0" w:type="dxa"/>
          <w:bottom w:w="0" w:type="dxa"/>
          <w:right w:w="0" w:type="dxa"/>
        </w:tblCellMar>
      </w:tblPr>
      <w:tblGrid>
        <w:gridCol w:w="60"/>
        <w:gridCol w:w="170"/>
        <w:gridCol w:w="947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4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revenue recognition, including the deferral of revenue on sales to customers, which impacts our results of operations;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estimation of valuation allowances and accrued liabilities, specifically inventory reserves, which impact gross margin or operating expenses;</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recognition and measurement of current and deferred income tax assets and liabilities, unrecognized tax benefits, the valuation allowance on deferred tax assets and accounting for the impact of the change to U.S. tax law as described herein, which impact our tax provision; and</w:t>
            </w:r>
          </w:p>
        </w:tc>
      </w:tr>
    </w:tbl>
    <w:tbl>
      <w:tblPr>
        <w:tblW w:w="10205" w:type="dxa"/>
        <w:jc w:val="left"/>
        <w:tblInd w:w="0" w:type="dxa"/>
        <w:tblLayout w:type="fixed"/>
        <w:tblCellMar>
          <w:top w:w="0" w:type="dxa"/>
          <w:left w:w="0" w:type="dxa"/>
          <w:bottom w:w="0" w:type="dxa"/>
          <w:right w:w="0" w:type="dxa"/>
        </w:tblCellMar>
      </w:tblPr>
      <w:tblGrid>
        <w:gridCol w:w="60"/>
        <w:gridCol w:w="170"/>
        <w:gridCol w:w="997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left"/>
              <w:rPr>
                <w:caps w:val="false"/>
                <w:smallCaps w:val="false"/>
              </w:rPr>
            </w:pPr>
            <w:r>
              <w:rPr>
                <w:caps w:val="false"/>
                <w:smallCaps w:val="false"/>
              </w:rPr>
              <w:t>●</w:t>
            </w:r>
          </w:p>
        </w:tc>
        <w:tc>
          <w:tcPr>
            <w:tcW w:w="9975"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assessment of recoverability of goodwill, which primarily impacts gross margin or operating expenses if we are required to record impairments or accelerate depreciation.</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Below, we discuss these policies further, as well as the estimates and judgments involved. We also have other policies that we consider key accounting policies; however, these policies typically do not require us to make estimates or judgments that are difficult or subjective.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Revenue Recognition:</w:t>
      </w:r>
      <w:r>
        <w:rPr>
          <w:rFonts w:ascii="Times New Roman" w:hAnsi="Times New Roman"/>
          <w:caps w:val="false"/>
          <w:smallCaps w:val="false"/>
          <w:sz w:val="20"/>
        </w:rPr>
        <w:t xml:space="preserve"> Our net sales are derived from the sale of products and services and are adjusted for estimated returns and allowances, which historically have been insignificant. We recognize revenue when the obligations under the terms of a contract with our customers are satisfied; generally, this occurs with the transfer of control of our systems and non-system products or the completion of services. In circumstances where control is not transferred until destination or acceptance, we defer revenue recognition until such events occur. Revenue for established products that have previously satisfied a customer’s acceptance requirements is generally recognized upon shipment. In cases where a prior history of customer acceptance cannot be demonstrated and in the case of new products, revenue and cost of sales are deferred until customer acceptance has been received. Our post-shipment obligations typically include standard warranties. Service revenue is recognized over time as the transfer of control is completed for the related contract or upon completion of the services if they are short-term in nature. Spares and contactor and kit revenue are generally recognized upon shipment. Certain of our equipment sales have multiple performance obligations. These arrangements involve the delivery or performance of multiple performance obligations that may occur at different points in time or over different periods of time. For arrangements containing multiple performance obligations, the revenue relating to the undelivered performance obligation is deferred using the relative standalone selling price method utilizing estimated sales prices until satisfaction of the deferred performance obligation. Unsatisfied performance obligations primarily represent contracts for products with future delivery dates. On June 27, 2026, we had $4.8 million of revenue expected to be recognized in the future related to performance obligations that are unsatisfied (or partially unsatisfied) with expected durations of over one year. As allowed under ASC 606, we have opted not to disclose unsatisfied performance obligations for contracts with original expected durations of less than one year. We generally sell our equipment with a product warranty. The product warranty provides assurance to customers that delivered products are as specified in the contract (an “assurance-type warranty”). Therefore, we account for such product warranties under ASC 460, and not as a separate performance obligation. The transaction price reflects our expectations about the consideration we will be entitled to receive from the customer and may include fixed or variable amounts. Fixed consideration primarily includes sales to customers in which the amount of consideration is known as of the end of the reporting period. Variable consideration includes sales in which the amount of consideration that we will receive is unknown as of the end of a reporting period. Such consideration primarily relates to sales made to certain customers with cumulative tier volume discounts offered. Variable consideration arrangements are rare; however, when they occur, we estimate variable consideration as the expected value to which we expect to be entitled. Included in the transaction price estimate are amounts for which it is probable that a significant reversal of cumulative revenue recognized will not occur when the uncertainty associated with the variable consideration is subsequently resolved. This estimate is based on information available for projected future sales. Variable consideration that does not meet revenue recognition criteria is deferred. Accounts receivable represents our unconditional right to receive consideration from our customer. Payments terms do not exceed one year from the invoice date and therefore do not include a significant financing component. To date, there have been no material impairment losses on accounts receivable. There were no material contract assets or contract liabilities recorded on the condensed consolidated balance sheet in any of the periods presented. On shipments where sales are not recognized, gross profit is generally recorded as deferred profit in the condensed consolidated balance sheet representing the difference between the receivable recorded and the inventory shipped.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32</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Accounts Receivable: </w:t>
      </w:r>
      <w:r>
        <w:rPr>
          <w:rFonts w:ascii="Times New Roman" w:hAnsi="Times New Roman"/>
          <w:caps w:val="false"/>
          <w:smallCaps w:val="false"/>
          <w:sz w:val="20"/>
        </w:rPr>
        <w:t>We maintain an allowance for estimated credit losses resulting from the inability of our customers to make required payments. If the financial condition of our customers deteriorates, resulting in an impairment of their ability to make payments, additional allowances may be required. Our customers include semiconductor manufacturers and semiconductor test subcontractors throughout many areas of the world. While we believe that our allowance for credit losses is adequate and represents our best estimate of future losses, we will continue to monitor customer liquidity and other economic conditions, which may result in changes to our estimates.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Inventory: </w:t>
      </w:r>
      <w:r>
        <w:rPr>
          <w:rFonts w:ascii="Times New Roman" w:hAnsi="Times New Roman"/>
          <w:caps w:val="false"/>
          <w:smallCaps w:val="false"/>
          <w:sz w:val="20"/>
        </w:rPr>
        <w:t>The valuation of inventory requires us to estimate obsolete or excess inventory as well as inventory that is not of saleable quality. The determination of obsolete or excess inventory requires us to estimate the future demand for our products. The demand forecast is a direct input in the development of our short-term manufacturing plans. We record valuation reserves on our inventory for estimated excess and obsolete inventory and lower of cost or net realizable value concerns equal to the difference between the cost of inventory and the estimated realizable value based upon assumptions about future product demand, market conditions and product selling prices. If future product demand, market conditions or product selling prices are less than those projected by management or if continued modifications to products are required to meet specifications or other customer requirements, increases to inventory reserves may be required which would have a negative impact on our gross margin.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Income Taxes: </w:t>
      </w:r>
      <w:r>
        <w:rPr>
          <w:rFonts w:ascii="Times New Roman" w:hAnsi="Times New Roman"/>
          <w:caps w:val="false"/>
          <w:smallCaps w:val="false"/>
          <w:sz w:val="20"/>
        </w:rPr>
        <w:t>We estimate our liability for income taxes based on the various jurisdictions where we conduct business. This requires us to estimate our (i) current taxes; (ii) temporary differences that result from differing treatment of certain items for tax and accounting purposes; and (iii) unrecognized tax benefits. Temporary differences result in deferred tax assets and liabilities that are reflected in the condensed consolidated balance sheet. The deferred tax assets are reduced by a valuation allowance if, based upon all available evidence, it is more likely than not that some or all the deferred tax assets will not be realized. Establishing, reducing or increasing a valuation allowance in an accounting period generally results in an increase or decrease in tax expense in the statement of operations. We must make significant judgments to determine the provision for income taxes, deferred tax assets and liabilities, unrecognized tax benefits and any valuation allowance to be recorded against deferred tax assets. Our deferred tax assets consist primarily of research and development costs that were required to be capitalized under IRC Section 174, net of related amortization, reserves and accruals that are not yet deductible for tax, and tax credit and net operating loss carryforwards.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Segment Information:</w:t>
      </w:r>
      <w:r>
        <w:rPr>
          <w:rFonts w:ascii="Times New Roman" w:hAnsi="Times New Roman"/>
          <w:caps w:val="false"/>
          <w:smallCaps w:val="false"/>
          <w:sz w:val="20"/>
        </w:rPr>
        <w:t xml:space="preserve"> We apply the provisions of ASC 280, which sets forth a management approach to segment reporting and establishes requirements to report selected segment information quarterly and to report annually entity-wide disclosures about products, major customers and the geographies in which the entity holds material assets and reports revenue. An operating segment is defined as a component that engages in business activities whose operating results are reviewed by the CODM and for which discrete financial information is available. We have determined that our three identified operating segments are: TH, ST and IS. Our three operating segments qualify for aggregation under ASC 280 due to similarities in their customers, their economic characteristics, and the nature of products and services provided. As a result, we report in one segment, Semiconductor Test &amp; Inspection.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Goodwill, Intangible Assets and Other Long-lived Assets: </w:t>
      </w:r>
      <w:r>
        <w:rPr>
          <w:rFonts w:ascii="Times New Roman" w:hAnsi="Times New Roman"/>
          <w:caps w:val="false"/>
          <w:smallCaps w:val="false"/>
          <w:sz w:val="20"/>
        </w:rPr>
        <w:t>We evaluate goodwill for impairment annually and whenever events or changes in circumstances indicate that the carrying value may not be recoverable. Goodwill impairment testing is performed at the reporting unit level by comparing the estimated fair value of the reporting unit to its carrying value, including goodwill. If the carrying value exceeds fair value, an impairment charge is recognized for the amount by which the carrying value exceeds the fair value, limited to the carrying amount of goodwill.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estimate the fair values of our reporting units using a weighting of the income and market approaches. Under the income approach, we use a discounted cash flow methodology, which requires significant judgment and estimates related to, among other things, forecasted revenues, gross profit margins, operating income margins, working capital cash flows, perpetual growth rates, and long</w:t>
        <w:noBreakHyphen/>
        <w:t>term discount rates. The market approach utilizes the guideline public company method, under which valuation multiples derived from comparable publicly traded companies with similar operating and investment characteristics are applied to the reporting unit’s operating performance metrics. The indicated values derived from the income and market approaches are equally weighted to determine the estimated fair value of each reporting unit.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33</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Forecasts of future cash flows are based on management’s best estimates of future net sales and operating expenses, taking into account customer forecasts, industry trade organization data, and general economic and market conditions. Fair value measurements are inherently subjective and sensitive to changes in assumptions. Adverse changes in forecasted results, discount rates, long</w:t>
        <w:noBreakHyphen/>
        <w:t>term growth assumptions, macroeconomic conditions, customer demand, competitive dynamics, or other factors could result in a reduction in the estimated fair value of one or more reporting units.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performed our annual goodwill impairment test as of October 1, 2025, and determined that the estimated fair values of our reporting units exceeded their respective carrying values. As disclosed in our Annual Report on Form 10</w:t>
        <w:noBreakHyphen/>
        <w:t>K for fiscal 2025, our IS reporting unit had less excess fair value over carrying value relative to our other reporting units as of the annual assessment date. Goodwill associated with the IS reporting unit represented approximately 39% of total goodwill as of the annual assessment date. Based on our analysis, including all relevant qualitative and quantitative factors, we concluded that no impairment existed as of the annual assessment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Goodwill is also required to be evaluated for impairment between annual testing dates if indicators of impairment arise. Based on our evaluation of events, including operating results and market conditions through June 27, 2026, we determined that no such triggering events had occurred. If circumstances change and an interim impairment assessment is required, it could result in a non</w:t>
        <w:noBreakHyphen/>
        <w:t>cash impairment charge, which could be material and would adversely affect our results of operations and financial condition.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Long-lived assets are reviewed for impairment whenever events or changes in circumstances indicate that the carrying amount of the assets might not be recoverable. Conditions that would necessitate an impairment assessment include a significant decline in the observable market value of an asset, a significant change in the extent or manner in which an asset is used, or any other significant adverse change that would indicate that the carrying amount of an asset or group of assets may not be recoverable. For long-lived assets, impairment losses are only recorded if the asset’s carrying amount is not recoverable through its undiscounted future cash flows. We measure the impairment loss based on the difference between the carrying amount and estimated fair value.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During the first six months of fiscal 2026, no events or conditions occurred suggesting an impairment in our long-lived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Warranty: </w:t>
      </w:r>
      <w:r>
        <w:rPr>
          <w:rFonts w:ascii="Times New Roman" w:hAnsi="Times New Roman"/>
          <w:caps w:val="false"/>
          <w:smallCaps w:val="false"/>
          <w:sz w:val="20"/>
        </w:rPr>
        <w:t>We provide for the estimated costs of product warranties in the period sales are recognized. Our warranty obligation estimates are affected by historical product shipment levels, product performance and material and labor costs incurred in correcting product performance problems. Should product performance, material usage or labor repair costs differ from our estimates, revisions to the estimated warranty liability would be required.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Contingencies:</w:t>
      </w:r>
      <w:r>
        <w:rPr>
          <w:rFonts w:ascii="Times New Roman" w:hAnsi="Times New Roman"/>
          <w:caps w:val="false"/>
          <w:smallCaps w:val="false"/>
          <w:sz w:val="20"/>
        </w:rPr>
        <w:t xml:space="preserve"> We are subject to certain contingencies that arise in the ordinary course of our businesses which require us to assess the likelihood that future events will confirm the existence of a loss or an impairment of an asset. If a loss or asset impairment is probable and the amount of the loss or impairment is reasonably estimable, we accrue a charge to operations in the period such conditions become known.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Share-based Compensation:</w:t>
      </w:r>
      <w:r>
        <w:rPr>
          <w:rFonts w:ascii="Times New Roman" w:hAnsi="Times New Roman"/>
          <w:caps w:val="false"/>
          <w:smallCaps w:val="false"/>
          <w:sz w:val="20"/>
        </w:rPr>
        <w:t xml:space="preserve"> Compensation expense for restricted stock unit (RSU) awards is calculated based on the market price of our common stock on the grant date. As Cohu doesn’t currently pay dividends, no reduction for expected dividends is applied. Compensation expense for performance stock units (PSUs) with market-based goals is determined using a Monte Carlo simulation model as of the grant date. When granted, compensation expense for stock options is measured based on the fair value of the award on its grant date, which we estimate using the Black-Scholes valuation model.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Accounting Pronouncements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For a description of accounting changes and recent accounting pronouncements, including the expected dates of adoption and estimated effects, if any, on our consolidated financial statements, see “Recent Accounting Pronouncements”, in Note 1 located in Part I, Item 1 of this Form 10-Q.</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34</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following table summarizes certain operating data as a percentage of net sales:</w:t>
      </w:r>
    </w:p>
    <w:p>
      <w:pPr>
        <w:pStyle w:val="TextBody"/>
        <w:bidi w:val="0"/>
        <w:spacing w:before="0" w:after="0"/>
        <w:ind w:left="0" w:right="0" w:hanging="0"/>
        <w:jc w:val="left"/>
        <w:rPr>
          <w:caps w:val="false"/>
          <w:smallCaps w:val="false"/>
        </w:rPr>
      </w:pPr>
      <w:r>
        <w:rPr>
          <w:caps w:val="false"/>
          <w:smallCaps w:val="false"/>
        </w:rPr>
        <w:t> </w:t>
      </w:r>
    </w:p>
    <w:tbl>
      <w:tblPr>
        <w:tblW w:w="7703" w:type="dxa"/>
        <w:jc w:val="left"/>
        <w:tblInd w:w="0" w:type="dxa"/>
        <w:tblLayout w:type="fixed"/>
        <w:tblCellMar>
          <w:top w:w="0" w:type="dxa"/>
          <w:left w:w="0" w:type="dxa"/>
          <w:bottom w:w="0" w:type="dxa"/>
          <w:right w:w="0" w:type="dxa"/>
        </w:tblCellMar>
      </w:tblPr>
      <w:tblGrid>
        <w:gridCol w:w="3590"/>
        <w:gridCol w:w="60"/>
        <w:gridCol w:w="76"/>
        <w:gridCol w:w="618"/>
        <w:gridCol w:w="303"/>
        <w:gridCol w:w="74"/>
        <w:gridCol w:w="76"/>
        <w:gridCol w:w="618"/>
        <w:gridCol w:w="245"/>
        <w:gridCol w:w="60"/>
        <w:gridCol w:w="76"/>
        <w:gridCol w:w="618"/>
        <w:gridCol w:w="269"/>
        <w:gridCol w:w="66"/>
        <w:gridCol w:w="76"/>
        <w:gridCol w:w="618"/>
        <w:gridCol w:w="260"/>
      </w:tblGrid>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65"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Three Months Ended</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723" w:type="dxa"/>
            <w:gridSpan w:val="6"/>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Six Months Ended</w:t>
            </w:r>
          </w:p>
        </w:tc>
        <w:tc>
          <w:tcPr>
            <w:tcW w:w="26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303"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269" w:type="dxa"/>
            <w:tcBorders/>
            <w:vAlign w:val="center"/>
          </w:tcPr>
          <w:p>
            <w:pPr>
              <w:pStyle w:val="TableContents"/>
              <w:bidi w:val="0"/>
              <w:spacing w:before="0" w:after="283"/>
              <w:jc w:val="left"/>
              <w:rPr/>
            </w:pPr>
            <w:r>
              <w:rPr/>
              <w:t> </w:t>
            </w:r>
          </w:p>
        </w:tc>
        <w:tc>
          <w:tcPr>
            <w:tcW w:w="66" w:type="dxa"/>
            <w:tcBorders/>
            <w:vAlign w:val="center"/>
          </w:tcPr>
          <w:p>
            <w:pPr>
              <w:pStyle w:val="TableContents"/>
              <w:bidi w:val="0"/>
              <w:spacing w:before="0" w:after="283"/>
              <w:ind w:left="0" w:right="0" w:hanging="0"/>
              <w:jc w:val="left"/>
              <w:rPr/>
            </w:pPr>
            <w:r>
              <w:rPr/>
              <w:t> </w:t>
            </w:r>
          </w:p>
        </w:tc>
        <w:tc>
          <w:tcPr>
            <w:tcW w:w="694"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28,</w:t>
            </w:r>
          </w:p>
        </w:tc>
        <w:tc>
          <w:tcPr>
            <w:tcW w:w="260" w:type="dxa"/>
            <w:tcBorders/>
            <w:vAlign w:val="center"/>
          </w:tcPr>
          <w:p>
            <w:pPr>
              <w:pStyle w:val="TableContents"/>
              <w:bidi w:val="0"/>
              <w:spacing w:before="0" w:after="283"/>
              <w:jc w:val="left"/>
              <w:rPr/>
            </w:pPr>
            <w:r>
              <w:rPr/>
              <w:t> </w:t>
            </w:r>
          </w:p>
        </w:tc>
      </w:tr>
      <w:tr>
        <w:trPr/>
        <w:tc>
          <w:tcPr>
            <w:tcW w:w="359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303" w:type="dxa"/>
            <w:tcBorders>
              <w:bottom w:val="single" w:sz="2" w:space="0" w:color="000000"/>
            </w:tcBorders>
            <w:tcMar>
              <w:bottom w:w="28" w:type="dxa"/>
            </w:tcMar>
            <w:vAlign w:val="center"/>
          </w:tcPr>
          <w:p>
            <w:pPr>
              <w:pStyle w:val="TableContents"/>
              <w:bidi w:val="0"/>
              <w:spacing w:before="0" w:after="283"/>
              <w:jc w:val="left"/>
              <w:rPr/>
            </w:pPr>
            <w:r>
              <w:rPr/>
              <w:t> </w:t>
            </w:r>
          </w:p>
        </w:tc>
        <w:tc>
          <w:tcPr>
            <w:tcW w:w="74"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24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269" w:type="dxa"/>
            <w:tcBorders>
              <w:bottom w:val="single" w:sz="2" w:space="0" w:color="000000"/>
            </w:tcBorders>
            <w:tcMar>
              <w:bottom w:w="28" w:type="dxa"/>
            </w:tcMar>
            <w:vAlign w:val="center"/>
          </w:tcPr>
          <w:p>
            <w:pPr>
              <w:pStyle w:val="TableContents"/>
              <w:bidi w:val="0"/>
              <w:spacing w:before="0" w:after="283"/>
              <w:jc w:val="left"/>
              <w:rPr/>
            </w:pPr>
            <w:r>
              <w:rPr/>
              <w:t> </w:t>
            </w:r>
          </w:p>
        </w:tc>
        <w:tc>
          <w:tcPr>
            <w:tcW w:w="66"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694"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260" w:type="dxa"/>
            <w:tcBorders/>
            <w:vAlign w:val="center"/>
          </w:tcPr>
          <w:p>
            <w:pPr>
              <w:pStyle w:val="TableContents"/>
              <w:bidi w:val="0"/>
              <w:spacing w:before="0" w:after="283"/>
              <w:jc w:val="left"/>
              <w:rPr/>
            </w:pPr>
            <w:r>
              <w:rPr/>
              <w:t> </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Net sales</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100.0</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Cost of sales</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(54.6</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(54.2</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bottom w:val="single" w:sz="2"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(56.3</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Gross margin</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45.4</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45.8</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43.7</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Research and development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(16.8</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(21.5</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(18.8</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(22.7</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Selling, general and administrative</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(23.1</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(27.7</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(25.2</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shd w:fill="CCEEFF" w:val="clear"/>
            <w:vAlign w:val="center"/>
          </w:tcPr>
          <w:p>
            <w:pPr>
              <w:pStyle w:val="TableContents"/>
              <w:bidi w:val="0"/>
              <w:spacing w:before="0" w:after="283"/>
              <w:ind w:left="0" w:right="0" w:hanging="0"/>
              <w:jc w:val="left"/>
              <w:rPr/>
            </w:pPr>
            <w:r>
              <w:rPr/>
              <w:t> </w:t>
            </w:r>
          </w:p>
        </w:tc>
        <w:tc>
          <w:tcPr>
            <w:tcW w:w="61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(29.3</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Amortization of purchased intangible assets</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(9.4</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(5.3</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shd w:fill="FFFFFF" w:val="clear"/>
            <w:vAlign w:val="center"/>
          </w:tcPr>
          <w:p>
            <w:pPr>
              <w:pStyle w:val="TableContents"/>
              <w:bidi w:val="0"/>
              <w:spacing w:before="0" w:after="283"/>
              <w:ind w:left="0" w:right="0" w:hanging="0"/>
              <w:jc w:val="left"/>
              <w:rPr/>
            </w:pPr>
            <w:r>
              <w:rPr/>
              <w:t> </w:t>
            </w:r>
          </w:p>
        </w:tc>
        <w:tc>
          <w:tcPr>
            <w:tcW w:w="61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(9.7</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Restructuring charges</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(0.4</w:t>
            </w:r>
          </w:p>
        </w:tc>
        <w:tc>
          <w:tcPr>
            <w:tcW w:w="303"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(1.1</w:t>
            </w:r>
          </w:p>
        </w:tc>
        <w:tc>
          <w:tcPr>
            <w:tcW w:w="24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(0.5</w:t>
            </w:r>
          </w:p>
        </w:tc>
        <w:tc>
          <w:tcPr>
            <w:tcW w:w="269"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CCEEFF" w:val="clear"/>
            <w:vAlign w:val="center"/>
          </w:tcPr>
          <w:p>
            <w:pPr>
              <w:pStyle w:val="TableContents"/>
              <w:bidi w:val="0"/>
              <w:spacing w:before="0" w:after="283"/>
              <w:jc w:val="left"/>
              <w:rPr/>
            </w:pPr>
            <w:r>
              <w:rPr/>
              <w:t> </w:t>
            </w:r>
          </w:p>
        </w:tc>
        <w:tc>
          <w:tcPr>
            <w:tcW w:w="76" w:type="dxa"/>
            <w:tcBorders>
              <w:bottom w:val="single" w:sz="2" w:space="0" w:color="000000"/>
            </w:tcBorders>
            <w:shd w:fill="CCEEFF" w:val="clear"/>
            <w:tcMar>
              <w:bottom w:w="28" w:type="dxa"/>
            </w:tcMar>
            <w:vAlign w:val="center"/>
          </w:tcPr>
          <w:p>
            <w:pPr>
              <w:pStyle w:val="TableContents"/>
              <w:bidi w:val="0"/>
              <w:spacing w:before="0" w:after="283"/>
              <w:ind w:left="0" w:right="0" w:hanging="0"/>
              <w:jc w:val="left"/>
              <w:rPr/>
            </w:pPr>
            <w:r>
              <w:rPr/>
              <w:t> </w:t>
            </w:r>
          </w:p>
        </w:tc>
        <w:tc>
          <w:tcPr>
            <w:tcW w:w="618" w:type="dxa"/>
            <w:tcBorders>
              <w:bottom w:val="single" w:sz="2" w:space="0" w:color="000000"/>
            </w:tcBorders>
            <w:shd w:fill="CCEE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(3.8</w:t>
            </w:r>
          </w:p>
        </w:tc>
        <w:tc>
          <w:tcPr>
            <w:tcW w:w="260"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359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Income (loss) from operations</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0.2</w:t>
            </w:r>
          </w:p>
        </w:tc>
        <w:tc>
          <w:tcPr>
            <w:tcW w:w="303"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74"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(16.0</w:t>
            </w:r>
          </w:p>
        </w:tc>
        <w:tc>
          <w:tcPr>
            <w:tcW w:w="24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0"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(4.0</w:t>
            </w:r>
          </w:p>
        </w:tc>
        <w:tc>
          <w:tcPr>
            <w:tcW w:w="269"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c>
          <w:tcPr>
            <w:tcW w:w="66" w:type="dxa"/>
            <w:tcBorders/>
            <w:shd w:fill="FFFFFF" w:val="clear"/>
            <w:vAlign w:val="center"/>
          </w:tcPr>
          <w:p>
            <w:pPr>
              <w:pStyle w:val="TableContents"/>
              <w:bidi w:val="0"/>
              <w:spacing w:before="0" w:after="283"/>
              <w:jc w:val="left"/>
              <w:rPr/>
            </w:pPr>
            <w:r>
              <w:rPr/>
              <w:t> </w:t>
            </w:r>
          </w:p>
        </w:tc>
        <w:tc>
          <w:tcPr>
            <w:tcW w:w="76" w:type="dxa"/>
            <w:tcBorders>
              <w:bottom w:val="double" w:sz="6" w:space="0" w:color="000000"/>
            </w:tcBorders>
            <w:shd w:fill="FFFFFF" w:val="clear"/>
            <w:tcMar>
              <w:bottom w:w="28" w:type="dxa"/>
            </w:tcMar>
            <w:vAlign w:val="center"/>
          </w:tcPr>
          <w:p>
            <w:pPr>
              <w:pStyle w:val="TableContents"/>
              <w:bidi w:val="0"/>
              <w:spacing w:before="0" w:after="283"/>
              <w:ind w:left="0" w:right="0" w:hanging="0"/>
              <w:jc w:val="left"/>
              <w:rPr/>
            </w:pPr>
            <w:r>
              <w:rPr/>
              <w:t> </w:t>
            </w:r>
          </w:p>
        </w:tc>
        <w:tc>
          <w:tcPr>
            <w:tcW w:w="618" w:type="dxa"/>
            <w:tcBorders>
              <w:bottom w:val="double" w:sz="6" w:space="0" w:color="000000"/>
            </w:tcBorders>
            <w:shd w:fill="FFFFFF" w:val="clear"/>
            <w:tcMar>
              <w:bottom w:w="28" w:type="dxa"/>
            </w:tcM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(21.8</w:t>
            </w:r>
          </w:p>
        </w:tc>
        <w:tc>
          <w:tcPr>
            <w:tcW w:w="260"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Second Quarter of Fiscal 2026 Compared to Second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increased 38.4% to $149.0 million in 2026, compared to $107.7 million in 2025. Net sales for the second quarter of fiscal 2026 increased compared to the same period in fiscal 2025, primarily driven by stronger demand across AI</w:t>
        <w:noBreakHyphen/>
        <w:t>based computing applications, industrial and automotive semiconductor markets. Meanwhile, demand in mobile and consumer end markets remained relatively consistent year-over-year.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Gross margin consists of net sales, less cost of sales. Cost of sales consists primarily of materials, assembly, test labor, and overhead from operations. Our gross margin can fluctuate due to a number of factors, including, but not limited to, the mix and volume of products sold, product support costs, changes in inventory reserves, the sale of previously reserved inventory, manufacturing cost structure, and business volume which impacts the utilization of our manufacturing capacity. Our gross margin, as a percentage of net sales for the second quarter, was 45.4% in fiscal 2026 and 43.7% in fiscal 2025. Gross margin in the second quarter of fiscal 2026 was impacted by a more favorable mix of systems sold to customers, as well as higher overall business volume, which enabled improved utilization of our existing manufacturing cost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compute the majority of our excess and obsolete inventory reserve requirements using inventory usage forecasts. During the second quarter of fiscal 2026 and 2025, we recorded charges to cost of sales of $3.2 million and $1.5 million for excess and obsolete inventory, respectively. We believe our reserves for excess and obsolete inventory and lower of cost or net realizable value are adequate to cover known exposures as of June 27, 2026. Further reductions in customer forecasts, continued modifications to products, or our failure to meet specifications or other customer requirements, may result in additional charges to operations that could negatively impact our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Research and Development Expense (</w:t>
      </w:r>
      <w:r>
        <w:rPr>
          <w:rFonts w:ascii="Times New Roman" w:hAnsi="Times New Roman"/>
          <w:caps w:val="false"/>
          <w:smallCaps w:val="false"/>
          <w:sz w:val="20"/>
        </w:rPr>
        <w:t>“</w:t>
      </w:r>
      <w:r>
        <w:rPr>
          <w:rFonts w:ascii="Times New Roman" w:hAnsi="Times New Roman"/>
          <w:b/>
          <w:i/>
          <w:caps w:val="false"/>
          <w:smallCaps w:val="false"/>
          <w:sz w:val="20"/>
        </w:rPr>
        <w:t>R&amp;D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consists primarily of salaries and related costs of employees engaged in ongoing research, product design and development activities, costs of engineering materials and supplies and professional consulting expenses. R&amp;D expense was $24.9 million in fiscal 2026 and $23.2 million in fiscal 2025, representing 16.8% and 21.5% of net sales, respectively. During the second quarter of fiscal 2026 R&amp;D expenses increased primarily due to higher material costs incurred for new products under development, reflecting continued investment in our product roadmap.</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Selling, General and Administrative Expense (</w:t>
      </w:r>
      <w:r>
        <w:rPr>
          <w:rFonts w:ascii="Times New Roman" w:hAnsi="Times New Roman"/>
          <w:caps w:val="false"/>
          <w:smallCaps w:val="false"/>
          <w:sz w:val="20"/>
        </w:rPr>
        <w:t>“</w:t>
      </w:r>
      <w:r>
        <w:rPr>
          <w:rFonts w:ascii="Times New Roman" w:hAnsi="Times New Roman"/>
          <w:b/>
          <w:i/>
          <w:caps w:val="false"/>
          <w:smallCaps w:val="false"/>
          <w:sz w:val="20"/>
        </w:rPr>
        <w:t>SG&amp;A Expense</w:t>
      </w:r>
      <w:r>
        <w:rPr>
          <w:rFonts w:ascii="Times New Roman" w:hAnsi="Times New Roman"/>
          <w:caps w:val="false"/>
          <w:smallCaps w:val="false"/>
          <w:sz w:val="20"/>
        </w:rPr>
        <w:t>”</w:t>
      </w:r>
      <w:r>
        <w:rPr>
          <w:rFonts w:ascii="Times New Roman" w:hAnsi="Times New Roman"/>
          <w:b/>
          <w:i/>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consists primarily of salaries and benefit costs of employees, commission expense for independent sales representatives, product promotion and costs of professional services. SG&amp;A expense was $34.4 million or 23.1% of net sales in fiscal 2026, compared to $29.9 million or 27.7% in fiscal 2025. SG&amp;A expense during the second fiscal quarter of 2026 increased on a year-over-year basis, primarily driven by higher business volume and the associated increase in selling and administrative activity. These increases were partially offset by improved operating leverage as SG&amp;A declined as a percentage of 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35</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purchased intangibles is the process of expensing the cost of an intangible asset acquired through a business combination over the projected life of the asset. Amortization of acquisition-related intangible assets was $7.3 million and $10.0 million in the second fiscal quarter of 2026 and 2025, respectively. The decrease in amortization expense during the second quarter of fiscal 2026 was primarily due to certain acquisition</w:t>
        <w:noBreakHyphen/>
        <w:t>related intangible assets becoming fully amortized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initiated a broad strategic restructuring program during the first quarter of fiscal 2025 aimed at repositioning our global organization and optimizing our cost structure. As a result of this program, during the second fiscal quarters of fiscal 2026 and fiscal 2025, we incurred restructuring charges totaling $0.6 million and $1.2 million, respectively. The year</w:t>
        <w:noBreakHyphen/>
        <w:t>over</w:t>
        <w:noBreakHyphen/>
        <w:t>year decrease in restructuring charges reflects the substantial completion of the program and lower related activities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$1.6 million and $0.1 million in the second fiscal quarter of 2026 and 2025, respectively. The increase in interest expense compared to the prior year was primarily attributable to interest expense associated with the convertible notes issued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$3.9 million and $1.4 million in the second quarter of fiscal 2026 and 2025, respectively. The increase in interest income compared to the prior year was primarily driven by higher average investment balances during the second fiscal quarter of 2026, reflecting the investment of proceeds from the issuance of the convertible notes in the fourth quarter of fiscal 2025. The higher invested balances resulted in increased interest income during the period.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effective tax rate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changes in uncertain tax benefit positions, changes to valuation allowances, the accrual of taxes on unremitted income of our foreign subsidiaries, state taxes, and foreign withholding taxes.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second quarter 2026 tax provision is higher than the second quarter 2025 tax provision, primarily due to a change in mix of income between tax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Taiwan,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as described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$0.2 million for the three months ended June 27, 2026, and $16.9 million for the three months ended June 28,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First Six Months of Fiscal 2026 Compared to First Six Months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Sales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consolidated net sales increased 34.1% to $274.1 million in 2026, compared to $204.5 million in 2025. Net sales for the first six months of fiscal 2026 increased compared to fiscal 2025, driven by stronger demand across all of our semiconductor end-markets, and mainly driven by very strong demand from AI</w:t>
        <w:noBreakHyphen/>
        <w:t>based computing applications.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36</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Gross Margin (exclusive of amortization of acquisition-related intangible assets described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gross margin, as a percentage of net sales, increased to 45.8% in 2026 from 43.7% in 2025. Gross margin during the first six months of fiscal 2026 was impacted by a more favorable mix of systems sold to customers, as well as higher overall business volume, which enabled improved utilization of our existing manufacturing cost structure.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the first six months of fiscal 2026 and 2025 we recorded charges to cost of sales for excess and obsolete inventory of approximately $5.5 million and $3.2 million, respectively. We believe our reserves for excess and obsolete inventory and lower of cost or net realizable value are adequate to cover known exposures as of June 27, 2026. Reductions in customer forecasts or continued modifications to products, or our failure to meet specifications or other customer requirements may result in additional charges to operations that could negatively impact our results of operations and gross margin in future periods.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R&amp;D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R&amp;D expense was $51.3 million or 18.8% of net sales in fiscal 2026, compared to $46.3 million or 22.7% in fiscal 2025. R&amp;D expense increased during the first six months of fiscal 2026 due to higher material costs associated with new product development during the current year.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SG&amp;A Expense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SG&amp;A expense was $69.0 million or 25.2% of net sales in 2026, compared to $59.9 million or 29.3% in 2025. The increase in SG&amp;A expense was primarily attributable to higher business volume and the associated increase in selling and administrative activity. However, SG&amp;A expense as a percentage of net sales decreased due to improved operating leverage resulting from higher sales volumes. In addition, SG&amp;A expense during the first six months of fiscal 2025 benefited from cost control measures, lower incentive compensation resulting from business conditions and a $1.7 million benefit from an adjustment made to contingent consideration related to the acquisition of Tignis.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Amortization of Purchased Intangible Assets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Amortization of acquisition-related intangible assets was $14.6 million and $19.9 million for the first six months of fiscal 2026 and fiscal 2025, respectively. The decrease in amortization expense during the first six months of fiscal 2026 was primarily due to certain acquisition</w:t>
        <w:noBreakHyphen/>
        <w:t>related intangible assets becoming fully amortized during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initiated a broad strategic restructuring program during the first quarter of fiscal 2025 aimed at repositioning our global organization and optimizing our cost structure. As a result of this program, during the first six months of fiscal 2026 and fiscal 2025, we incurred restructuring charges totaling $1.4 million and $7.8 million, respectively. The year over year decrease in restructuring charges reflects the substantial completion of the program and lower related activities in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See Note 4, “Restructuring Charges” in Part I, Item 1 of this Form 10-Q for additional information with respect to restructuring charges.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Interest Expense and Income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expense was $3.2 million and $0.3 million in the first six months of fiscal 2026 and fiscal 2025, respectively. The increase in interest expense compared to the prior year was primarily attributable to higher interest expense associated with the convertible notes issued during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Interest income was $7.7 million and $3.0 million in the first six months of fiscal 2026 and fiscal 2025, respectively. The increase in interest income compared to the prior year was primarily driven by higher average investment balances during fiscal 2026, reflecting the investment of proceeds from the issuance of the convertible notes in the fourth quarter of fiscal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37</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Income Taxes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account for income taxes in accordance with ASC 740. The provision or benefit for income taxes is attributable to U.S. federal, state, and foreign income taxes. Our ETR used for interim periods is based on an estimated annual effective tax rate, adjusted for the tax effect of items required to be recorded discretely in the interim periods in which those items occur. Our ETR is different than the statutory rate in the U.S. due to foreign income taxed at different rates than in the U.S., changes in uncertain tax benefit positions, changes to valuation allowances, the accrual of taxes on unremitted income of our foreign subsidiaries, state taxes, and foreign withholding taxes. In addition, we have numerous tax holidays related to our manufacturing operations in Malaysia and the Philippines. The tax holiday periods expire at various times in the future; however, we actively seek to obtain new tax holidays.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tax provision for the six months ended June 27, 2026, is higher than the tax provision for the six months ended June 28, 2025, primarily due to a change in mix of income between tax jurisdictions.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conduct business globally and as a result, Cohu or one or more of its subsidiaries files income tax returns in the U.S. and various state and foreign jurisdictions. In the normal course of business, we are subject to examinations by taxing authorities throughout the world and are currently under examination in Germany, the Philippines, Malaysia, Taiwan, and California. We believe our financial statement accruals for income taxes are appropriate.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accordance with the disclosure requirements in ASC 740, we have classified unrecognized tax benefits as non-current income tax liabilities, or a reduction in non-current deferred tax assets, unless expected to be paid within one year. Our continuing practice is to recognize interest and/or penalties related to income tax matters in income tax expense. There were no material changes to our unrecognized tax benefits and interest accrued related to unrecognized tax benefits during the six months ended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i/>
          <w:caps w:val="false"/>
          <w:smallCaps w:val="false"/>
          <w:sz w:val="20"/>
        </w:rPr>
      </w:pPr>
      <w:r>
        <w:rPr>
          <w:rFonts w:ascii="Times New Roman" w:hAnsi="Times New Roman"/>
          <w:b/>
          <w:i/>
          <w:caps w:val="false"/>
          <w:smallCaps w:val="false"/>
          <w:sz w:val="20"/>
        </w:rPr>
        <w:t>Net Loss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the factors set forth above, our net loss was $12.2 million for the six months ended June 27, 2026. For the six months ended June 28, 2025, our net loss was $47.7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 AND 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business is generally dependent on capital expenditures by semiconductor manufacturers and test subcontractors that are, in turn, dependent on the current and anticipated market demand for semiconductors. The cyclical, seasonal and volatile nature of demand for semiconductor equipment, our primary industry, makes estimates of future revenues, results of operations and net cash flows difficult.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primary historical source of liquidity and capital resources has been cash flow generated by operations and we manage our business to maximize operating cash flows as our primary source of liquidity. We use cash to fund growth in our operating assets and to fund new products and product enhancements primarily through research and development. As of June 27, 2026, $169.6 million or 77.2% of our cash and cash equivalents was held by our foreign subsidiaries. If these funds are needed for our operations in the U.S., we may be required to accrue and pay foreign withholding taxes if we repatriate these funds. Except for working capital requirements in certain jurisdictions, we provide for all withholding and other residual taxes related to unremitted earnings of our foreign subsidiaries.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June 27, 2026, our total indebtedness, net of deferred financing costs included $279.3 million outstanding under the Notes, $1.4 million outstanding under Kita’s term loans, $5.5 million outstanding under Cohu GmbH’s construction loan, $9.7 million outstanding under Cohu Malaysia’s revolving credit facility and $0.3 million outstanding under Kita’s 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Management believes that, based on current and anticipated market conditions, our existing cash, cash equivalents, short-term investments, and available credit facilities will be sufficient to meet our anticipated operating and capital requirements for at least the next 12 months. However, our liquidity position could be adversely affected by a decline in demand for our products or services. Additionally, we may pursue strategic acquisitions or increase capital expenditures, which could require additional financing. There can be no assurance that such financing will be available on favorable terms, or at all.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38</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Liquidity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Working Capital:</w:t>
      </w:r>
      <w:r>
        <w:rPr>
          <w:rFonts w:ascii="Times New Roman" w:hAnsi="Times New Roman"/>
          <w:caps w:val="false"/>
          <w:smallCaps w:val="false"/>
          <w:sz w:val="20"/>
        </w:rPr>
        <w:t xml:space="preserve"> The following summarizes our cash, cash equivalents, short-term investments and working capital:</w:t>
      </w:r>
    </w:p>
    <w:p>
      <w:pPr>
        <w:pStyle w:val="TextBody"/>
        <w:bidi w:val="0"/>
        <w:spacing w:before="0" w:after="0"/>
        <w:ind w:left="0" w:right="0" w:hanging="0"/>
        <w:jc w:val="left"/>
        <w:rPr>
          <w:caps w:val="false"/>
          <w:smallCaps w:val="false"/>
        </w:rPr>
      </w:pPr>
      <w:r>
        <w:rPr>
          <w:caps w:val="false"/>
          <w:smallCaps w:val="false"/>
        </w:rPr>
        <w:t> </w:t>
      </w:r>
    </w:p>
    <w:tbl>
      <w:tblPr>
        <w:tblW w:w="8274" w:type="dxa"/>
        <w:jc w:val="left"/>
        <w:tblInd w:w="0" w:type="dxa"/>
        <w:tblLayout w:type="fixed"/>
        <w:tblCellMar>
          <w:top w:w="0" w:type="dxa"/>
          <w:left w:w="0" w:type="dxa"/>
          <w:bottom w:w="0" w:type="dxa"/>
          <w:right w:w="0" w:type="dxa"/>
        </w:tblCellMar>
      </w:tblPr>
      <w:tblGrid>
        <w:gridCol w:w="4100"/>
        <w:gridCol w:w="60"/>
        <w:gridCol w:w="125"/>
        <w:gridCol w:w="695"/>
        <w:gridCol w:w="60"/>
        <w:gridCol w:w="60"/>
        <w:gridCol w:w="171"/>
        <w:gridCol w:w="958"/>
        <w:gridCol w:w="60"/>
        <w:gridCol w:w="60"/>
        <w:gridCol w:w="125"/>
        <w:gridCol w:w="590"/>
        <w:gridCol w:w="60"/>
        <w:gridCol w:w="60"/>
        <w:gridCol w:w="162"/>
        <w:gridCol w:w="743"/>
        <w:gridCol w:w="185"/>
      </w:tblGrid>
      <w:tr>
        <w:trPr/>
        <w:tc>
          <w:tcPr>
            <w:tcW w:w="41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820"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June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1129"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December 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590" w:type="dxa"/>
            <w:tcBorders/>
            <w:vAlign w:val="center"/>
          </w:tcPr>
          <w:p>
            <w:pPr>
              <w:pStyle w:val="TableContents"/>
              <w:bidi w:val="0"/>
              <w:spacing w:before="0" w:after="283"/>
              <w:jc w:val="center"/>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ind w:left="0" w:right="0" w:hanging="0"/>
              <w:jc w:val="left"/>
              <w:rPr/>
            </w:pPr>
            <w:r>
              <w:rPr/>
              <w:t> </w:t>
            </w:r>
          </w:p>
        </w:tc>
        <w:tc>
          <w:tcPr>
            <w:tcW w:w="905" w:type="dxa"/>
            <w:gridSpan w:val="2"/>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Percentage</w:t>
            </w:r>
          </w:p>
        </w:tc>
        <w:tc>
          <w:tcPr>
            <w:tcW w:w="185" w:type="dxa"/>
            <w:tcBorders/>
            <w:vAlign w:val="center"/>
          </w:tcPr>
          <w:p>
            <w:pPr>
              <w:pStyle w:val="TableContents"/>
              <w:bidi w:val="0"/>
              <w:spacing w:before="0" w:after="283"/>
              <w:jc w:val="left"/>
              <w:rPr/>
            </w:pPr>
            <w:r>
              <w:rPr/>
              <w:t> </w:t>
            </w:r>
          </w:p>
        </w:tc>
      </w:tr>
      <w:tr>
        <w:trPr/>
        <w:tc>
          <w:tcPr>
            <w:tcW w:w="4100" w:type="dxa"/>
            <w:tcBorders>
              <w:bottom w:val="single" w:sz="2" w:space="0" w:color="000000"/>
            </w:tcBorders>
            <w:tcMar>
              <w:bottom w:w="28" w:type="dxa"/>
            </w:tcMar>
            <w:vAlign w:val="center"/>
          </w:tcPr>
          <w:p>
            <w:pPr>
              <w:pStyle w:val="TableContents"/>
              <w:bidi w:val="0"/>
              <w:spacing w:before="0" w:after="0"/>
              <w:ind w:left="0" w:right="0" w:hanging="0"/>
              <w:jc w:val="left"/>
              <w:rPr>
                <w:rFonts w:ascii="Times New Roman;Times;serif" w:hAnsi="Times New Roman;Times;serif"/>
                <w:i/>
                <w:caps w:val="false"/>
                <w:smallCaps w:val="false"/>
                <w:sz w:val="20"/>
              </w:rPr>
            </w:pPr>
            <w:r>
              <w:rPr>
                <w:rFonts w:ascii="Times New Roman;Times;serif" w:hAnsi="Times New Roman;Times;serif"/>
                <w:i/>
                <w:caps w:val="false"/>
                <w:smallCaps w:val="false"/>
                <w:sz w:val="20"/>
              </w:rPr>
              <w:t>(in thousands)</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820"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2026</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1129"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2025</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71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Increase</w:t>
            </w:r>
          </w:p>
        </w:tc>
        <w:tc>
          <w:tcPr>
            <w:tcW w:w="60" w:type="dxa"/>
            <w:tcBorders>
              <w:bottom w:val="single" w:sz="2" w:space="0" w:color="000000"/>
            </w:tcBorders>
            <w:tcMar>
              <w:bottom w:w="28" w:type="dxa"/>
            </w:tcMar>
            <w:vAlign w:val="center"/>
          </w:tcPr>
          <w:p>
            <w:pPr>
              <w:pStyle w:val="TableContents"/>
              <w:bidi w:val="0"/>
              <w:spacing w:before="0" w:after="283"/>
              <w:jc w:val="left"/>
              <w:rPr/>
            </w:pPr>
            <w:r>
              <w:rPr/>
              <w:t> </w:t>
            </w:r>
          </w:p>
        </w:tc>
        <w:tc>
          <w:tcPr>
            <w:tcW w:w="60" w:type="dxa"/>
            <w:tcBorders>
              <w:bottom w:val="single" w:sz="2" w:space="0" w:color="000000"/>
            </w:tcBorders>
            <w:tcMar>
              <w:bottom w:w="28" w:type="dxa"/>
            </w:tcMar>
            <w:vAlign w:val="center"/>
          </w:tcPr>
          <w:p>
            <w:pPr>
              <w:pStyle w:val="TableContents"/>
              <w:bidi w:val="0"/>
              <w:spacing w:before="0" w:after="283"/>
              <w:ind w:left="0" w:right="0" w:hanging="0"/>
              <w:jc w:val="left"/>
              <w:rPr/>
            </w:pPr>
            <w:r>
              <w:rPr/>
              <w:t> </w:t>
            </w:r>
          </w:p>
        </w:tc>
        <w:tc>
          <w:tcPr>
            <w:tcW w:w="905" w:type="dxa"/>
            <w:gridSpan w:val="2"/>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Change</w:t>
            </w:r>
          </w:p>
        </w:tc>
        <w:tc>
          <w:tcPr>
            <w:tcW w:w="185" w:type="dxa"/>
            <w:tcBorders/>
            <w:vAlign w:val="center"/>
          </w:tcPr>
          <w:p>
            <w:pPr>
              <w:pStyle w:val="TableContents"/>
              <w:bidi w:val="0"/>
              <w:spacing w:before="0" w:after="283"/>
              <w:jc w:val="left"/>
              <w:rPr/>
            </w:pPr>
            <w:r>
              <w:rPr/>
              <w:t> </w:t>
            </w:r>
          </w:p>
        </w:tc>
      </w:tr>
      <w:tr>
        <w:trPr/>
        <w:tc>
          <w:tcPr>
            <w:tcW w:w="410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Cash, cash equivalents and short-term investments</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498,167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71"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483,981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ind w:left="0" w:right="0" w:hanging="0"/>
              <w:jc w:val="left"/>
              <w:rPr/>
            </w:pPr>
            <w:r>
              <w:rPr/>
              <w:t> </w:t>
            </w:r>
          </w:p>
        </w:tc>
        <w:tc>
          <w:tcPr>
            <w:tcW w:w="125" w:type="dxa"/>
            <w:tcBorders/>
            <w:shd w:fill="CCEE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14,186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62" w:type="dxa"/>
            <w:tcBorders/>
            <w:shd w:fill="CCEEFF" w:val="clear"/>
            <w:vAlign w:val="center"/>
          </w:tcPr>
          <w:p>
            <w:pPr>
              <w:pStyle w:val="TableContents"/>
              <w:bidi w:val="0"/>
              <w:spacing w:before="0" w:after="283"/>
              <w:ind w:left="0" w:right="0" w:hanging="0"/>
              <w:jc w:val="left"/>
              <w:rPr/>
            </w:pPr>
            <w:r>
              <w:rPr/>
              <w:t> </w:t>
            </w:r>
          </w:p>
        </w:tc>
        <w:tc>
          <w:tcPr>
            <w:tcW w:w="743" w:type="dxa"/>
            <w:tcBorders/>
            <w:shd w:fill="CCEE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2.9</w:t>
            </w:r>
          </w:p>
        </w:tc>
        <w:tc>
          <w:tcPr>
            <w:tcW w:w="185" w:type="dxa"/>
            <w:tcBorders/>
            <w:shd w:fill="CCEE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r>
        <w:trPr/>
        <w:tc>
          <w:tcPr>
            <w:tcW w:w="4100" w:type="dxa"/>
            <w:tcBorders/>
            <w:shd w:fill="FFFF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Working capital</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695"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651,289</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71"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958"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640,912</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ind w:left="0" w:right="0" w:hanging="0"/>
              <w:jc w:val="left"/>
              <w:rPr/>
            </w:pPr>
            <w:r>
              <w:rPr/>
              <w:t> </w:t>
            </w:r>
          </w:p>
        </w:tc>
        <w:tc>
          <w:tcPr>
            <w:tcW w:w="125" w:type="dxa"/>
            <w:tcBorders/>
            <w:shd w:fill="FFFFFF" w:val="clear"/>
            <w:vAlign w:val="center"/>
          </w:tcPr>
          <w:p>
            <w:pPr>
              <w:pStyle w:val="TableContents"/>
              <w:bidi w:val="0"/>
              <w:spacing w:before="0" w:after="283"/>
              <w:ind w:left="0" w:right="0" w:hanging="0"/>
              <w:jc w:val="left"/>
              <w:rPr>
                <w:rFonts w:ascii="Times New Roman;Times;serif" w:hAnsi="Times New Roman;Times;serif"/>
                <w:sz w:val="20"/>
              </w:rPr>
            </w:pPr>
            <w:r>
              <w:rPr>
                <w:rFonts w:ascii="Times New Roman;Times;serif" w:hAnsi="Times New Roman;Times;serif"/>
                <w:sz w:val="20"/>
              </w:rPr>
              <w:t>$</w:t>
            </w:r>
          </w:p>
        </w:tc>
        <w:tc>
          <w:tcPr>
            <w:tcW w:w="590"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10,377</w:t>
            </w:r>
          </w:p>
        </w:tc>
        <w:tc>
          <w:tcPr>
            <w:tcW w:w="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62" w:type="dxa"/>
            <w:tcBorders/>
            <w:shd w:fill="FFFFFF" w:val="clear"/>
            <w:vAlign w:val="center"/>
          </w:tcPr>
          <w:p>
            <w:pPr>
              <w:pStyle w:val="TableContents"/>
              <w:bidi w:val="0"/>
              <w:spacing w:before="0" w:after="283"/>
              <w:ind w:left="0" w:right="0" w:hanging="0"/>
              <w:jc w:val="left"/>
              <w:rPr/>
            </w:pPr>
            <w:r>
              <w:rPr/>
              <w:t> </w:t>
            </w:r>
          </w:p>
        </w:tc>
        <w:tc>
          <w:tcPr>
            <w:tcW w:w="743" w:type="dxa"/>
            <w:tcBorders/>
            <w:shd w:fill="FFFFFF" w:val="clear"/>
            <w:vAlign w:val="center"/>
          </w:tcPr>
          <w:p>
            <w:pPr>
              <w:pStyle w:val="TableContents"/>
              <w:bidi w:val="0"/>
              <w:spacing w:before="0" w:after="283"/>
              <w:ind w:left="0" w:right="0" w:hanging="0"/>
              <w:jc w:val="right"/>
              <w:rPr>
                <w:rFonts w:ascii="Times New Roman;Times;serif" w:hAnsi="Times New Roman;Times;serif"/>
                <w:sz w:val="20"/>
              </w:rPr>
            </w:pPr>
            <w:r>
              <w:rPr>
                <w:rFonts w:ascii="Times New Roman;Times;serif" w:hAnsi="Times New Roman;Times;serif"/>
                <w:sz w:val="20"/>
              </w:rPr>
              <w:t>1.6</w:t>
            </w:r>
          </w:p>
        </w:tc>
        <w:tc>
          <w:tcPr>
            <w:tcW w:w="185" w:type="dxa"/>
            <w:tcBorders/>
            <w:shd w:fill="FFFFFF" w:val="clear"/>
            <w:vAlign w:val="center"/>
          </w:tcPr>
          <w:p>
            <w:pPr>
              <w:pStyle w:val="TableContents"/>
              <w:bidi w:val="0"/>
              <w:spacing w:before="0" w:after="283"/>
              <w:jc w:val="left"/>
              <w:rPr>
                <w:rFonts w:ascii="Times New Roman;Times;serif" w:hAnsi="Times New Roman;Times;serif"/>
                <w:sz w:val="20"/>
              </w:rPr>
            </w:pPr>
            <w:r>
              <w:rPr>
                <w:rFonts w:ascii="Times New Roman;Times;serif" w:hAnsi="Times New Roman;Times;serif"/>
                <w:sz w:val="20"/>
              </w:rPr>
              <w:t>%</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Cash Flows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Operating Activities:</w:t>
      </w:r>
      <w:r>
        <w:rPr>
          <w:rFonts w:ascii="Times New Roman" w:hAnsi="Times New Roman"/>
          <w:caps w:val="false"/>
          <w:smallCaps w:val="false"/>
          <w:sz w:val="20"/>
        </w:rPr>
        <w:t xml:space="preserve"> Operating cash flows for the first six months of fiscal 2026 consisted of our net loss, adjusted for non-cash expenses and changes in operating assets and liabilities. Significant non-cash adjustments included depreciation and amortization, share-based compensation expense, non-cash inventory-related charges, amortization of debt discounts and issuance costs, and amortization of cloud-based software implementation costs. Our net cash provided by operating activities in the first six months of fiscal 2026 totaled $20.8 million. Net cash provided by operations was positively impacted by working capital changes, including a $21.3 million increase in accounts payable, a $3.6 million increase in accrued compensation, warranty, and other liabilities, a $2.2 million increase in customer advances; partially offset by a $18.2 million increase in inventories and a $16.8 million increase in accounts receivable. The increase in accounts payable was primarily due to the timing of supplier payments, the increase in accrued compensation, warranty, and other liabilities reflects the timing of payments and settlements during the period, and the increase in customer advances reflects timing of customer payments received in advance of performance obligations. Inventory increased during the six months ended June 27, 2026, reflecting higher production levels to support anticipated customer demand and changes in product mix, partially offset by continued efforts to manage inventory and working capital efficiently across global operations. The increase in accounts receivable was primarily due to higher business volume as well as the timing of cash collections during the quarter.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Investing Activities:</w:t>
      </w:r>
      <w:r>
        <w:rPr>
          <w:rFonts w:ascii="Times New Roman" w:hAnsi="Times New Roman"/>
          <w:caps w:val="false"/>
          <w:smallCaps w:val="false"/>
          <w:sz w:val="20"/>
        </w:rPr>
        <w:t xml:space="preserve"> Investing cash flows consist primarily of cash used for capital expenditures in support of our business, purchases of investments, and proceeds from investment maturities and sales. Our net cash used in investing activities in the first six months of fiscal 2026 totaled $23.2 million. We generated $111.0 million from sales and maturities and used $131.3 million of cash for purchases of short-term investments in the first six months of fiscal 2026. We invest our excess cash to seek the highest available return while preserving capital, in short-term investments since excess cash may be required for a business-related purpose. Additions to property, plant and equipment in the first six months of fiscal 2026 were $4.3 million, and were made to support our operating and development activities.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Financing Activities:</w:t>
      </w:r>
      <w:r>
        <w:rPr>
          <w:rFonts w:ascii="Times New Roman" w:hAnsi="Times New Roman"/>
          <w:caps w:val="false"/>
          <w:smallCaps w:val="false"/>
          <w:sz w:val="20"/>
        </w:rPr>
        <w:t xml:space="preserve"> Financing cash flows consist primarily of net proceeds from the issuance of common stock under our employee stock purchase plan and repayments of debt. We issue restricted stock units, including performance stock units, and maintain an employee stock purchase plan as components of our overall employee compensation. In the first six months of fiscal 2026, cash used to settle the minimum statutory tax withholding requirements on behalf of our employees upon vesting of restricted and performance stock awards, net of proceeds from shares issued under our employee stock purchase plan, was $3.4 million. We did not repurchase shares under our share repurchase program to be held as treasury stock during the period. Repayments of debt during the first six months of fiscal 2026 totaled $0.7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For the six months ended June 27, 2026, we did not repurchase any shares of our common stock and, as of June 27, 2026,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Capital Resources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access to credit facilities and other borrowings provided by financial institutions to finance acquisitions, capital expenditures and our operations if needed. A summary of our borrowings and available credit is as follows.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39</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Convertible Senior Notes Due 2031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September 29, 2025, we issued $287.5 million aggregate principal amount of 1.50% convertible senior notes due 2031. The Notes include the full exercise by the initial purchasers on September 25, 2025, of their option to purchase up to an additional $27.5 million principal amount of the Notes. The Notes are senior unsecured obligations and bear interest at a coupon rate of 1.50% per annum, with interest payable semiannually in arrears on January 15 and July 15 of each year, beginning on January 15, 2026. The Notes will mature on January 15, 2031, unless earlier converted, redeemed or repurchased in accordance with their terms.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Prior to the close of business on the business day immediately preceding October 15, 2030, noteholders will have the right to convert their Notes only upon the occurrence of certain events. On or after October 15, 2030, noteholders may convert all or any portion of their Notes at any time at their election until the close of business on the second scheduled trading day immediately preceding the maturity date. The Notes were not convertible during the fiscal quarter ended June 27, 2026. The Notes will, however, be convertible at the option of holders thereof from July 28, 2026 through September 8, 2026 as a result of the last reported sale price our common stock exceeding 130% of the conversion price of the notes for at least five trading days (whether or not consecutive) during the first 20 trading days of the fiscal quarter commencing June 28,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Upon conversion, we will satisfy the conversion obligations by paying cash up to the aggregate principal amount of the Notes to be converted and paying and/or delivering cash, shares of common stock or a combination of cash and shares of common stock, at our election, in respect of the remainder, if any, of the conversion obligation in excess of the aggregate principal amount of the Notes being converted. The initial conversion rate for the Notes is 36.7975 shares of common stock per $1,000 principal amount of Notes (equivalent to an initial conversion price of approximately $27.18 per share of common stock), which represents an approximately 32.5% conversion premium over the last reported sale price of $20.51 per share of our common stock on The Nasdaq Stock Market on September 24, 2025. The conversion rate (and accordingly the conversion price) is subject to adjustment upon the occurrence of certain events. In addition, upon certain corporate events or upon a notice of redemption (as described below), we will, under certain circumstances, increase the conversion rate for noteholders who convert Notes in connection with such a corporate event or convert their Notes called (or deemed called) for redemption during the related redemption period, as the case may be.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Notes will not be redeemable before January 22, 2029. The Notes will be redeemable, in whole or in part, for cash at our option at any time, and from time to time, on or after January 22, 2029 and prior to the 51st scheduled trading day immediately preceding the maturity date, if (i) the Notes are “freely tradable” (as defined in the indenture governing the Notes), and certain accrued and unpaid additional interest, if any, has been paid in full, as of the first interest payment date occurring on or before the date we send such notice and (ii) the last reported sale price per share of our common stock has been at least 130% of the conversion price for a specified period of time. The redemption price will be equal to the principal amount of the Notes to be redeemed, plus accrued and unpaid interest, if any, to, but excluding, the redemption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If a “fundamental change” (as defined in the indenture governing the Notes) occurs, then, subject to certain conditions, noteholders may require us to repurchase their Notes for cash. The repurchase price will be equal to the principal amount of the Notes to be repurchased, plus accrued and unpaid interest, if any, to, but excluding, the applicable repurchase date.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net proceeds from the offering were approximately $278.9 million, after deducting the initial purchasers’ discounts and commissions but before offering expenses. We used approximately $31.4 million of the net proceeds to enter into the capped call transactions that are described in Note 8, “Equity”. We intend to use the remaining net proceeds for general corporate purposes.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Notes are recorded as liabilities in accordance with ASC 470. Issuance costs will be amortized to interest expense over the term of the Notes using the effective interest method. Upon issuance, we evaluated the conversion feature for potential separation as an embedded derivative under ASC 815 and determined that the conversion feature did not meet the criteria for derivative accounting.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effective interest rate for the Notes is 2.2% after considering the effect of the accretion of the related debt discount over the term of the Notes. For the three months ended June 27, 2026, total interest expense related to the Notes was $1.5 million, with coupon interest expense of $1.1 million and amortization of debt discount of $0.4 million. For the six months ended June 27, 2026, total interest expense related to the Notes was $3.0 million, with coupon interest expense of $2.2 million and amortization of debt discount of $0.8 million. As of June 27, 2026, the remaining unamortized debt discount of the Notes was $8.2 million. At June 27, 2026, the outstanding Notes balance, net of discount, was $279.3 million. At December 27, 2025, the outstanding Notes balance, net of discount, was $278.5 million.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40</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Kita Term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a series of term loans with Japanese financial institutions primarily related to the expansion of our facility in Osaka, Japan. The loans are collateralized by the facility and land, carry interest at rates ranging from 0.05% to 1.29%, and expire at various dates through 2034. At June 27, 2026, the outstanding loan balance was $1.4 million and $0.2 million of the outstanding balance is presented as current installments of long-term debt in our condensed consolidated balance sheets. At December 27, 2025, the outstanding loan balance was $1.5 million and $0.2 million of the outstanding balance is presented as current installments of long-term debt in our condensed consolidated balance sheets. The term loans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Construction Loans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In July 2019 and June 2020, one of our wholly owned subsidiaries located in Germany entered into a series of Loan Facilities with a German financial institution providing it with total borrowings of up to €10.1 million. The Loan Facilities were utilized to finance the expansion of our facility in Kolbermoor, Germany and are secured by the land and the existing building on the site. The Loan Facilities bear interest at agreed upon rates based on the facility amounts as discussed below.</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first facility totaling €3.4 million has been fully drawn and is payable over 10 years at a fixed annual interest rate of 0.8%. Principal and interest payments are due each quarter over the duration of the facility ending in September 2029. The second facility totaling €5.2 million has been fully drawn and is payable over 15 years at an annual interest rate of 1.05%, which is fixed until April 2027. Principal and interest payments are due each month over the duration of the facility ending in January 2034. The third facility totaling €0.9 million has been fully drawn and is payable over 10 years at an annual interest rate of 1.2%. Principal and interest payments are due each month over the duration of the facility ending in May 2030.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27, 2026, total outstanding borrowings under the Loan Facilities was $5.5 million with $1.0 million of the total outstanding balance being presented as current installments of long-term debt in our condensed consolidated balance sheets. At December 27, 2025, total outstanding borrowings under the Loan Facilities was $6.3 million with $1.1 million of the total outstanding balance being presented as current installments of long-term debt in our condensed consolidated balance sheets. The loans are denominated in Euros and, as a result, amounts disclosed herein will fluctuate because of changes in currency exchange rates. The fair value of the debt approximates the carrying value at June 27,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Revolving Credit Facility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December 30, 2024, our wholly owned subsidiary in Malaysia entered into a revolving credit facility with a Malaysian financial institution that provides up to MYR 40 million, of which MYR 40.0 million has been drawn. The revolving credit facility was utilized to finance the purchase of our leased facility in Melaka, Malaysia. Interest is due monthly and is calculated based on the lender’s Effective Cost of Funds plus a spread of 0.5%. The revolving credit facility is secured by the land and building. At June 27, 2026, $9.7 million was outstanding under the revolving credit facility and the rate of interest was 4.06%. As this revolving credit facility agreement renews monthly, it has been included in short-term borrowings in our condensed consolidated balance sheets. The revolving credit is denominated in Malaysian Ringgits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i/>
          <w:caps w:val="false"/>
          <w:smallCaps w:val="false"/>
          <w:sz w:val="20"/>
          <w:u w:val="single"/>
        </w:rPr>
      </w:pPr>
      <w:r>
        <w:rPr>
          <w:rFonts w:ascii="Times New Roman" w:hAnsi="Times New Roman"/>
          <w:i/>
          <w:caps w:val="false"/>
          <w:smallCaps w:val="false"/>
          <w:sz w:val="20"/>
          <w:u w:val="single"/>
        </w:rPr>
        <w:t>Lines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As a result of our acquisition of Kita, we assumed a series of revolving credit facilities with various financial institutions in Japan. The credit facilities renew monthly and provide Kita with access to working capital totaling up to 660 million Japanese Yen of which 50 million Japanese Yen is drawn. At June 27, 2026, total borrowings outstanding under the revolving lines of credit were $0.3 million. As these credit facility agreements renew monthly, they have been included in short-term borrowings in our condensed consolidated balance sheets.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 revolving lines of credit are denominated in Japanese Yen and, as a result, amounts disclosed herein will fluctuate because of changes in currency exchange rates.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wholly owned subsidiary in Switzerland has one available line of credit which provides it with borrowings of up to a total of 2.0 million Swiss Francs, a portion of which is reserved for tax guarantees. On June 27, 2026, and December 27, 2025, no amounts were outstanding under this line of credit.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also have a letter of credit facility (“LC Facility”) under which Bank of America, N.A., has agreed to administer the issuance of letters of credit on our behalf. The LC Facility requires us to maintain deposits of cash or other approved investments in amounts that approximate our outstanding letters of credit and contains customary restrictive covenants. In addition, our wholly owned subsidiary, Xcerra, has arrangements with various financial institutions for the issuance of letters of credit and bank guarantees. On June 27, 2026, $0.4 million was outstanding under standby letters of credit and bank guarantees.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41</w:t>
      </w:r>
    </w:p>
    <w:p>
      <w:pPr>
        <w:pStyle w:val="HorizontalLine"/>
        <w:pBdr>
          <w:bottom w:val="double" w:sz="2" w:space="0" w:color="808080"/>
        </w:pBdr>
        <w:bidi w:val="0"/>
        <w:spacing w:before="0" w:after="283"/>
        <w:jc w:val="left"/>
        <w:rPr/>
      </w:pPr>
      <w:r>
        <w:rPr/>
      </w:r>
    </w:p>
    <w:p>
      <w:pPr>
        <w:pStyle w:val="TextBody"/>
        <w:bidi w:val="0"/>
        <w:spacing w:before="0" w:after="0"/>
        <w:ind w:left="0" w:right="0" w:hanging="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Cohu, Inc.</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Management’s Discussion and Analysis of Financial Condition and Results of Operations</w:t>
      </w:r>
    </w:p>
    <w:p>
      <w:pPr>
        <w:pStyle w:val="TextBody"/>
        <w:bidi w:val="0"/>
        <w:spacing w:before="0" w:after="0"/>
        <w:ind w:left="0" w:right="0" w:hanging="0"/>
        <w:jc w:val="center"/>
        <w:rPr>
          <w:rFonts w:ascii="Times New Roman;Times;serif" w:hAnsi="Times New Roman;Times;serif"/>
          <w:b/>
          <w:sz w:val="20"/>
        </w:rPr>
      </w:pPr>
      <w:r>
        <w:rPr>
          <w:rFonts w:ascii="Times New Roman;Times;serif" w:hAnsi="Times New Roman;Times;serif"/>
          <w:b/>
          <w:sz w:val="20"/>
        </w:rPr>
        <w:t>June 27, 2026</w:t>
      </w:r>
    </w:p>
    <w:p>
      <w:pPr>
        <w:pStyle w:val="TextBody"/>
        <w:bidi w:val="0"/>
        <w:spacing w:before="0" w:after="283"/>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expect that we will continue to make capital expenditures to support our business and we anticipate that present working capital will be sufficient to meet our operating requirements for at least the next twelve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Contractual Obligations and Off-Balance Sheet Arrangements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Contractual Obligations:</w:t>
      </w:r>
      <w:r>
        <w:rPr>
          <w:rFonts w:ascii="Times New Roman" w:hAnsi="Times New Roman"/>
          <w:caps w:val="false"/>
          <w:smallCaps w:val="false"/>
          <w:sz w:val="20"/>
        </w:rPr>
        <w:t xml:space="preserve"> Our significant contractual obligations consist of liabilities for debt, operating leases, unrecognized tax benefits, pensions, post-retirement benefits, and warranties. There were no material changes to these obligations outside the ordinary course of business from those disclosed in our Annual Report on Form 10-K for the year ended December 27, 2025.</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Commitments to contract manufacturers and suppliers: </w:t>
      </w:r>
      <w:r>
        <w:rPr>
          <w:rFonts w:ascii="Times New Roman" w:hAnsi="Times New Roman"/>
          <w:caps w:val="false"/>
          <w:smallCaps w:val="false"/>
          <w:sz w:val="20"/>
        </w:rPr>
        <w:t>From time to time, we enter into commitments with our vendors and outsourcing partners to purchase inventory at fixed prices or in guaranteed quantities. We are not able to determine the aggregate amount of such purchase orders that represent contractual obligations, as purchase orders may represent authorizations to purchase rather than binding agreements. Our purchase orders are based on our current manufacturing needs and are fulfilled by our vendors within relatively short time horizons. We typically do not have significant agreements for the purchase of raw materials or other goods specifying minimum quantities or set prices that exceed our expected requirements for the next three months.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i/>
          <w:caps w:val="false"/>
          <w:smallCaps w:val="false"/>
          <w:sz w:val="20"/>
        </w:rPr>
        <w:t xml:space="preserve">Off-Balance Sheet Arrangements: </w:t>
      </w:r>
      <w:r>
        <w:rPr>
          <w:rFonts w:ascii="Times New Roman" w:hAnsi="Times New Roman"/>
          <w:caps w:val="false"/>
          <w:smallCaps w:val="false"/>
          <w:sz w:val="20"/>
        </w:rPr>
        <w:t>During the ordinary course of business, we provide standby letters of credit to certain parties as required. As of June 27, 2026, $0.3 million was outstanding under standby letters of credit.</w:t>
      </w:r>
    </w:p>
    <w:p>
      <w:pPr>
        <w:pStyle w:val="TextBody"/>
        <w:bidi w:val="0"/>
        <w:spacing w:before="0" w:after="0"/>
        <w:ind w:left="0" w:right="0" w:hanging="0"/>
        <w:jc w:val="left"/>
        <w:rPr>
          <w:caps w:val="false"/>
          <w:smallCaps w:val="false"/>
        </w:rPr>
      </w:pPr>
      <w:r>
        <w:rPr>
          <w:caps w:val="false"/>
          <w:smallCaps w:val="false"/>
        </w:rPr>
        <w:t> </w:t>
      </w:r>
    </w:p>
    <w:tbl>
      <w:tblPr>
        <w:tblW w:w="5800" w:type="dxa"/>
        <w:jc w:val="left"/>
        <w:tblInd w:w="0" w:type="dxa"/>
        <w:tblLayout w:type="fixed"/>
        <w:tblCellMar>
          <w:top w:w="0" w:type="dxa"/>
          <w:left w:w="0" w:type="dxa"/>
          <w:bottom w:w="0" w:type="dxa"/>
          <w:right w:w="0" w:type="dxa"/>
        </w:tblCellMar>
      </w:tblPr>
      <w:tblGrid>
        <w:gridCol w:w="650"/>
        <w:gridCol w:w="5150"/>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1" w:name="item_3"/>
            <w:bookmarkEnd w:id="11"/>
            <w:r>
              <w:rPr>
                <w:rFonts w:ascii="Times New Roman;Times;serif" w:hAnsi="Times New Roman;Times;serif"/>
                <w:b/>
                <w:sz w:val="20"/>
              </w:rPr>
              <w:t xml:space="preserve">Item 3. </w:t>
            </w:r>
          </w:p>
        </w:tc>
        <w:tc>
          <w:tcPr>
            <w:tcW w:w="515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Quantitative and Qualitative Disclosures About Market Risk.</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Investment and Interest Rate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At June 27, 2026, our investment portfolio included short-term fixed-income investment securities with a fair value of approximately $278.6 million, and we did not hold or issue financial instruments for trading purposes. These securities are subject to interest rate risk and will likely decline in value if interest rates increase. Our future investment income may fall short of expectations due to changes in interest rates or we may suffer losses in principal if we are forced to sell securities that decline in market value due to changes in interest rates. As we classify our short-term securities as available-for-sale, no gains or losses are recognized due to changes in interest rates unless such securities are sold prior to maturity or declines in fair value are determined to be credit-related. Due to the relatively short duration of our investment portfolio, an immediate ten percent change in interest rates would have no material impact on our financial condition or results of operations.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evaluate our investments periodically for possible other-than-temporary losses by reviewing factors such as the length of time and extent to which fair value has been below cost basis, the financial condition of the issuer and our ability and intent to hold the investment for a period of time sufficient for anticipated recovery of market value. As of June 27, 2026, the cost and fair value of investments we held with loss positions were approximately $216.1 million and $215.7 million, respectively. We evaluated the nature of these investments, credit worthiness of the issuer and the duration of these impairments to determine if a credit loss exists. We have the ability and intent to hold these investments to maturity.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Foreign Currency Exchange Risk.</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have operations in several foreign countries and conduct business in the local currency in these countries. As a result, we have risk associated with currency fluctuations as the value of foreign currencies fluctuate against the U.S. Dollar, in particular the Swiss Franc, Euro, Malaysian Ringgit, Chinese Yuan, Philippine Peso and Japanese Yen. These fluctuations can impact our reported earnings.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We enter into foreign currency forward contracts with a financial institution to hedge against future movements in foreign exchange rates that affect certain existing U.S. Dollar denominated assets and liabilities at our subsidiaries whose functional currency is the local currency. Under this program, our strategy is to have increases or decreases in our foreign currency exposures mitigated by gains or losses on the foreign currency forward contracts to mitigate the risks and volatility associated with foreign currency transaction gains or losses.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42</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Fluctuations in currency exchange rates also impact the U.S. Dollar amount of our net investment in foreign operations and in the third quarter of fiscal 2024 we began hedging foreign currency risk associated with net investment positions in certain of our foreign subsidiaries by entering foreign currency forward contracts that are designated as hedges of net investment. Fluctuations in currency exchange rates also impact the U.S. Dollar amount of our net investment in foreign operations. The assets and liabilities of our foreign subsidiaries are translated into U.S. Dollars at the exchange rates in effect at the balance sheet date. Income and expense accounts are translated at an average exchange rate during the period which approximates the rates in effect at the transaction dates. The resulting translation adjustments are recorded in stockholders’ equity as a component of accumulated other comprehensive loss. As a result of fluctuations in certain foreign currency exchange rates in relation to the U.S. Dollar as of June 27, 2026, compared to December 27, 2025, our stockholders’ equity decreased by $7.7 million as a result of the foreign currency translation.</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Based upon the current levels of net foreign assets, a hypothetical 10% devaluation of the U.S. Dollar as compared to these currencies as of June 27, 2026, would result in an approximate $33.4 million positive translation adjustment recorded in other comprehensive loss within stockholders’ equity. Conversely, a hypothetical 10% appreciation of the U.S. Dollar as compared to these currencies as of June 27, 2026, would result in an approximate $33.4 million negative translation adjustment recorded in other comprehensive income within stockholders’ equity.</w:t>
      </w:r>
    </w:p>
    <w:p>
      <w:pPr>
        <w:pStyle w:val="TextBody"/>
        <w:bidi w:val="0"/>
        <w:spacing w:before="0" w:after="0"/>
        <w:ind w:left="0" w:right="0" w:hanging="0"/>
        <w:jc w:val="left"/>
        <w:rPr>
          <w:caps w:val="false"/>
          <w:smallCaps w:val="false"/>
        </w:rPr>
      </w:pPr>
      <w:r>
        <w:rPr>
          <w:caps w:val="false"/>
          <w:smallCaps w:val="false"/>
        </w:rPr>
        <w:t> </w:t>
      </w:r>
    </w:p>
    <w:tbl>
      <w:tblPr>
        <w:tblW w:w="2815" w:type="dxa"/>
        <w:jc w:val="left"/>
        <w:tblInd w:w="0" w:type="dxa"/>
        <w:tblLayout w:type="fixed"/>
        <w:tblCellMar>
          <w:top w:w="0" w:type="dxa"/>
          <w:left w:w="0" w:type="dxa"/>
          <w:bottom w:w="0" w:type="dxa"/>
          <w:right w:w="0" w:type="dxa"/>
        </w:tblCellMar>
      </w:tblPr>
      <w:tblGrid>
        <w:gridCol w:w="650"/>
        <w:gridCol w:w="216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2" w:name="item_4"/>
            <w:bookmarkEnd w:id="12"/>
            <w:r>
              <w:rPr>
                <w:rFonts w:ascii="Times New Roman;Times;serif" w:hAnsi="Times New Roman;Times;serif"/>
                <w:b/>
                <w:sz w:val="20"/>
              </w:rPr>
              <w:t xml:space="preserve">Item 4. </w:t>
            </w:r>
          </w:p>
        </w:tc>
        <w:tc>
          <w:tcPr>
            <w:tcW w:w="21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Controls and Procedures.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(a)</w:t>
      </w:r>
      <w:r>
        <w:rPr>
          <w:rFonts w:ascii="Times New Roman" w:hAnsi="Times New Roman"/>
          <w:caps w:val="false"/>
          <w:smallCaps w:val="false"/>
          <w:sz w:val="20"/>
        </w:rPr>
        <w:t> </w:t>
      </w:r>
      <w:r>
        <w:rPr>
          <w:rFonts w:ascii="Times New Roman" w:hAnsi="Times New Roman"/>
          <w:b/>
          <w:caps w:val="false"/>
          <w:smallCaps w:val="false"/>
          <w:sz w:val="20"/>
        </w:rPr>
        <w:t xml:space="preserve">Evaluation of Disclosure Controls and Procedures. </w:t>
      </w:r>
      <w:r>
        <w:rPr>
          <w:rFonts w:ascii="Times New Roman" w:hAnsi="Times New Roman"/>
          <w:caps w:val="false"/>
          <w:smallCaps w:val="false"/>
          <w:sz w:val="20"/>
        </w:rPr>
        <w:t>Under the supervision and with the participation of our management, including our principal executive officer and principal financial officer, we evaluated the effectiveness of our disclosure controls and procedures, as such term is defined in Rules 13a-15(e) and 15d-15(e) promulgated under the Securities Exchange Act of 1934, as amended. Based on this evaluation, our principal executive officer and principal financial officer concluded that our disclosure controls and procedures were effective as of the end of the period covered by this quarterly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It should be noted that any system of controls, however well designed and operated, can provide only reasonable, and not absolute, assurance that the objectives of the system are met. In addition, the design of any control system is based in part upon certain assumptions about the likelihood of future events. Because of these and other inherent limitations of control systems, there can be no assurance that any design will succeed in achieving its stated goals under all potential future conditions, regardless of how remote. Our disclosure controls and procedures are designed to provide reasonable assurance of achieving their objectives and our principal executive officer and principal financial officer concluded that our disclosure controls and procedures were effective at the reasonable assurance level.</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b/>
          <w:caps w:val="false"/>
          <w:smallCaps w:val="false"/>
          <w:sz w:val="20"/>
        </w:rPr>
        <w:t>(b)</w:t>
      </w:r>
      <w:r>
        <w:rPr>
          <w:rFonts w:ascii="Times New Roman" w:hAnsi="Times New Roman"/>
          <w:caps w:val="false"/>
          <w:smallCaps w:val="false"/>
          <w:sz w:val="20"/>
        </w:rPr>
        <w:t> </w:t>
      </w:r>
      <w:r>
        <w:rPr>
          <w:rFonts w:ascii="Times New Roman" w:hAnsi="Times New Roman"/>
          <w:b/>
          <w:caps w:val="false"/>
          <w:smallCaps w:val="false"/>
          <w:sz w:val="20"/>
        </w:rPr>
        <w:t>Changes in Internal Control over Financial Reporting.</w:t>
      </w:r>
      <w:r>
        <w:rPr>
          <w:rFonts w:ascii="Times New Roman" w:hAnsi="Times New Roman"/>
          <w:caps w:val="false"/>
          <w:smallCaps w:val="false"/>
          <w:sz w:val="20"/>
        </w:rPr>
        <w:t xml:space="preserve"> During the three months ended June 27, 2026, we did not make any changes in our internal control over financial reporting that have materially affected, or are reasonably likely to materially affect, our internal control over financial reporting.</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43</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tbl>
      <w:tblPr>
        <w:tblW w:w="2785" w:type="dxa"/>
        <w:jc w:val="left"/>
        <w:tblInd w:w="0" w:type="dxa"/>
        <w:tblLayout w:type="fixed"/>
        <w:tblCellMar>
          <w:top w:w="0" w:type="dxa"/>
          <w:left w:w="0" w:type="dxa"/>
          <w:bottom w:w="0" w:type="dxa"/>
          <w:right w:w="0" w:type="dxa"/>
        </w:tblCellMar>
      </w:tblPr>
      <w:tblGrid>
        <w:gridCol w:w="590"/>
        <w:gridCol w:w="2195"/>
      </w:tblGrid>
      <w:tr>
        <w:trPr/>
        <w:tc>
          <w:tcPr>
            <w:tcW w:w="59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3" w:name="p2"/>
            <w:bookmarkEnd w:id="13"/>
            <w:r>
              <w:rPr>
                <w:rFonts w:ascii="Times New Roman;Times;serif" w:hAnsi="Times New Roman;Times;serif"/>
                <w:b/>
                <w:sz w:val="20"/>
              </w:rPr>
              <w:t>Part II</w:t>
            </w:r>
          </w:p>
        </w:tc>
        <w:tc>
          <w:tcPr>
            <w:tcW w:w="219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OTHER INFORMATION</w:t>
            </w:r>
          </w:p>
        </w:tc>
      </w:tr>
    </w:tbl>
    <w:p>
      <w:pPr>
        <w:pStyle w:val="TextBody"/>
        <w:bidi w:val="0"/>
        <w:spacing w:before="0" w:after="0"/>
        <w:ind w:left="0" w:right="0" w:hanging="0"/>
        <w:jc w:val="left"/>
        <w:rPr>
          <w:caps w:val="false"/>
          <w:smallCaps w:val="false"/>
        </w:rPr>
      </w:pPr>
      <w:r>
        <w:rPr>
          <w:caps w:val="false"/>
          <w:smallCaps w:val="false"/>
        </w:rPr>
        <w:t> </w:t>
      </w:r>
    </w:p>
    <w:tbl>
      <w:tblPr>
        <w:tblW w:w="2335" w:type="dxa"/>
        <w:jc w:val="left"/>
        <w:tblInd w:w="0" w:type="dxa"/>
        <w:tblLayout w:type="fixed"/>
        <w:tblCellMar>
          <w:top w:w="0" w:type="dxa"/>
          <w:left w:w="0" w:type="dxa"/>
          <w:bottom w:w="0" w:type="dxa"/>
          <w:right w:w="0" w:type="dxa"/>
        </w:tblCellMar>
      </w:tblPr>
      <w:tblGrid>
        <w:gridCol w:w="650"/>
        <w:gridCol w:w="168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4" w:name="item1"/>
            <w:bookmarkEnd w:id="14"/>
            <w:r>
              <w:rPr>
                <w:rFonts w:ascii="Times New Roman;Times;serif" w:hAnsi="Times New Roman;Times;serif"/>
                <w:b/>
                <w:sz w:val="20"/>
              </w:rPr>
              <w:t xml:space="preserve">Item 1. </w:t>
            </w:r>
          </w:p>
        </w:tc>
        <w:tc>
          <w:tcPr>
            <w:tcW w:w="168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Legal Proceedings.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sz w:val="20"/>
              </w:rPr>
              <w:t>The information set forth above under Note 12 contained in the “Notes to Unaudited Condensed Consolidated Financial Statements” of this Form 10-Q is incorporated herein by reference.</w:t>
            </w:r>
          </w:p>
        </w:tc>
      </w:tr>
    </w:tbl>
    <w:p>
      <w:pPr>
        <w:pStyle w:val="TextBody"/>
        <w:bidi w:val="0"/>
        <w:spacing w:before="0" w:after="0"/>
        <w:ind w:left="0" w:right="0" w:hanging="0"/>
        <w:jc w:val="left"/>
        <w:rPr>
          <w:caps w:val="false"/>
          <w:smallCaps w:val="false"/>
        </w:rPr>
      </w:pPr>
      <w:r>
        <w:rPr>
          <w:caps w:val="false"/>
          <w:smallCaps w:val="false"/>
        </w:rPr>
        <w:t> </w:t>
      </w:r>
    </w:p>
    <w:tbl>
      <w:tblPr>
        <w:tblW w:w="1960" w:type="dxa"/>
        <w:jc w:val="left"/>
        <w:tblInd w:w="0" w:type="dxa"/>
        <w:tblLayout w:type="fixed"/>
        <w:tblCellMar>
          <w:top w:w="0" w:type="dxa"/>
          <w:left w:w="0" w:type="dxa"/>
          <w:bottom w:w="0" w:type="dxa"/>
          <w:right w:w="0" w:type="dxa"/>
        </w:tblCellMar>
      </w:tblPr>
      <w:tblGrid>
        <w:gridCol w:w="785"/>
        <w:gridCol w:w="1175"/>
      </w:tblGrid>
      <w:tr>
        <w:trPr/>
        <w:tc>
          <w:tcPr>
            <w:tcW w:w="78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5" w:name="item1a"/>
            <w:bookmarkEnd w:id="15"/>
            <w:r>
              <w:rPr>
                <w:rFonts w:ascii="Times New Roman;Times;serif" w:hAnsi="Times New Roman;Times;serif"/>
                <w:b/>
                <w:sz w:val="20"/>
              </w:rPr>
              <w:t xml:space="preserve">Item 1A. </w:t>
            </w:r>
          </w:p>
        </w:tc>
        <w:tc>
          <w:tcPr>
            <w:tcW w:w="117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Risk Factors. </w:t>
            </w:r>
          </w:p>
        </w:tc>
      </w:tr>
    </w:tbl>
    <w:p>
      <w:pPr>
        <w:pStyle w:val="TextBody"/>
        <w:bidi w:val="0"/>
        <w:spacing w:before="0" w:after="0"/>
        <w:ind w:left="0" w:right="0" w:hanging="0"/>
        <w:jc w:val="left"/>
        <w:rPr>
          <w:caps w:val="false"/>
          <w:smallCaps w:val="false"/>
        </w:rPr>
      </w:pPr>
      <w:r>
        <w:rPr>
          <w:caps w:val="false"/>
          <w:smallCaps w:val="false"/>
        </w:rPr>
        <w:t> </w:t>
      </w:r>
    </w:p>
    <w:tbl>
      <w:tblPr>
        <w:tblW w:w="10205" w:type="dxa"/>
        <w:jc w:val="left"/>
        <w:tblInd w:w="0" w:type="dxa"/>
        <w:tblLayout w:type="fixed"/>
        <w:tblCellMar>
          <w:top w:w="0" w:type="dxa"/>
          <w:left w:w="0" w:type="dxa"/>
          <w:bottom w:w="0" w:type="dxa"/>
          <w:right w:w="0" w:type="dxa"/>
        </w:tblCellMar>
      </w:tblPr>
      <w:tblGrid>
        <w:gridCol w:w="60"/>
        <w:gridCol w:w="10145"/>
      </w:tblGrid>
      <w:tr>
        <w:trPr/>
        <w:tc>
          <w:tcPr>
            <w:tcW w:w="60" w:type="dxa"/>
            <w:tcBorders/>
            <w:vAlign w:val="center"/>
          </w:tcPr>
          <w:p>
            <w:pPr>
              <w:pStyle w:val="TableContents"/>
              <w:bidi w:val="0"/>
              <w:spacing w:before="0" w:after="0"/>
              <w:ind w:left="0" w:right="0" w:hanging="0"/>
              <w:jc w:val="left"/>
              <w:rPr/>
            </w:pPr>
            <w:r>
              <w:rPr/>
              <w:t> </w:t>
            </w:r>
          </w:p>
        </w:tc>
        <w:tc>
          <w:tcPr>
            <w:tcW w:w="10145" w:type="dxa"/>
            <w:tcBorders/>
            <w:vAlign w:val="center"/>
          </w:tcPr>
          <w:p>
            <w:pPr>
              <w:pStyle w:val="TableContents"/>
              <w:bidi w:val="0"/>
              <w:spacing w:before="0" w:after="0"/>
              <w:ind w:left="0" w:right="0" w:hanging="0"/>
              <w:jc w:val="left"/>
              <w:rPr>
                <w:rFonts w:ascii="Times New Roman;Times;serif" w:hAnsi="Times New Roman;Times;serif"/>
                <w:sz w:val="20"/>
              </w:rPr>
            </w:pPr>
            <w:r>
              <w:rPr>
                <w:rFonts w:ascii="Times New Roman;Times;serif" w:hAnsi="Times New Roman;Times;serif"/>
                <w:i/>
                <w:sz w:val="20"/>
              </w:rPr>
              <w:t xml:space="preserve">Our business, financial condition and results of operations are affected by a number of factors, whether currently known or unknown, including risks specific to us or our industry, as well as risks that affect businesses in general. You should carefully consider the risk factors described in Part I, Item 1A of our Annual Report on Form 10-K for the fiscal year ended December 27, 2025 (the </w:t>
            </w:r>
            <w:r>
              <w:rPr>
                <w:rFonts w:ascii="Times New Roman;Times;serif" w:hAnsi="Times New Roman;Times;serif"/>
                <w:sz w:val="20"/>
              </w:rPr>
              <w:t>“</w:t>
            </w:r>
            <w:r>
              <w:rPr>
                <w:rFonts w:ascii="Times New Roman;Times;serif" w:hAnsi="Times New Roman;Times;serif"/>
                <w:i/>
                <w:sz w:val="20"/>
              </w:rPr>
              <w:t>Annual Report</w:t>
            </w:r>
            <w:r>
              <w:rPr>
                <w:rFonts w:ascii="Times New Roman;Times;serif" w:hAnsi="Times New Roman;Times;serif"/>
                <w:sz w:val="20"/>
              </w:rPr>
              <w:t>”</w:t>
            </w:r>
            <w:r>
              <w:rPr>
                <w:rFonts w:ascii="Times New Roman;Times;serif" w:hAnsi="Times New Roman;Times;serif"/>
                <w:i/>
                <w:sz w:val="20"/>
              </w:rPr>
              <w:t xml:space="preserve">), as supplemented by the risk factors described in Item 1A of our Quarterly Report on Form 10-Q for the quarter ended March 28, 2026, filed with the SEC on May 1, 2026 (the </w:t>
            </w:r>
            <w:r>
              <w:rPr>
                <w:rFonts w:ascii="Times New Roman;Times;serif" w:hAnsi="Times New Roman;Times;serif"/>
                <w:sz w:val="20"/>
              </w:rPr>
              <w:t>“</w:t>
            </w:r>
            <w:r>
              <w:rPr>
                <w:rFonts w:ascii="Times New Roman;Times;serif" w:hAnsi="Times New Roman;Times;serif"/>
                <w:i/>
                <w:sz w:val="20"/>
              </w:rPr>
              <w:t>Q1 Quarterly Report</w:t>
            </w:r>
            <w:r>
              <w:rPr>
                <w:rFonts w:ascii="Times New Roman;Times;serif" w:hAnsi="Times New Roman;Times;serif"/>
                <w:sz w:val="20"/>
              </w:rPr>
              <w:t>”</w:t>
            </w:r>
            <w:r>
              <w:rPr>
                <w:rFonts w:ascii="Times New Roman;Times;serif" w:hAnsi="Times New Roman;Times;serif"/>
                <w:i/>
                <w:sz w:val="20"/>
              </w:rPr>
              <w:t>). We believe there have been no material changes from the risk factors disclosed in the Annual Report and the Q1 Quarterly Report. However, additional risks and uncertainties not currently known or which we currently deem to be immaterial may also materially adversely affect our business, financial condition, or results of operations.</w:t>
            </w:r>
          </w:p>
        </w:tc>
      </w:tr>
    </w:tbl>
    <w:p>
      <w:pPr>
        <w:pStyle w:val="TextBody"/>
        <w:bidi w:val="0"/>
        <w:spacing w:before="0" w:after="0"/>
        <w:ind w:left="0" w:right="0" w:hanging="0"/>
        <w:jc w:val="left"/>
        <w:rPr>
          <w:caps w:val="false"/>
          <w:smallCaps w:val="false"/>
        </w:rPr>
      </w:pPr>
      <w:r>
        <w:rPr>
          <w:caps w:val="false"/>
          <w:smallCaps w:val="false"/>
        </w:rPr>
        <w:t> </w:t>
      </w:r>
    </w:p>
    <w:tbl>
      <w:tblPr>
        <w:tblW w:w="5755" w:type="dxa"/>
        <w:jc w:val="left"/>
        <w:tblInd w:w="0" w:type="dxa"/>
        <w:tblLayout w:type="fixed"/>
        <w:tblCellMar>
          <w:top w:w="0" w:type="dxa"/>
          <w:left w:w="0" w:type="dxa"/>
          <w:bottom w:w="0" w:type="dxa"/>
          <w:right w:w="0" w:type="dxa"/>
        </w:tblCellMar>
      </w:tblPr>
      <w:tblGrid>
        <w:gridCol w:w="650"/>
        <w:gridCol w:w="5105"/>
      </w:tblGrid>
      <w:tr>
        <w:trPr/>
        <w:tc>
          <w:tcPr>
            <w:tcW w:w="650"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6" w:name="item2"/>
            <w:bookmarkEnd w:id="16"/>
            <w:r>
              <w:rPr>
                <w:rFonts w:ascii="Times New Roman;Times;serif" w:hAnsi="Times New Roman;Times;serif"/>
                <w:b/>
                <w:sz w:val="20"/>
              </w:rPr>
              <w:t xml:space="preserve">Item 2. </w:t>
            </w:r>
          </w:p>
        </w:tc>
        <w:tc>
          <w:tcPr>
            <w:tcW w:w="510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Unregistered Sales of Equity Securities and Use of Proceeds.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Recent Sales of Unregistered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There were no unregistered sales of equity securities during the period covered by this report.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b/>
          <w:caps w:val="false"/>
          <w:smallCaps w:val="false"/>
          <w:sz w:val="20"/>
        </w:rPr>
      </w:pPr>
      <w:r>
        <w:rPr>
          <w:rFonts w:ascii="Times New Roman" w:hAnsi="Times New Roman"/>
          <w:b/>
          <w:caps w:val="false"/>
          <w:smallCaps w:val="false"/>
          <w:sz w:val="20"/>
        </w:rPr>
        <w:t>Issuer Purchases of Equity Securities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On October 28, 2021, we announced that our Board of Directors authorized a $70 million share repurchase program. This share repurchase program was effective as of November 2, 2021, and has no expiration date. On October 25, 2022, our Board of Directors authorized an additional $70 million under the share repurchase program. The timing of share repurchases and the number of shares of common stock to be repurchased will depend upon prevailing market conditions and other factors. Repurchases under this program will be made using our existing cash resources and may be commenced or suspended from time to time at our discretion without prior notice. Repurchases may be made in the open market, through 10b5-1 programs, or in privately negotiated transactions at prevailing market rates in accordance with federal securities laws. All such repurchased shares and related costs are held as treasury stock and accounted for at trade date using the cost method. We did not repurchase any shares of our common stock during the three and six months ended June 27, 2026. We did not repurchase any shares of our stock during the three months ended June 28, 2025. During the six months ended June 28, 2025, we repurchased 432,288 shares of our common stock for $8.6 million to be held as treasury stock. As of June 27, 2026, $22.8 million remained available for us to repurchase shares of our common stock under our share repurchase program.</w:t>
      </w:r>
    </w:p>
    <w:p>
      <w:pPr>
        <w:pStyle w:val="TextBody"/>
        <w:bidi w:val="0"/>
        <w:spacing w:before="0" w:after="0"/>
        <w:ind w:left="0" w:right="0" w:hanging="0"/>
        <w:jc w:val="left"/>
        <w:rPr>
          <w:caps w:val="false"/>
          <w:smallCaps w:val="false"/>
        </w:rPr>
      </w:pPr>
      <w:r>
        <w:rPr>
          <w:caps w:val="false"/>
          <w:smallCaps w:val="false"/>
        </w:rPr>
        <w:t> </w:t>
      </w:r>
    </w:p>
    <w:tbl>
      <w:tblPr>
        <w:tblW w:w="3370" w:type="dxa"/>
        <w:jc w:val="left"/>
        <w:tblInd w:w="0" w:type="dxa"/>
        <w:tblLayout w:type="fixed"/>
        <w:tblCellMar>
          <w:top w:w="0" w:type="dxa"/>
          <w:left w:w="0" w:type="dxa"/>
          <w:bottom w:w="0" w:type="dxa"/>
          <w:right w:w="0" w:type="dxa"/>
        </w:tblCellMar>
      </w:tblPr>
      <w:tblGrid>
        <w:gridCol w:w="605"/>
        <w:gridCol w:w="2765"/>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7" w:name="item3"/>
            <w:bookmarkEnd w:id="17"/>
            <w:r>
              <w:rPr>
                <w:rFonts w:ascii="Times New Roman;Times;serif" w:hAnsi="Times New Roman;Times;serif"/>
                <w:b/>
                <w:sz w:val="20"/>
              </w:rPr>
              <w:t>Item 3.</w:t>
            </w:r>
          </w:p>
        </w:tc>
        <w:tc>
          <w:tcPr>
            <w:tcW w:w="2765"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 xml:space="preserve">Defaults Upon Senior Securities.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None.</w:t>
      </w:r>
    </w:p>
    <w:p>
      <w:pPr>
        <w:pStyle w:val="TextBody"/>
        <w:bidi w:val="0"/>
        <w:spacing w:before="0" w:after="0"/>
        <w:ind w:left="0" w:right="0" w:hanging="0"/>
        <w:jc w:val="left"/>
        <w:rPr>
          <w:caps w:val="false"/>
          <w:smallCaps w:val="false"/>
        </w:rPr>
      </w:pPr>
      <w:r>
        <w:rPr>
          <w:caps w:val="false"/>
          <w:smallCaps w:val="false"/>
        </w:rPr>
        <w:t> </w:t>
      </w:r>
    </w:p>
    <w:tbl>
      <w:tblPr>
        <w:tblW w:w="2635" w:type="dxa"/>
        <w:jc w:val="left"/>
        <w:tblInd w:w="0" w:type="dxa"/>
        <w:tblLayout w:type="fixed"/>
        <w:tblCellMar>
          <w:top w:w="0" w:type="dxa"/>
          <w:left w:w="0" w:type="dxa"/>
          <w:bottom w:w="0" w:type="dxa"/>
          <w:right w:w="0" w:type="dxa"/>
        </w:tblCellMar>
      </w:tblPr>
      <w:tblGrid>
        <w:gridCol w:w="605"/>
        <w:gridCol w:w="2030"/>
      </w:tblGrid>
      <w:tr>
        <w:trPr/>
        <w:tc>
          <w:tcPr>
            <w:tcW w:w="605" w:type="dxa"/>
            <w:tcBorders/>
            <w:vAlign w:val="center"/>
          </w:tcPr>
          <w:p>
            <w:pPr>
              <w:pStyle w:val="TableContents"/>
              <w:bidi w:val="0"/>
              <w:spacing w:before="0" w:after="0"/>
              <w:ind w:left="0" w:right="0" w:hanging="0"/>
              <w:jc w:val="left"/>
              <w:rPr>
                <w:rFonts w:ascii="Times New Roman;Times;serif" w:hAnsi="Times New Roman;Times;serif"/>
                <w:b/>
                <w:sz w:val="20"/>
              </w:rPr>
            </w:pPr>
            <w:bookmarkStart w:id="18" w:name="item4"/>
            <w:bookmarkEnd w:id="18"/>
            <w:r>
              <w:rPr>
                <w:rFonts w:ascii="Times New Roman;Times;serif" w:hAnsi="Times New Roman;Times;serif"/>
                <w:b/>
                <w:sz w:val="20"/>
              </w:rPr>
              <w:t>Item 4.</w:t>
            </w:r>
          </w:p>
        </w:tc>
        <w:tc>
          <w:tcPr>
            <w:tcW w:w="2030" w:type="dxa"/>
            <w:tcBorders/>
            <w:vAlign w:val="center"/>
          </w:tcPr>
          <w:p>
            <w:pPr>
              <w:pStyle w:val="TableContents"/>
              <w:bidi w:val="0"/>
              <w:spacing w:before="0" w:after="0"/>
              <w:ind w:left="0" w:right="0" w:hanging="0"/>
              <w:jc w:val="left"/>
              <w:rPr>
                <w:rFonts w:ascii="Times New Roman;Times;serif" w:hAnsi="Times New Roman;Times;serif"/>
                <w:b/>
                <w:sz w:val="20"/>
              </w:rPr>
            </w:pPr>
            <w:r>
              <w:rPr>
                <w:rFonts w:ascii="Times New Roman;Times;serif" w:hAnsi="Times New Roman;Times;serif"/>
                <w:b/>
                <w:sz w:val="20"/>
              </w:rPr>
              <w:t>Mine Safety Disclosures</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Not applicable.</w:t>
      </w:r>
    </w:p>
    <w:p>
      <w:pPr>
        <w:pStyle w:val="TextBody"/>
        <w:bidi w:val="0"/>
        <w:spacing w:before="0" w:after="0"/>
        <w:ind w:left="108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44</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2290" w:type="dxa"/>
        <w:jc w:val="left"/>
        <w:tblInd w:w="0" w:type="dxa"/>
        <w:tblLayout w:type="fixed"/>
        <w:tblCellMar>
          <w:top w:w="0" w:type="dxa"/>
          <w:left w:w="0" w:type="dxa"/>
          <w:bottom w:w="0" w:type="dxa"/>
          <w:right w:w="0" w:type="dxa"/>
        </w:tblCellMar>
      </w:tblPr>
      <w:tblGrid>
        <w:gridCol w:w="605"/>
        <w:gridCol w:w="1685"/>
      </w:tblGrid>
      <w:tr>
        <w:trPr/>
        <w:tc>
          <w:tcPr>
            <w:tcW w:w="605" w:type="dxa"/>
            <w:tcBorders/>
            <w:vAlign w:val="center"/>
          </w:tcPr>
          <w:p>
            <w:pPr>
              <w:pStyle w:val="TableContents"/>
              <w:bidi w:val="0"/>
              <w:spacing w:before="0" w:after="0"/>
              <w:ind w:left="0" w:right="0" w:hanging="0"/>
              <w:jc w:val="both"/>
              <w:rPr>
                <w:rFonts w:ascii="Times New Roman;Times;serif" w:hAnsi="Times New Roman;Times;serif"/>
                <w:b/>
                <w:sz w:val="20"/>
              </w:rPr>
            </w:pPr>
            <w:bookmarkStart w:id="19" w:name="item5"/>
            <w:bookmarkEnd w:id="19"/>
            <w:r>
              <w:rPr>
                <w:rFonts w:ascii="Times New Roman;Times;serif" w:hAnsi="Times New Roman;Times;serif"/>
                <w:b/>
                <w:sz w:val="20"/>
              </w:rPr>
              <w:t>Item 5.</w:t>
            </w:r>
          </w:p>
        </w:tc>
        <w:tc>
          <w:tcPr>
            <w:tcW w:w="1685" w:type="dxa"/>
            <w:tcBorders/>
            <w:vAlign w:val="center"/>
          </w:tcPr>
          <w:p>
            <w:pPr>
              <w:pStyle w:val="TableContents"/>
              <w:bidi w:val="0"/>
              <w:spacing w:before="0" w:after="0"/>
              <w:ind w:left="0" w:right="0" w:hanging="0"/>
              <w:jc w:val="both"/>
              <w:rPr>
                <w:rFonts w:ascii="Times New Roman;Times;serif" w:hAnsi="Times New Roman;Times;serif"/>
                <w:b/>
                <w:sz w:val="20"/>
              </w:rPr>
            </w:pPr>
            <w:r>
              <w:rPr>
                <w:rFonts w:ascii="Times New Roman;Times;serif" w:hAnsi="Times New Roman;Times;serif"/>
                <w:b/>
                <w:sz w:val="20"/>
              </w:rPr>
              <w:t xml:space="preserve">Other Information. </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b/>
          <w:caps w:val="false"/>
          <w:smallCaps w:val="false"/>
          <w:sz w:val="20"/>
        </w:rPr>
      </w:pPr>
      <w:r>
        <w:rPr>
          <w:rFonts w:ascii="Times New Roman" w:hAnsi="Times New Roman"/>
          <w:b/>
          <w:caps w:val="false"/>
          <w:smallCaps w:val="false"/>
          <w:sz w:val="20"/>
        </w:rPr>
        <w:t>Rule 10b5-1 Trading Plans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Our directors and executive officers may purchase or sell shares of our common stock in the market from time to time, including pursuant to equity trading plans adopted in accordance with Rule 10b5-1 under the Exchange Act and in compliance with guidelines specified by our insider trading policy. In accordance with Rule 10b5-1 and our insider trading policy, directors, officers and certain employees who, at such time, are not in possession of material non-public information are permitted to enter into written plans that pre-establish amounts, prices and dates (or formula for determining the amounts, prices and dates) of future purchases or sales of our stock, including shares acquired pursuant to our equity incentive plans. Under a Rule 10b5-1 trading plan, a broker executes trades pursuant to parameters established by the director or executive officer when entering into the plan, without further direction from them. The use of these trading plans permits asset diversification as well as personal financial and tax planning. Our directors and executive officers may also buy or sell additional shares outside of a Rule 10b5-1 plan when they are not in possession of material nonpublic information, subject to compliance with SEC rules, the terms of our insider trading policy and certain minimum holding requirements. During the second quarter of fiscal 2026, the following Section 16 directors and officers adopted or terminated a “Rule 10b5-1 trading arrangement” (as defined in Item 408 of Regulation S-K of the Exchange Act):</w:t>
      </w:r>
    </w:p>
    <w:p>
      <w:pPr>
        <w:pStyle w:val="TextBody"/>
        <w:bidi w:val="0"/>
        <w:spacing w:before="0" w:after="0"/>
        <w:ind w:left="0" w:right="0" w:hanging="0"/>
        <w:jc w:val="left"/>
        <w:rPr>
          <w:caps w:val="false"/>
          <w:smallCaps w:val="false"/>
        </w:rPr>
      </w:pPr>
      <w:r>
        <w:rPr>
          <w:caps w:val="false"/>
          <w:smallCaps w:val="false"/>
        </w:rPr>
        <w:t> </w:t>
      </w:r>
    </w:p>
    <w:tbl>
      <w:tblPr>
        <w:tblW w:w="9895" w:type="dxa"/>
        <w:jc w:val="left"/>
        <w:tblInd w:w="0" w:type="dxa"/>
        <w:tblLayout w:type="fixed"/>
        <w:tblCellMar>
          <w:top w:w="0" w:type="dxa"/>
          <w:left w:w="0" w:type="dxa"/>
          <w:bottom w:w="0" w:type="dxa"/>
          <w:right w:w="0" w:type="dxa"/>
        </w:tblCellMar>
      </w:tblPr>
      <w:tblGrid>
        <w:gridCol w:w="75"/>
        <w:gridCol w:w="4460"/>
        <w:gridCol w:w="60"/>
        <w:gridCol w:w="1025"/>
        <w:gridCol w:w="60"/>
        <w:gridCol w:w="1220"/>
        <w:gridCol w:w="60"/>
        <w:gridCol w:w="1100"/>
        <w:gridCol w:w="60"/>
        <w:gridCol w:w="1775"/>
      </w:tblGrid>
      <w:tr>
        <w:trPr/>
        <w:tc>
          <w:tcPr>
            <w:tcW w:w="7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Expiration or</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left"/>
              <w:rPr/>
            </w:pPr>
            <w:r>
              <w:rPr/>
              <w:t> </w:t>
            </w:r>
          </w:p>
        </w:tc>
      </w:tr>
      <w:tr>
        <w:trPr/>
        <w:tc>
          <w:tcPr>
            <w:tcW w:w="75" w:type="dxa"/>
            <w:tcBorders/>
            <w:vAlign w:val="center"/>
          </w:tcPr>
          <w:p>
            <w:pPr>
              <w:pStyle w:val="TableContents"/>
              <w:bidi w:val="0"/>
              <w:spacing w:before="0" w:after="283"/>
              <w:jc w:val="left"/>
              <w:rPr/>
            </w:pPr>
            <w:r>
              <w:rPr/>
              <w:t> </w:t>
            </w:r>
          </w:p>
        </w:tc>
        <w:tc>
          <w:tcPr>
            <w:tcW w:w="44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Plan</w:t>
            </w:r>
          </w:p>
        </w:tc>
        <w:tc>
          <w:tcPr>
            <w:tcW w:w="6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Number of Shares</w:t>
            </w:r>
          </w:p>
        </w:tc>
      </w:tr>
      <w:tr>
        <w:trPr/>
        <w:tc>
          <w:tcPr>
            <w:tcW w:w="75" w:type="dxa"/>
            <w:tcBorders/>
            <w:vAlign w:val="center"/>
          </w:tcPr>
          <w:p>
            <w:pPr>
              <w:pStyle w:val="TableContents"/>
              <w:bidi w:val="0"/>
              <w:spacing w:before="0" w:after="283"/>
              <w:jc w:val="left"/>
              <w:rPr/>
            </w:pPr>
            <w:r>
              <w:rPr/>
              <w:t> </w:t>
            </w:r>
          </w:p>
        </w:tc>
        <w:tc>
          <w:tcPr>
            <w:tcW w:w="446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Name and Position</w:t>
            </w:r>
          </w:p>
        </w:tc>
        <w:tc>
          <w:tcPr>
            <w:tcW w:w="60" w:type="dxa"/>
            <w:tcBorders/>
            <w:vAlign w:val="center"/>
          </w:tcPr>
          <w:p>
            <w:pPr>
              <w:pStyle w:val="TableContents"/>
              <w:bidi w:val="0"/>
              <w:spacing w:before="0" w:after="283"/>
              <w:jc w:val="left"/>
              <w:rPr/>
            </w:pPr>
            <w:r>
              <w:rPr/>
              <w:t> </w:t>
            </w:r>
          </w:p>
        </w:tc>
        <w:tc>
          <w:tcPr>
            <w:tcW w:w="102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Action</w:t>
            </w:r>
          </w:p>
        </w:tc>
        <w:tc>
          <w:tcPr>
            <w:tcW w:w="60" w:type="dxa"/>
            <w:tcBorders/>
            <w:vAlign w:val="center"/>
          </w:tcPr>
          <w:p>
            <w:pPr>
              <w:pStyle w:val="TableContents"/>
              <w:bidi w:val="0"/>
              <w:spacing w:before="0" w:after="283"/>
              <w:jc w:val="left"/>
              <w:rPr/>
            </w:pPr>
            <w:r>
              <w:rPr/>
              <w:t> </w:t>
            </w:r>
          </w:p>
        </w:tc>
        <w:tc>
          <w:tcPr>
            <w:tcW w:w="122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Adoption Date</w:t>
            </w:r>
          </w:p>
        </w:tc>
        <w:tc>
          <w:tcPr>
            <w:tcW w:w="60" w:type="dxa"/>
            <w:tcBorders/>
            <w:vAlign w:val="center"/>
          </w:tcPr>
          <w:p>
            <w:pPr>
              <w:pStyle w:val="TableContents"/>
              <w:bidi w:val="0"/>
              <w:spacing w:before="0" w:after="283"/>
              <w:jc w:val="left"/>
              <w:rPr/>
            </w:pPr>
            <w:r>
              <w:rPr/>
              <w:t> </w:t>
            </w:r>
          </w:p>
        </w:tc>
        <w:tc>
          <w:tcPr>
            <w:tcW w:w="110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Date</w:t>
            </w:r>
          </w:p>
        </w:tc>
        <w:tc>
          <w:tcPr>
            <w:tcW w:w="60" w:type="dxa"/>
            <w:tcBorders/>
            <w:vAlign w:val="center"/>
          </w:tcPr>
          <w:p>
            <w:pPr>
              <w:pStyle w:val="TableContents"/>
              <w:bidi w:val="0"/>
              <w:spacing w:before="0" w:after="283"/>
              <w:jc w:val="left"/>
              <w:rPr/>
            </w:pPr>
            <w:r>
              <w:rPr/>
              <w:t> </w:t>
            </w:r>
          </w:p>
        </w:tc>
        <w:tc>
          <w:tcPr>
            <w:tcW w:w="177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to be Sold under Plan</w:t>
            </w:r>
          </w:p>
        </w:tc>
      </w:tr>
      <w:tr>
        <w:trPr/>
        <w:tc>
          <w:tcPr>
            <w:tcW w:w="75"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Jeffrey D. Jones, Senior Vice President, Finance &amp; CFO</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Termination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2/24/2026</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4/15/2026</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85,000</w:t>
            </w:r>
          </w:p>
        </w:tc>
      </w:tr>
      <w:tr>
        <w:trPr/>
        <w:tc>
          <w:tcPr>
            <w:tcW w:w="75" w:type="dxa"/>
            <w:tcBorders/>
            <w:shd w:fill="FFFFFF" w:val="clear"/>
            <w:vAlign w:val="center"/>
          </w:tcPr>
          <w:p>
            <w:pPr>
              <w:pStyle w:val="TableContents"/>
              <w:bidi w:val="0"/>
              <w:spacing w:before="0" w:after="283"/>
              <w:jc w:val="left"/>
              <w:rPr/>
            </w:pPr>
            <w:r>
              <w:rPr/>
              <w:t> </w:t>
            </w:r>
          </w:p>
        </w:tc>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Nina L. Richardson, Director</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Adoption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5/5/2026</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5/5/2027</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3,055</w:t>
            </w:r>
          </w:p>
        </w:tc>
      </w:tr>
      <w:tr>
        <w:trPr/>
        <w:tc>
          <w:tcPr>
            <w:tcW w:w="75" w:type="dxa"/>
            <w:tcBorders/>
            <w:shd w:fill="FFFFFF" w:val="clear"/>
            <w:vAlign w:val="center"/>
          </w:tcPr>
          <w:p>
            <w:pPr>
              <w:pStyle w:val="TableContents"/>
              <w:bidi w:val="0"/>
              <w:spacing w:before="0" w:after="283"/>
              <w:jc w:val="left"/>
              <w:rPr/>
            </w:pPr>
            <w:r>
              <w:rPr/>
              <w:t> </w:t>
            </w:r>
          </w:p>
        </w:tc>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Andrew M. Caggia, Director</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Adoption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5/6/2026</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5/14/2027</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15,252</w:t>
            </w:r>
          </w:p>
        </w:tc>
      </w:tr>
      <w:tr>
        <w:trPr/>
        <w:tc>
          <w:tcPr>
            <w:tcW w:w="75" w:type="dxa"/>
            <w:tcBorders/>
            <w:shd w:fill="FFFFFF" w:val="clear"/>
            <w:vAlign w:val="center"/>
          </w:tcPr>
          <w:p>
            <w:pPr>
              <w:pStyle w:val="TableContents"/>
              <w:bidi w:val="0"/>
              <w:spacing w:before="0" w:after="283"/>
              <w:jc w:val="left"/>
              <w:rPr/>
            </w:pPr>
            <w:r>
              <w:rPr/>
              <w:t> </w:t>
            </w:r>
          </w:p>
        </w:tc>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William E. Bendush, Director</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Adoption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5/25/2026</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5/14/2027</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8,888</w:t>
            </w:r>
          </w:p>
        </w:tc>
      </w:tr>
      <w:tr>
        <w:trPr/>
        <w:tc>
          <w:tcPr>
            <w:tcW w:w="75" w:type="dxa"/>
            <w:tcBorders/>
            <w:shd w:fill="FFFFFF" w:val="clear"/>
            <w:vAlign w:val="center"/>
          </w:tcPr>
          <w:p>
            <w:pPr>
              <w:pStyle w:val="TableContents"/>
              <w:bidi w:val="0"/>
              <w:spacing w:before="0" w:after="283"/>
              <w:jc w:val="left"/>
              <w:rPr/>
            </w:pPr>
            <w:r>
              <w:rPr/>
              <w:t> </w:t>
            </w:r>
          </w:p>
        </w:tc>
        <w:tc>
          <w:tcPr>
            <w:tcW w:w="446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025"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22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100" w:type="dxa"/>
            <w:tcBorders/>
            <w:shd w:fill="FFFFFF" w:val="clear"/>
            <w:vAlign w:val="center"/>
          </w:tcPr>
          <w:p>
            <w:pPr>
              <w:pStyle w:val="TableContents"/>
              <w:bidi w:val="0"/>
              <w:spacing w:before="0" w:after="283"/>
              <w:jc w:val="left"/>
              <w:rPr/>
            </w:pPr>
            <w:r>
              <w:rPr/>
              <w:t> </w:t>
            </w:r>
          </w:p>
        </w:tc>
        <w:tc>
          <w:tcPr>
            <w:tcW w:w="60" w:type="dxa"/>
            <w:tcBorders/>
            <w:shd w:fill="FFFFFF" w:val="clear"/>
            <w:vAlign w:val="center"/>
          </w:tcPr>
          <w:p>
            <w:pPr>
              <w:pStyle w:val="TableContents"/>
              <w:bidi w:val="0"/>
              <w:spacing w:before="0" w:after="283"/>
              <w:jc w:val="left"/>
              <w:rPr/>
            </w:pPr>
            <w:r>
              <w:rPr/>
              <w:t> </w:t>
            </w:r>
          </w:p>
        </w:tc>
        <w:tc>
          <w:tcPr>
            <w:tcW w:w="1775" w:type="dxa"/>
            <w:tcBorders/>
            <w:shd w:fill="FFFFFF" w:val="clear"/>
            <w:vAlign w:val="center"/>
          </w:tcPr>
          <w:p>
            <w:pPr>
              <w:pStyle w:val="TableContents"/>
              <w:bidi w:val="0"/>
              <w:spacing w:before="0" w:after="283"/>
              <w:jc w:val="left"/>
              <w:rPr/>
            </w:pPr>
            <w:r>
              <w:rPr/>
              <w:t> </w:t>
            </w:r>
          </w:p>
        </w:tc>
      </w:tr>
      <w:tr>
        <w:trPr/>
        <w:tc>
          <w:tcPr>
            <w:tcW w:w="75" w:type="dxa"/>
            <w:tcBorders/>
            <w:shd w:fill="CCEEFF" w:val="clear"/>
            <w:vAlign w:val="center"/>
          </w:tcPr>
          <w:p>
            <w:pPr>
              <w:pStyle w:val="TableContents"/>
              <w:bidi w:val="0"/>
              <w:spacing w:before="0" w:after="283"/>
              <w:jc w:val="left"/>
              <w:rPr/>
            </w:pPr>
            <w:r>
              <w:rPr/>
              <w:t> </w:t>
            </w:r>
          </w:p>
        </w:tc>
        <w:tc>
          <w:tcPr>
            <w:tcW w:w="4460" w:type="dxa"/>
            <w:tcBorders/>
            <w:shd w:fill="CCEEFF" w:val="clear"/>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Luis A. Muller, President &amp; Chief Executive Officer</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Adoption</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5/28/2026</w:t>
            </w:r>
          </w:p>
        </w:tc>
        <w:tc>
          <w:tcPr>
            <w:tcW w:w="6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8/20/2027</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199,520</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Transactions by Section 16 directors and officers will be disclosed publicly through Form 144 and Form 4 filings with the SEC to the extent required by law. No non-Rule 10b5-1 trading arrangements (as defined in Item 408 of Regulation S-K of the Exchange Act) were adopted or terminated by any Section 16 director or officer during the second quarter of fiscal 2026.</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45</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64"/>
        <w:gridCol w:w="125"/>
        <w:gridCol w:w="9416"/>
      </w:tblGrid>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bookmarkStart w:id="20" w:name="exhibits"/>
            <w:bookmarkEnd w:id="20"/>
            <w:r>
              <w:rPr>
                <w:rFonts w:ascii="Times New Roman;Times;serif" w:hAnsi="Times New Roman;Times;serif"/>
                <w:b/>
                <w:caps w:val="false"/>
                <w:smallCaps w:val="false"/>
                <w:sz w:val="20"/>
              </w:rPr>
              <w:t>Item</w:t>
            </w:r>
            <w:r>
              <w:rPr>
                <w:rFonts w:ascii="Times New Roman;Times;serif" w:hAnsi="Times New Roman;Times;serif"/>
                <w:caps w:val="false"/>
                <w:smallCaps w:val="false"/>
                <w:sz w:val="20"/>
              </w:rPr>
              <w:t> </w:t>
            </w:r>
            <w:r>
              <w:rPr>
                <w:rFonts w:ascii="Times New Roman;Times;serif" w:hAnsi="Times New Roman;Times;serif"/>
                <w:b/>
                <w:caps w:val="false"/>
                <w:smallCaps w:val="false"/>
                <w:sz w:val="20"/>
              </w:rPr>
              <w:t>6.</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Exhibits.</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r:id="rId2">
              <w:r>
                <w:rPr>
                  <w:rStyle w:val="InternetLink"/>
                  <w:rFonts w:ascii="Times New Roman;Times;serif" w:hAnsi="Times New Roman;Times;serif"/>
                  <w:caps w:val="false"/>
                  <w:smallCaps w:val="false"/>
                  <w:sz w:val="20"/>
                  <w:u w:val="single"/>
                </w:rPr>
                <w:t>Amended and Restated Cohu, Inc., 1997 Employee Stock Purchase Plan, incorporated herein by reference to Appendix D to the Cohu, Inc., Definitive Proxy Statement on Schedule 14A, filed with Securities and Exchange Commission on April 2, 2026</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10.2</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r:id="rId3">
              <w:r>
                <w:rPr>
                  <w:rStyle w:val="InternetLink"/>
                  <w:rFonts w:ascii="Times New Roman;Times;serif" w:hAnsi="Times New Roman;Times;serif"/>
                  <w:caps w:val="false"/>
                  <w:smallCaps w:val="false"/>
                  <w:sz w:val="20"/>
                  <w:u w:val="single"/>
                </w:rPr>
                <w:t>Cohu, Inc., 2026 Equity Incentive Plan, incorporated herein by reference to Appendix C to the Cohu, Inc., Definitive Proxy Statement on Schedule 14A, filed with Securities and Exchange Commission on April 2, 2026</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10.3*</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w:anchor="ex_993145.htm">
              <w:r>
                <w:rPr>
                  <w:rStyle w:val="InternetLink"/>
                  <w:rFonts w:ascii="Times New Roman;Times;serif" w:hAnsi="Times New Roman;Times;serif"/>
                  <w:caps w:val="false"/>
                  <w:smallCaps w:val="false"/>
                  <w:sz w:val="20"/>
                </w:rPr>
                <w:t>Form of Performance Stock Unit Award Agreement for Leadership Team Employees under the 2026 Equity Incentive Plan</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w:anchor="ex_993146.htm">
              <w:r>
                <w:rPr>
                  <w:rStyle w:val="InternetLink"/>
                  <w:rFonts w:ascii="Times New Roman;Times;serif" w:hAnsi="Times New Roman;Times;serif"/>
                  <w:caps w:val="false"/>
                  <w:smallCaps w:val="false"/>
                  <w:sz w:val="20"/>
                </w:rPr>
                <w:t>Form of Restricted Stock Unit Award Agreement for Leadership Team Employees under the 2026 Equity Incentive Plan</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10.5*</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w:anchor="ex_993147.htm">
              <w:r>
                <w:rPr>
                  <w:rStyle w:val="InternetLink"/>
                  <w:rFonts w:ascii="Times New Roman;Times;serif" w:hAnsi="Times New Roman;Times;serif"/>
                  <w:caps w:val="false"/>
                  <w:smallCaps w:val="false"/>
                  <w:sz w:val="20"/>
                </w:rPr>
                <w:t>Form of Restricted Stock Unit Award Agreement for Non-Employee Directors under the 2026 Equity Incentive Plan</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31.1</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w:anchor="ex_993168.htm">
              <w:r>
                <w:rPr>
                  <w:rStyle w:val="InternetLink"/>
                  <w:rFonts w:ascii="Times New Roman;Times;serif" w:hAnsi="Times New Roman;Times;serif"/>
                  <w:caps w:val="false"/>
                  <w:smallCaps w:val="false"/>
                  <w:sz w:val="20"/>
                </w:rPr>
                <w:t>Certification pursuant to Section 302(a) of the Sarbanes-Oxley Act of 2002</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31.2</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w:anchor="ex_993167.htm">
              <w:r>
                <w:rPr>
                  <w:rStyle w:val="InternetLink"/>
                  <w:rFonts w:ascii="Times New Roman;Times;serif" w:hAnsi="Times New Roman;Times;serif"/>
                  <w:caps w:val="false"/>
                  <w:smallCaps w:val="false"/>
                  <w:sz w:val="20"/>
                </w:rPr>
                <w:t>Certification pursuant to Section 302(a) of the Sarbanes-Oxley Act of 2002</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32.1</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w:anchor="ex_993166.htm">
              <w:r>
                <w:rPr>
                  <w:rStyle w:val="InternetLink"/>
                  <w:rFonts w:ascii="Times New Roman;Times;serif" w:hAnsi="Times New Roman;Times;serif"/>
                  <w:caps w:val="false"/>
                  <w:smallCaps w:val="false"/>
                  <w:sz w:val="20"/>
                </w:rPr>
                <w:t>Certification of Chief Executive Officer pursuant to Section 906 of the Sarbanes-Oxley Act of 2002</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32.2</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pPr>
            <w:hyperlink w:anchor="ex_993165.htm">
              <w:r>
                <w:rPr>
                  <w:rStyle w:val="InternetLink"/>
                  <w:rFonts w:ascii="Times New Roman;Times;serif" w:hAnsi="Times New Roman;Times;serif"/>
                  <w:caps w:val="false"/>
                  <w:smallCaps w:val="false"/>
                  <w:sz w:val="20"/>
                </w:rPr>
                <w:t>Certification of Chief Financial Officer pursuant to Section 906 of the Sarbanes-Oxley Act of 2002</w:t>
              </w:r>
            </w:hyperlink>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101.INS</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Instance Document</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101.SCH</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Schema Document</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101.CAL</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Calculation Linkbase Document</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101.DEF</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Definition Linkbase Document</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101.LAB</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Label Linkbase Document</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101.PRE</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Inline XBRL Taxonomy Extension Presentation Linkbase Document</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104</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Cover Page Interactive Data File (formatted as Inline XBRL and contained in Exhibit 101)</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283"/>
              <w:jc w:val="left"/>
              <w:rPr/>
            </w:pPr>
            <w:r>
              <w:rPr/>
              <w:t> </w:t>
            </w:r>
          </w:p>
        </w:tc>
        <w:tc>
          <w:tcPr>
            <w:tcW w:w="9416" w:type="dxa"/>
            <w:tcBorders/>
            <w:vAlign w:val="center"/>
          </w:tcPr>
          <w:p>
            <w:pPr>
              <w:pStyle w:val="TableContents"/>
              <w:bidi w:val="0"/>
              <w:spacing w:before="0" w:after="283"/>
              <w:jc w:val="left"/>
              <w:rPr/>
            </w:pPr>
            <w:r>
              <w:rPr/>
              <w:t> </w:t>
            </w:r>
          </w:p>
        </w:tc>
      </w:tr>
      <w:tr>
        <w:trPr/>
        <w:tc>
          <w:tcPr>
            <w:tcW w:w="664" w:type="dxa"/>
            <w:tcBorders/>
            <w:vAlign w:val="center"/>
          </w:tcPr>
          <w:p>
            <w:pPr>
              <w:pStyle w:val="TableContents"/>
              <w:bidi w:val="0"/>
              <w:spacing w:before="0" w:after="283"/>
              <w:jc w:val="left"/>
              <w:rPr/>
            </w:pPr>
            <w:r>
              <w:rPr/>
              <w:t> </w:t>
            </w:r>
          </w:p>
        </w:tc>
        <w:tc>
          <w:tcPr>
            <w:tcW w:w="125"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w:t>
            </w:r>
          </w:p>
        </w:tc>
        <w:tc>
          <w:tcPr>
            <w:tcW w:w="9416"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Filed herewith</w:t>
            </w:r>
          </w:p>
        </w:tc>
      </w:tr>
    </w:tbl>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46</w:t>
      </w:r>
    </w:p>
    <w:p>
      <w:pPr>
        <w:pStyle w:val="HorizontalLine"/>
        <w:pBdr>
          <w:bottom w:val="double" w:sz="2" w:space="0" w:color="808080"/>
        </w:pBdr>
        <w:bidi w:val="0"/>
        <w:spacing w:before="0" w:after="283"/>
        <w:jc w:val="left"/>
        <w:rPr/>
      </w:pPr>
      <w:r>
        <w:rPr/>
      </w:r>
    </w:p>
    <w:p>
      <w:pPr>
        <w:pStyle w:val="TextBody"/>
        <w:bidi w:val="0"/>
        <w:jc w:val="left"/>
        <w:rPr/>
      </w:pPr>
      <w:hyperlink w:anchor="toc">
        <w:r>
          <w:rPr>
            <w:rStyle w:val="InternetLink"/>
            <w:rFonts w:ascii="Times New Roman;Times;serif" w:hAnsi="Times New Roman;Times;serif"/>
            <w:sz w:val="20"/>
          </w:rPr>
          <w:t>Table of Contents</w:t>
        </w:r>
      </w:hyperlink>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b/>
          <w:caps w:val="false"/>
          <w:smallCaps w:val="false"/>
          <w:sz w:val="20"/>
        </w:rPr>
      </w:pPr>
      <w:bookmarkStart w:id="21" w:name="signatures"/>
      <w:bookmarkEnd w:id="21"/>
      <w:r>
        <w:rPr>
          <w:rFonts w:ascii="Times New Roman" w:hAnsi="Times New Roman"/>
          <w:b/>
          <w:caps w:val="false"/>
          <w:smallCaps w:val="false"/>
          <w:sz w:val="20"/>
        </w:rPr>
        <w:t>SIGNATURES</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160"/>
        <w:jc w:val="left"/>
        <w:rPr>
          <w:rFonts w:ascii="Times New Roman" w:hAnsi="Times New Roman"/>
          <w:caps w:val="false"/>
          <w:smallCaps w:val="false"/>
          <w:sz w:val="20"/>
        </w:rPr>
      </w:pPr>
      <w:r>
        <w:rPr>
          <w:rFonts w:ascii="Times New Roman" w:hAnsi="Times New Roman"/>
          <w:caps w:val="false"/>
          <w:smallCaps w:val="false"/>
          <w:sz w:val="20"/>
        </w:rPr>
        <w:t>Pursuant to the requirements of the Securities Exchange Act of 1934, the registrant has duly caused this report to be signed on its behalf by the undersigned thereunto duly authorized.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tbl>
      <w:tblPr>
        <w:tblW w:w="6294" w:type="dxa"/>
        <w:jc w:val="left"/>
        <w:tblInd w:w="0" w:type="dxa"/>
        <w:tblLayout w:type="fixed"/>
        <w:tblCellMar>
          <w:top w:w="0" w:type="dxa"/>
          <w:left w:w="0" w:type="dxa"/>
          <w:bottom w:w="0" w:type="dxa"/>
          <w:right w:w="0" w:type="dxa"/>
        </w:tblCellMar>
      </w:tblPr>
      <w:tblGrid>
        <w:gridCol w:w="1625"/>
        <w:gridCol w:w="4450"/>
        <w:gridCol w:w="219"/>
      </w:tblGrid>
      <w:tr>
        <w:trPr/>
        <w:tc>
          <w:tcPr>
            <w:tcW w:w="1625" w:type="dxa"/>
            <w:tcBorders/>
            <w:vAlign w:val="center"/>
          </w:tcPr>
          <w:p>
            <w:pPr>
              <w:pStyle w:val="TableContents"/>
              <w:bidi w:val="0"/>
              <w:spacing w:before="0" w:after="283"/>
              <w:jc w:val="left"/>
              <w:rPr/>
            </w:pPr>
            <w:r>
              <w:rPr/>
              <w:t> </w:t>
            </w:r>
          </w:p>
        </w:tc>
        <w:tc>
          <w:tcPr>
            <w:tcW w:w="4450" w:type="dxa"/>
            <w:tcBorders>
              <w:bottom w:val="single" w:sz="2" w:space="0" w:color="000000"/>
            </w:tcBorders>
            <w:tcMar>
              <w:bottom w:w="28" w:type="dxa"/>
            </w:tcMar>
            <w:vAlign w:val="center"/>
          </w:tcPr>
          <w:p>
            <w:pPr>
              <w:pStyle w:val="TableContents"/>
              <w:bidi w:val="0"/>
              <w:spacing w:before="0" w:after="283"/>
              <w:jc w:val="center"/>
              <w:rPr>
                <w:rFonts w:ascii="Times New Roman;Times;serif" w:hAnsi="Times New Roman;Times;serif"/>
                <w:sz w:val="20"/>
              </w:rPr>
            </w:pPr>
            <w:r>
              <w:rPr>
                <w:rFonts w:ascii="Times New Roman;Times;serif" w:hAnsi="Times New Roman;Times;serif"/>
                <w:sz w:val="20"/>
              </w:rPr>
              <w:t>COHU, INC.</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450" w:type="dxa"/>
            <w:tcBorders/>
            <w:vAlign w:val="center"/>
          </w:tcPr>
          <w:p>
            <w:pPr>
              <w:pStyle w:val="TableContents"/>
              <w:bidi w:val="0"/>
              <w:spacing w:before="0" w:after="0"/>
              <w:ind w:left="0" w:right="0" w:hanging="0"/>
              <w:jc w:val="center"/>
              <w:rPr>
                <w:rFonts w:ascii="Times New Roman;Times;serif" w:hAnsi="Times New Roman;Times;serif"/>
                <w:caps w:val="false"/>
                <w:smallCaps w:val="false"/>
                <w:sz w:val="20"/>
              </w:rPr>
            </w:pPr>
            <w:r>
              <w:rPr>
                <w:rFonts w:ascii="Times New Roman;Times;serif" w:hAnsi="Times New Roman;Times;serif"/>
                <w:caps w:val="false"/>
                <w:smallCaps w:val="false"/>
                <w:sz w:val="20"/>
              </w:rPr>
              <w:t>(Registrant)</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45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45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July 31, 2026</w:t>
            </w:r>
          </w:p>
        </w:tc>
        <w:tc>
          <w:tcPr>
            <w:tcW w:w="445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Luis A. Müller</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45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Luis A. Müller</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66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President &amp; Chief Executive Officer</w:t>
            </w:r>
          </w:p>
        </w:tc>
      </w:tr>
      <w:tr>
        <w:trPr/>
        <w:tc>
          <w:tcPr>
            <w:tcW w:w="1625" w:type="dxa"/>
            <w:tcBorders/>
            <w:vAlign w:val="center"/>
          </w:tcPr>
          <w:p>
            <w:pPr>
              <w:pStyle w:val="TableContents"/>
              <w:bidi w:val="0"/>
              <w:spacing w:before="0" w:after="283"/>
              <w:jc w:val="left"/>
              <w:rPr/>
            </w:pPr>
            <w:r>
              <w:rPr/>
              <w:t> </w:t>
            </w:r>
          </w:p>
        </w:tc>
        <w:tc>
          <w:tcPr>
            <w:tcW w:w="445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450" w:type="dxa"/>
            <w:tcBorders/>
            <w:vAlign w:val="center"/>
          </w:tcPr>
          <w:p>
            <w:pPr>
              <w:pStyle w:val="TableContents"/>
              <w:bidi w:val="0"/>
              <w:spacing w:before="0" w:after="283"/>
              <w:jc w:val="left"/>
              <w:rPr/>
            </w:pPr>
            <w:r>
              <w:rPr/>
              <w:t> </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Date: July 31, 2026</w:t>
            </w:r>
          </w:p>
        </w:tc>
        <w:tc>
          <w:tcPr>
            <w:tcW w:w="4450" w:type="dxa"/>
            <w:tcBorders>
              <w:bottom w:val="single" w:sz="2" w:space="0" w:color="000000"/>
            </w:tcBorders>
            <w:tcMar>
              <w:bottom w:w="28" w:type="dxa"/>
            </w:tcMar>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/s/ Jeffrey D. Jones</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450" w:type="dxa"/>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Jeffrey D. Jones</w:t>
            </w:r>
          </w:p>
        </w:tc>
        <w:tc>
          <w:tcPr>
            <w:tcW w:w="219" w:type="dxa"/>
            <w:tcBorders/>
            <w:vAlign w:val="center"/>
          </w:tcPr>
          <w:p>
            <w:pPr>
              <w:pStyle w:val="TableContents"/>
              <w:bidi w:val="0"/>
              <w:spacing w:before="0" w:after="283"/>
              <w:jc w:val="left"/>
              <w:rPr/>
            </w:pPr>
            <w:r>
              <w:rPr/>
              <w:t> </w:t>
            </w:r>
          </w:p>
        </w:tc>
      </w:tr>
      <w:tr>
        <w:trPr/>
        <w:tc>
          <w:tcPr>
            <w:tcW w:w="1625" w:type="dxa"/>
            <w:tcBorders/>
            <w:vAlign w:val="center"/>
          </w:tcPr>
          <w:p>
            <w:pPr>
              <w:pStyle w:val="TableContents"/>
              <w:bidi w:val="0"/>
              <w:spacing w:before="0" w:after="283"/>
              <w:jc w:val="left"/>
              <w:rPr/>
            </w:pPr>
            <w:r>
              <w:rPr/>
              <w:t> </w:t>
            </w:r>
          </w:p>
        </w:tc>
        <w:tc>
          <w:tcPr>
            <w:tcW w:w="4669" w:type="dxa"/>
            <w:gridSpan w:val="2"/>
            <w:tcBorders/>
            <w:vAlign w:val="center"/>
          </w:tcPr>
          <w:p>
            <w:pPr>
              <w:pStyle w:val="TableContents"/>
              <w:bidi w:val="0"/>
              <w:spacing w:before="0" w:after="0"/>
              <w:ind w:left="0" w:right="0" w:hanging="0"/>
              <w:jc w:val="left"/>
              <w:rPr>
                <w:caps w:val="false"/>
                <w:smallCaps w:val="false"/>
              </w:rPr>
            </w:pPr>
            <w:r>
              <w:rPr>
                <w:caps w:val="false"/>
                <w:smallCaps w:val="false"/>
              </w:rPr>
              <w:t> </w:t>
            </w:r>
            <w:r>
              <w:rPr>
                <w:rFonts w:ascii="Times New Roman;Times;serif" w:hAnsi="Times New Roman;Times;serif"/>
                <w:caps w:val="false"/>
                <w:smallCaps w:val="false"/>
                <w:sz w:val="20"/>
              </w:rPr>
              <w:t>Senior Vice President, Finance &amp; Chief Financial Officer</w:t>
            </w:r>
          </w:p>
        </w:tc>
      </w:tr>
      <w:tr>
        <w:trPr/>
        <w:tc>
          <w:tcPr>
            <w:tcW w:w="1625" w:type="dxa"/>
            <w:tcBorders/>
            <w:vAlign w:val="center"/>
          </w:tcPr>
          <w:p>
            <w:pPr>
              <w:pStyle w:val="TableContents"/>
              <w:bidi w:val="0"/>
              <w:spacing w:before="0" w:after="283"/>
              <w:jc w:val="left"/>
              <w:rPr/>
            </w:pPr>
            <w:r>
              <w:rPr/>
              <w:t> </w:t>
            </w:r>
          </w:p>
        </w:tc>
        <w:tc>
          <w:tcPr>
            <w:tcW w:w="4669" w:type="dxa"/>
            <w:gridSpan w:val="2"/>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(Principal Financial &amp; Accounting Officer)</w:t>
            </w:r>
          </w:p>
        </w:tc>
      </w:tr>
    </w:tbl>
    <w:p>
      <w:pPr>
        <w:pStyle w:val="TextBody"/>
        <w:bidi w:val="0"/>
        <w:spacing w:before="0" w:after="0"/>
        <w:ind w:left="0" w:right="0" w:hanging="0"/>
        <w:jc w:val="left"/>
        <w:rPr>
          <w:caps w:val="false"/>
          <w:smallCaps w:val="false"/>
        </w:rPr>
      </w:pPr>
      <w:r>
        <w:rPr>
          <w:caps w:val="false"/>
          <w:smallCaps w:val="false"/>
        </w:rPr>
        <w:t> </w:t>
      </w:r>
    </w:p>
    <w:p>
      <w:pPr>
        <w:pStyle w:val="TextBody"/>
        <w:bidi w:val="0"/>
        <w:jc w:val="center"/>
        <w:rPr>
          <w:rFonts w:ascii="Times New Roman" w:hAnsi="Times New Roman"/>
          <w:sz w:val="20"/>
        </w:rPr>
      </w:pPr>
      <w:r>
        <w:rPr>
          <w:rFonts w:ascii="Times New Roman" w:hAnsi="Times New Roman"/>
          <w:sz w:val="20"/>
        </w:rPr>
        <w:t>47</w:t>
      </w:r>
    </w:p>
    <w:p>
      <w:pPr>
        <w:pStyle w:val="TextBody"/>
        <w:bidi w:val="0"/>
        <w:spacing w:before="0" w:after="0"/>
        <w:jc w:val="left"/>
        <w:rPr/>
      </w:pPr>
      <w:bookmarkStart w:id="22" w:name="ex_993145.htm"/>
      <w:bookmarkStart w:id="23" w:name="ksex_993145"/>
      <w:bookmarkEnd w:id="22"/>
      <w:bookmarkEnd w:id="23"/>
      <w:r>
        <w:rPr/>
        <w:t> </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10.3</w:t>
      </w:r>
    </w:p>
    <w:p>
      <w:pPr>
        <w:pStyle w:val="TextBody"/>
        <w:bidi w:val="0"/>
        <w:spacing w:before="0" w:after="0"/>
        <w:ind w:left="0" w:right="0" w:hanging="0"/>
        <w:jc w:val="left"/>
        <w:rPr/>
      </w:pPr>
      <w:r>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PERFORMANCE RESTRICTED STOCK UNIT AWARD AGREEMENT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(Leadership Team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Cohu, Inc. (the “</w:t>
      </w:r>
      <w:r>
        <w:rPr>
          <w:rFonts w:ascii="Times New Roman" w:hAnsi="Times New Roman"/>
          <w:b/>
          <w:i/>
          <w:caps w:val="false"/>
          <w:smallCaps w:val="false"/>
          <w:sz w:val="20"/>
        </w:rPr>
        <w:t>Company</w:t>
      </w:r>
      <w:r>
        <w:rPr>
          <w:rFonts w:ascii="Times New Roman" w:hAnsi="Times New Roman"/>
          <w:caps w:val="false"/>
          <w:smallCaps w:val="false"/>
          <w:sz w:val="20"/>
        </w:rPr>
        <w:t>”) has granted to the individual (the “</w:t>
      </w:r>
      <w:r>
        <w:rPr>
          <w:rFonts w:ascii="Times New Roman" w:hAnsi="Times New Roman"/>
          <w:b/>
          <w:i/>
          <w:caps w:val="false"/>
          <w:smallCaps w:val="false"/>
          <w:sz w:val="20"/>
        </w:rPr>
        <w:t>Participant</w:t>
      </w:r>
      <w:r>
        <w:rPr>
          <w:rFonts w:ascii="Times New Roman" w:hAnsi="Times New Roman"/>
          <w:caps w:val="false"/>
          <w:smallCaps w:val="false"/>
          <w:sz w:val="20"/>
        </w:rPr>
        <w:t xml:space="preserve">”) named in the </w:t>
      </w:r>
      <w:r>
        <w:rPr>
          <w:rFonts w:ascii="Times New Roman" w:hAnsi="Times New Roman"/>
          <w:i/>
          <w:caps w:val="false"/>
          <w:smallCaps w:val="false"/>
          <w:sz w:val="20"/>
        </w:rPr>
        <w:t>Notice of Grant of Award and Award Agreement</w:t>
      </w:r>
      <w:r>
        <w:rPr>
          <w:rFonts w:ascii="Times New Roman" w:hAnsi="Times New Roman"/>
          <w:caps w:val="false"/>
          <w:smallCaps w:val="false"/>
          <w:sz w:val="20"/>
        </w:rPr>
        <w:t>(the “</w:t>
      </w:r>
      <w:r>
        <w:rPr>
          <w:rFonts w:ascii="Times New Roman" w:hAnsi="Times New Roman"/>
          <w:b/>
          <w:i/>
          <w:caps w:val="false"/>
          <w:smallCaps w:val="false"/>
          <w:sz w:val="20"/>
        </w:rPr>
        <w:t>Notice</w:t>
      </w:r>
      <w:r>
        <w:rPr>
          <w:rFonts w:ascii="Times New Roman" w:hAnsi="Times New Roman"/>
          <w:caps w:val="false"/>
          <w:smallCaps w:val="false"/>
          <w:sz w:val="20"/>
        </w:rPr>
        <w:t>”) to which this Performance Restricted Stock Unit Award Agreement (the “</w:t>
      </w:r>
      <w:r>
        <w:rPr>
          <w:rFonts w:ascii="Times New Roman" w:hAnsi="Times New Roman"/>
          <w:b/>
          <w:i/>
          <w:caps w:val="false"/>
          <w:smallCaps w:val="false"/>
          <w:sz w:val="20"/>
        </w:rPr>
        <w:t>Agreement</w:t>
      </w:r>
      <w:r>
        <w:rPr>
          <w:rFonts w:ascii="Times New Roman" w:hAnsi="Times New Roman"/>
          <w:caps w:val="false"/>
          <w:smallCaps w:val="false"/>
          <w:sz w:val="20"/>
        </w:rPr>
        <w:t>”) is attached, an award (the “</w:t>
      </w:r>
      <w:r>
        <w:rPr>
          <w:rFonts w:ascii="Times New Roman" w:hAnsi="Times New Roman"/>
          <w:b/>
          <w:i/>
          <w:caps w:val="false"/>
          <w:smallCaps w:val="false"/>
          <w:sz w:val="20"/>
        </w:rPr>
        <w:t>Award</w:t>
      </w:r>
      <w:r>
        <w:rPr>
          <w:rFonts w:ascii="Times New Roman" w:hAnsi="Times New Roman"/>
          <w:caps w:val="false"/>
          <w:smallCaps w:val="false"/>
          <w:sz w:val="20"/>
        </w:rPr>
        <w:t>”) of Restricted Stock Units that are Performance Stock Units (“PSUs”) upon the terms and conditions set forth in the Notice and this Agreement. The Award has been granted pursuant to and shall in all respects be subject to the terms and conditions of the Cohu, Inc. 2026 Equity Incentive Plan (the “</w:t>
      </w:r>
      <w:r>
        <w:rPr>
          <w:rFonts w:ascii="Times New Roman" w:hAnsi="Times New Roman"/>
          <w:b/>
          <w:i/>
          <w:caps w:val="false"/>
          <w:smallCaps w:val="false"/>
          <w:sz w:val="20"/>
        </w:rPr>
        <w:t>Plan</w:t>
      </w:r>
      <w:r>
        <w:rPr>
          <w:rFonts w:ascii="Times New Roman" w:hAnsi="Times New Roman"/>
          <w:caps w:val="false"/>
          <w:smallCaps w:val="false"/>
          <w:sz w:val="20"/>
        </w:rPr>
        <w:t>”), as amended to the Date of Grant, the provisions of which are incorporated herein by reference. By accepting the Award in accordance with the Company’s Award acceptance procedures for Awards granted under the Plan, which may include electronic acceptance procedures, the Participant: (a) represents that the Participant has read and is familiar with the terms and conditions of the Notice, the Plan and this Agreement, (b) accepts the Award subject to all of the terms and conditions of the Notice, the Plan and this Agreement, (c) agrees to accept as binding, conclusive and final all decisions or interpretations of the Board, upon any questions arising under the Notice, the Plan or this Agreement, and (d) acknowledges receipt of a copy of the Notice, the Plan, this Agreement and the prospectus for the Plan (the “</w:t>
      </w:r>
      <w:r>
        <w:rPr>
          <w:rFonts w:ascii="Times New Roman" w:hAnsi="Times New Roman"/>
          <w:b/>
          <w:i/>
          <w:caps w:val="false"/>
          <w:smallCaps w:val="false"/>
          <w:sz w:val="20"/>
        </w:rPr>
        <w:t>Plan Prospectus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3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DEFINITIONS AND CONSTRUCTION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Definitions</w:t>
      </w:r>
      <w:r>
        <w:rPr>
          <w:rFonts w:ascii="Times New Roman" w:hAnsi="Times New Roman"/>
          <w:i/>
          <w:caps w:val="false"/>
          <w:smallCaps w:val="false"/>
          <w:sz w:val="20"/>
        </w:rPr>
        <w:t xml:space="preserve">. </w:t>
      </w:r>
      <w:r>
        <w:rPr>
          <w:rFonts w:ascii="Times New Roman" w:hAnsi="Times New Roman"/>
          <w:caps w:val="false"/>
          <w:smallCaps w:val="false"/>
          <w:sz w:val="20"/>
        </w:rPr>
        <w:t>Unless otherwise defined herein, capitalized terms shall have the meanings assigned to such terms in the Notice or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Construction</w:t>
      </w:r>
      <w:r>
        <w:rPr>
          <w:rFonts w:ascii="Times New Roman" w:hAnsi="Times New Roman"/>
          <w:i/>
          <w:caps w:val="false"/>
          <w:smallCaps w:val="false"/>
          <w:sz w:val="20"/>
        </w:rPr>
        <w:t xml:space="preserve">. </w:t>
      </w:r>
      <w:r>
        <w:rPr>
          <w:rFonts w:ascii="Times New Roman" w:hAnsi="Times New Roman"/>
          <w:caps w:val="false"/>
          <w:smallCaps w:val="false"/>
          <w:sz w:val="20"/>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18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ADMINISTRATION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All questions of interpretation concerning the Notice, this Agreement, the Plan, the Plan Prospectus and any other form of agreement or other document utilized by the Company in the administration of the Plan and the Award shall be determined by the Board or the Committee. All actions, decisions and determinations by the Board or the Committee shall be final and binding upon all persons having an interest in the Award. Any officer of a Participating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70"/>
        <w:gridCol w:w="5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3.</w:t>
            </w:r>
          </w:p>
        </w:tc>
        <w:tc>
          <w:tcPr>
            <w:tcW w:w="513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GRANT, VESTING AND SETTLEMENT OF THE AWARD.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w:t>
      </w:r>
      <w:r>
        <w:rPr>
          <w:rFonts w:ascii="Times New Roman" w:hAnsi="Times New Roman"/>
          <w:b/>
          <w:caps w:val="false"/>
          <w:smallCaps w:val="false"/>
          <w:sz w:val="20"/>
        </w:rPr>
        <w:t xml:space="preserve">Grant of PSUs. </w:t>
      </w:r>
      <w:r>
        <w:rPr>
          <w:rFonts w:ascii="Times New Roman" w:hAnsi="Times New Roman"/>
          <w:caps w:val="false"/>
          <w:smallCaps w:val="false"/>
          <w:sz w:val="20"/>
        </w:rPr>
        <w:t>Each PSU specified in the Notice as subject to the Award represents a contingent right to receive an issuance of one (1) share of Stock on a date determined in accordance with the terms of the Notice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3.2</w:t>
      </w:r>
      <w:r>
        <w:rPr>
          <w:rFonts w:ascii="Times New Roman" w:hAnsi="Times New Roman"/>
          <w:caps w:val="false"/>
          <w:smallCaps w:val="false"/>
          <w:sz w:val="20"/>
        </w:rPr>
        <w:t>    </w:t>
      </w:r>
      <w:r>
        <w:rPr>
          <w:rFonts w:ascii="Times New Roman" w:hAnsi="Times New Roman"/>
          <w:b/>
          <w:caps w:val="false"/>
          <w:smallCaps w:val="false"/>
          <w:sz w:val="20"/>
        </w:rPr>
        <w:t>No Monetary Payment Required</w:t>
      </w:r>
      <w:r>
        <w:rPr>
          <w:rFonts w:ascii="Times New Roman" w:hAnsi="Times New Roman"/>
          <w:i/>
          <w:caps w:val="false"/>
          <w:smallCaps w:val="false"/>
          <w:sz w:val="20"/>
        </w:rPr>
        <w:t xml:space="preserve">. </w:t>
      </w:r>
      <w:r>
        <w:rPr>
          <w:rFonts w:ascii="Times New Roman" w:hAnsi="Times New Roman"/>
          <w:caps w:val="false"/>
          <w:smallCaps w:val="false"/>
          <w:sz w:val="20"/>
        </w:rPr>
        <w:t>The Participant shall not be required to make any monetary payment (other than applicable tax withholding, if any) as a condition to receiving the Award or the shares of Stock issued upon settlement of the Award. Payment of the aggregate purchase price of the shares of Stock for which the Award is being settled shall be made in the form of past services rendered by the Participant to a Participating Company or for its benefit. Notwithstanding the foregoing, to the extent required by applicable law, the Participant shall furnish consideration in the form of cash having a value not less than the par value of the shares of Stock issued upon settlement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1</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b/>
          <w:sz w:val="20"/>
        </w:rPr>
        <w:t>3.3</w:t>
      </w:r>
      <w:r>
        <w:rPr>
          <w:rFonts w:ascii="Times New Roman" w:hAnsi="Times New Roman"/>
          <w:sz w:val="20"/>
        </w:rPr>
        <w:t>    </w:t>
      </w:r>
      <w:r>
        <w:rPr>
          <w:rFonts w:ascii="Times New Roman" w:hAnsi="Times New Roman"/>
          <w:b/>
          <w:sz w:val="20"/>
        </w:rPr>
        <w:t>Vesting of Award; Issuance of Shares of Stock</w:t>
      </w:r>
      <w:r>
        <w:rPr>
          <w:rFonts w:ascii="Times New Roman" w:hAnsi="Times New Roman"/>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Vesting. The Award will vest in accordance with the vesting schedule set forth in the Notice, subject to the Participant’s Service with the Company through the applicable vesting dates. The Award is eligible to vest pursuant to the terms of the Company’s Executive Retirement Policy, the terms of which, to the extent applicable to the Award, override and supersede anything to the contrary that may be set forth in this Agreement or in the Notice. Except to the extent eligibility for vesting in connection with a termination of Participant’s Service is otherwise specifically provided in the Notice or in any separate agreement between the Participant and the Company, if any (a “</w:t>
      </w:r>
      <w:r>
        <w:rPr>
          <w:rFonts w:ascii="Times New Roman" w:hAnsi="Times New Roman"/>
          <w:b/>
          <w:i/>
          <w:caps w:val="false"/>
          <w:smallCaps w:val="false"/>
          <w:sz w:val="20"/>
        </w:rPr>
        <w:t>Superseding Agreement</w:t>
      </w:r>
      <w:r>
        <w:rPr>
          <w:rFonts w:ascii="Times New Roman" w:hAnsi="Times New Roman"/>
          <w:caps w:val="false"/>
          <w:smallCaps w:val="false"/>
          <w:sz w:val="20"/>
        </w:rPr>
        <w:t>”), in the event that the Participant’s Service terminates for any reason or no reason, with or without Cause, the Participant shall forfeit and the Company shall automatically reacquire and cancel all PSUs subject to the Award which are not, as of the time of such termination, previously vested, and the Participant shall not be entitled to any payment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(b)    Issuance. Subject to the provisions of Section 3.6 below, except as otherwise specified in the Executive Retirement Policy, the Company shall issue one (1) share of Stock to the Participant, on a date (the “</w:t>
      </w:r>
      <w:r>
        <w:rPr>
          <w:rFonts w:ascii="Times New Roman" w:hAnsi="Times New Roman"/>
          <w:b/>
          <w:i/>
          <w:caps w:val="false"/>
          <w:smallCaps w:val="false"/>
          <w:sz w:val="20"/>
        </w:rPr>
        <w:t>Settlement Date</w:t>
      </w:r>
      <w:r>
        <w:rPr>
          <w:rFonts w:ascii="Times New Roman" w:hAnsi="Times New Roman"/>
          <w:caps w:val="false"/>
          <w:smallCaps w:val="false"/>
          <w:sz w:val="20"/>
        </w:rPr>
        <w:t>”) within thirty (30) days following the date on which such PSU first becomes vested as provided by the Notice or any Superseding Agreement (an “</w:t>
      </w:r>
      <w:r>
        <w:rPr>
          <w:rFonts w:ascii="Times New Roman" w:hAnsi="Times New Roman"/>
          <w:b/>
          <w:i/>
          <w:caps w:val="false"/>
          <w:smallCaps w:val="false"/>
          <w:sz w:val="20"/>
        </w:rPr>
        <w:t>Original Settlement Date</w:t>
      </w:r>
      <w:r>
        <w:rPr>
          <w:rFonts w:ascii="Times New Roman" w:hAnsi="Times New Roman"/>
          <w:caps w:val="false"/>
          <w:smallCaps w:val="false"/>
          <w:sz w:val="20"/>
        </w:rPr>
        <w:t>”); provided, however, that if the tax withholding obligations of a Participating Company, if any, will not be satisfied by the share withholding method described in Section 3.4 and the Original Settlement Date would occur on a date on which a sale by the Participant of the shares to be issued in settlement of the vested PSUs would violate the Insider Trading Policy of the Company (“</w:t>
      </w:r>
      <w:r>
        <w:rPr>
          <w:rFonts w:ascii="Times New Roman" w:hAnsi="Times New Roman"/>
          <w:b/>
          <w:i/>
          <w:caps w:val="false"/>
          <w:smallCaps w:val="false"/>
          <w:sz w:val="20"/>
        </w:rPr>
        <w:t>Trading Policy</w:t>
      </w:r>
      <w:r>
        <w:rPr>
          <w:rFonts w:ascii="Times New Roman" w:hAnsi="Times New Roman"/>
          <w:caps w:val="false"/>
          <w:smallCaps w:val="false"/>
          <w:sz w:val="20"/>
        </w:rPr>
        <w:t>”), then the Settlement Date for such vested PSUs shall be deferred until the next day on which the sale of such shares would not violate the Trading Policy, but in any event shall be on or before the last day of the calendar year that includes the Original Settlement Date; provided, however that if such later Settlement Date is permitted without triggering adverse tax consequences under Section 409A of the Code, then the Settlement Date may occur not later than March 15th of the calendar year immediately following the calendar year that includes the Original Settlement Date. Notwithstanding anything to the contrary set forth herein, in the event of any such share issuance which occurs following the Participant’s death: (i) any share issuance shall be made within thirty (30) days following the date that the Company receives appropriate documentation satisfactory to the Company of the applicable beneficiary, trustee or other party entitled to receive the issuance of such shares (the “</w:t>
      </w:r>
      <w:r>
        <w:rPr>
          <w:rFonts w:ascii="Times New Roman" w:hAnsi="Times New Roman"/>
          <w:b/>
          <w:i/>
          <w:caps w:val="false"/>
          <w:smallCaps w:val="false"/>
          <w:sz w:val="20"/>
        </w:rPr>
        <w:t>Death Beneficiary</w:t>
      </w:r>
      <w:r>
        <w:rPr>
          <w:rFonts w:ascii="Times New Roman" w:hAnsi="Times New Roman"/>
          <w:caps w:val="false"/>
          <w:smallCaps w:val="false"/>
          <w:sz w:val="20"/>
        </w:rPr>
        <w:t>”), and (ii) all references herein to the Participant shall instead be deemed to be references to the applicable Death Beneficiary, as appropriate. In all cases such issued shares of Stock shall not be subject to any restriction on transfer other than any such restriction as may be required pursuant to Section 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3.4</w:t>
      </w:r>
      <w:r>
        <w:rPr>
          <w:rFonts w:ascii="Times New Roman" w:hAnsi="Times New Roman"/>
          <w:caps w:val="false"/>
          <w:smallCaps w:val="false"/>
          <w:sz w:val="20"/>
        </w:rPr>
        <w:t>    </w:t>
      </w:r>
      <w:r>
        <w:rPr>
          <w:rFonts w:ascii="Times New Roman" w:hAnsi="Times New Roman"/>
          <w:b/>
          <w:caps w:val="false"/>
          <w:smallCaps w:val="false"/>
          <w:sz w:val="20"/>
        </w:rPr>
        <w:t>Tax Withholding</w:t>
      </w:r>
      <w:r>
        <w:rPr>
          <w:rFonts w:ascii="Times New Roman" w:hAnsi="Times New Roman"/>
          <w:i/>
          <w:caps w:val="false"/>
          <w:smallCaps w:val="false"/>
          <w:sz w:val="20"/>
        </w:rPr>
        <w:t xml:space="preserve">. </w:t>
      </w:r>
      <w:r>
        <w:rPr>
          <w:rFonts w:ascii="Times New Roman" w:hAnsi="Times New Roman"/>
          <w:caps w:val="false"/>
          <w:smallCaps w:val="false"/>
          <w:sz w:val="20"/>
        </w:rPr>
        <w:t>At the time the Award is granted, or at any time thereafter as requested by the Company, the Participant hereby authorizes withholding from payroll and any other amounts payable to the Participant, and otherwise agrees to make adequate provision for, any sums required to satisfy the federal, state, local and foreign tax withholding obligations of the Company and/or the Participating Company that employs the Participant (the “</w:t>
      </w:r>
      <w:r>
        <w:rPr>
          <w:rFonts w:ascii="Times New Roman" w:hAnsi="Times New Roman"/>
          <w:b/>
          <w:i/>
          <w:caps w:val="false"/>
          <w:smallCaps w:val="false"/>
          <w:sz w:val="20"/>
        </w:rPr>
        <w:t>Employer</w:t>
      </w:r>
      <w:r>
        <w:rPr>
          <w:rFonts w:ascii="Times New Roman" w:hAnsi="Times New Roman"/>
          <w:caps w:val="false"/>
          <w:smallCaps w:val="false"/>
          <w:sz w:val="20"/>
        </w:rPr>
        <w:t>”), if any, which arise in connection with the grant or vesting of the Award or the issuance of shares of Stock in settlement thereof. The Company shall have no obligation to deliver shares of Stock until the tax withholding obligations of the Company have been satisfied by the Participant. The Company shall have the right, but not the obligation, to require the Participant to satisfy all or any portion of the Company’s tax withholding obligations by deducting from the shares otherwise deliverable to the Participant in settlement of the Award a number of whole shares having a Fair Market Value, as determined by the Company as of the date on which the tax withholding obligations arise, not in excess of the amount of such tax withholding obligations, with any remainder tax withholding amount less than the value of one share deducted from other cash compensation otherwise payable by the Company to the Participant, or alternatively via a cash payment from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2</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3.5</w:t>
      </w:r>
      <w:r>
        <w:rPr>
          <w:rFonts w:ascii="Times New Roman" w:hAnsi="Times New Roman"/>
          <w:caps w:val="false"/>
          <w:smallCaps w:val="false"/>
          <w:sz w:val="20"/>
        </w:rPr>
        <w:t>    </w:t>
      </w:r>
      <w:r>
        <w:rPr>
          <w:rFonts w:ascii="Times New Roman" w:hAnsi="Times New Roman"/>
          <w:b/>
          <w:caps w:val="false"/>
          <w:smallCaps w:val="false"/>
          <w:sz w:val="20"/>
        </w:rPr>
        <w:t>Beneficial Ownership of Shares; Registration</w:t>
      </w:r>
      <w:r>
        <w:rPr>
          <w:rFonts w:ascii="Times New Roman" w:hAnsi="Times New Roman"/>
          <w:i/>
          <w:caps w:val="false"/>
          <w:smallCaps w:val="false"/>
          <w:sz w:val="20"/>
        </w:rPr>
        <w:t xml:space="preserve">. </w:t>
      </w:r>
      <w:r>
        <w:rPr>
          <w:rFonts w:ascii="Times New Roman" w:hAnsi="Times New Roman"/>
          <w:caps w:val="false"/>
          <w:smallCaps w:val="false"/>
          <w:sz w:val="20"/>
        </w:rPr>
        <w:t>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the shares as to which the Award is settled shall be registered in the name of the Participant, or, if applicable, in the name of the Death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3.6</w:t>
      </w:r>
      <w:r>
        <w:rPr>
          <w:rFonts w:ascii="Times New Roman" w:hAnsi="Times New Roman"/>
          <w:caps w:val="false"/>
          <w:smallCaps w:val="false"/>
          <w:sz w:val="20"/>
        </w:rPr>
        <w:t>    </w:t>
      </w:r>
      <w:r>
        <w:rPr>
          <w:rFonts w:ascii="Times New Roman" w:hAnsi="Times New Roman"/>
          <w:b/>
          <w:caps w:val="false"/>
          <w:smallCaps w:val="false"/>
          <w:sz w:val="20"/>
        </w:rPr>
        <w:t>Restrictions on Grant of the Award and Issuance of Shares</w:t>
      </w:r>
      <w:r>
        <w:rPr>
          <w:rFonts w:ascii="Times New Roman" w:hAnsi="Times New Roman"/>
          <w:i/>
          <w:caps w:val="false"/>
          <w:smallCaps w:val="false"/>
          <w:sz w:val="20"/>
        </w:rPr>
        <w:t xml:space="preserve">. </w:t>
      </w:r>
      <w:r>
        <w:rPr>
          <w:rFonts w:ascii="Times New Roman" w:hAnsi="Times New Roman"/>
          <w:caps w:val="false"/>
          <w:smallCaps w:val="false"/>
          <w:sz w:val="20"/>
        </w:rPr>
        <w:t>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subject to the Award shall relieve the Company of any liability in respect of the failure to issue or sell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3.7</w:t>
      </w:r>
      <w:r>
        <w:rPr>
          <w:rFonts w:ascii="Times New Roman" w:hAnsi="Times New Roman"/>
          <w:caps w:val="false"/>
          <w:smallCaps w:val="false"/>
          <w:sz w:val="20"/>
        </w:rPr>
        <w:t>    </w:t>
      </w:r>
      <w:r>
        <w:rPr>
          <w:rFonts w:ascii="Times New Roman" w:hAnsi="Times New Roman"/>
          <w:b/>
          <w:caps w:val="false"/>
          <w:smallCaps w:val="false"/>
          <w:sz w:val="20"/>
        </w:rPr>
        <w:t>Fractional Shares</w:t>
      </w:r>
      <w:r>
        <w:rPr>
          <w:rFonts w:ascii="Times New Roman" w:hAnsi="Times New Roman"/>
          <w:i/>
          <w:caps w:val="false"/>
          <w:smallCaps w:val="false"/>
          <w:sz w:val="20"/>
        </w:rPr>
        <w:t xml:space="preserve">. </w:t>
      </w:r>
      <w:r>
        <w:rPr>
          <w:rFonts w:ascii="Times New Roman" w:hAnsi="Times New Roman"/>
          <w:caps w:val="false"/>
          <w:smallCaps w:val="false"/>
          <w:sz w:val="20"/>
        </w:rPr>
        <w:t>The Company shall not be required to issue fractional shares upon the settlement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3.8</w:t>
      </w:r>
      <w:r>
        <w:rPr>
          <w:rFonts w:ascii="Times New Roman" w:hAnsi="Times New Roman"/>
          <w:caps w:val="false"/>
          <w:smallCaps w:val="false"/>
          <w:sz w:val="20"/>
        </w:rPr>
        <w:t>    </w:t>
      </w:r>
      <w:r>
        <w:rPr>
          <w:rFonts w:ascii="Times New Roman" w:hAnsi="Times New Roman"/>
          <w:b/>
          <w:caps w:val="false"/>
          <w:smallCaps w:val="false"/>
          <w:sz w:val="20"/>
        </w:rPr>
        <w:t>No Dividend Equivalents</w:t>
      </w:r>
      <w:r>
        <w:rPr>
          <w:rFonts w:ascii="Times New Roman" w:hAnsi="Times New Roman"/>
          <w:caps w:val="false"/>
          <w:smallCaps w:val="false"/>
          <w:sz w:val="20"/>
        </w:rPr>
        <w:t>. The Participant will not be entitled to receive dividends or distributions paid on the shares of Stock underlying PSUs unless and until shares are issued according to Section 3.3.</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NONTRANSFERABILITY OF THE AWARD</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Prior to the Settlement Date, neither this Award nor any PSU subject to this Award shall be subject in any manner to anticipation, alienation, sale, exchange, transfer, assignment, pledge, encumbrance, or garnishment by creditors of the Participant or the Participant’s beneficiary, except transfer by will or by the laws of descent and distribution.</w:t>
      </w:r>
    </w:p>
    <w:p>
      <w:pPr>
        <w:pStyle w:val="TextBody"/>
        <w:bidi w:val="0"/>
        <w:spacing w:before="0" w:after="0"/>
        <w:ind w:left="0" w:right="0" w:hanging="0"/>
        <w:jc w:val="both"/>
        <w:rPr>
          <w:caps w:val="false"/>
          <w:smallCaps w:val="false"/>
        </w:rPr>
      </w:pPr>
      <w:r>
        <w:rPr>
          <w:caps w:val="false"/>
          <w:smallCaps w:val="false"/>
        </w:rPr>
        <w:t> </w:t>
      </w:r>
    </w:p>
    <w:tbl>
      <w:tblPr>
        <w:tblW w:w="6130" w:type="dxa"/>
        <w:jc w:val="left"/>
        <w:tblInd w:w="0" w:type="dxa"/>
        <w:tblLayout w:type="fixed"/>
        <w:tblCellMar>
          <w:top w:w="0" w:type="dxa"/>
          <w:left w:w="0" w:type="dxa"/>
          <w:bottom w:w="0" w:type="dxa"/>
          <w:right w:w="0" w:type="dxa"/>
        </w:tblCellMar>
      </w:tblPr>
      <w:tblGrid>
        <w:gridCol w:w="60"/>
        <w:gridCol w:w="170"/>
        <w:gridCol w:w="590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590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EFFECT OF TERMINATION OF SERVICE; LEAVE OF ABSENCE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If the Participant’s Service (as defined below) is terminated by the Participant or by the Company for any reason, including any termination due to the Participant’s disability, before all PSUs have vested, the unvested PSUs shall be forfeited by the Participant, unless the termination of the Participant’s Service is due to the Participant’s death, in which case vesting of the PSUs shall accelerate to the extent provided in the Notice. As of the 31st (or 91st if reemployment is guaranteed by statute or contract) day of a leave of absence, vesting of the PSUs will be suspended and vesting credit will no longer accrue, unless otherwise determined by the Committee or required by contract or statute. If the Participant returns to Service immediately after the end of an approved leave of absence, vesting credit shall continue to accrue from that date of continued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3</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CHANGE IN CONTROL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the event of a Change in Control (as defined in the Plan), the Award shall be eligible to vest as provided in the Notice.</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60"/>
        <w:gridCol w:w="170"/>
        <w:gridCol w:w="5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534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ADJUSTMENTS FOR CHANGES IN CAPITAL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Award will be subject to adjustments by the Board to reflect changes in the Company’s capital structure as set forth in Section 4.3 of the Plan.</w:t>
      </w:r>
    </w:p>
    <w:p>
      <w:pPr>
        <w:pStyle w:val="TextBody"/>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6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RIGHTS AS A STOCKHOLDER, DIRECTOR, EMPLOYEE OR CONSULTANT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to the Award for dividends, distributions or other rights for which the record date is prior to the date such shares are issued, except as provided in Section 7.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in any capacity at any time.</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LEGENDS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may at any time place legends referencing any applicable federal, state or foreign securities law restrictions on all transfer of any shares of stock issued pursuant to this Agreement. The Participant shall, at the request of the Company, promptly present to the Company any and all documentation evidencing the shares acquired pursuant to this Award in the possession of the Participant in order to carry out the provisions of this Section.</w:t>
      </w:r>
    </w:p>
    <w:p>
      <w:pPr>
        <w:pStyle w:val="TextBody"/>
        <w:bidi w:val="0"/>
        <w:spacing w:before="0" w:after="0"/>
        <w:ind w:left="0" w:right="0" w:hanging="0"/>
        <w:jc w:val="both"/>
        <w:rPr>
          <w:caps w:val="false"/>
          <w:smallCaps w:val="false"/>
        </w:rPr>
      </w:pPr>
      <w:r>
        <w:rPr>
          <w:caps w:val="false"/>
          <w:smallCaps w:val="false"/>
        </w:rPr>
        <w:t> </w:t>
      </w:r>
    </w:p>
    <w:tbl>
      <w:tblPr>
        <w:tblW w:w="3145" w:type="dxa"/>
        <w:jc w:val="left"/>
        <w:tblInd w:w="0" w:type="dxa"/>
        <w:tblLayout w:type="fixed"/>
        <w:tblCellMar>
          <w:top w:w="0" w:type="dxa"/>
          <w:left w:w="0" w:type="dxa"/>
          <w:bottom w:w="0" w:type="dxa"/>
          <w:right w:w="0" w:type="dxa"/>
        </w:tblCellMar>
      </w:tblPr>
      <w:tblGrid>
        <w:gridCol w:w="60"/>
        <w:gridCol w:w="275"/>
        <w:gridCol w:w="28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SECTION 409A COMPLIANCE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Agreement is intended to be exempt from or comply with Section 409A of the Code (“</w:t>
      </w:r>
      <w:r>
        <w:rPr>
          <w:rFonts w:ascii="Times New Roman" w:hAnsi="Times New Roman"/>
          <w:b/>
          <w:i/>
          <w:caps w:val="false"/>
          <w:smallCaps w:val="false"/>
          <w:sz w:val="20"/>
        </w:rPr>
        <w:t>Section 409A</w:t>
      </w:r>
      <w:r>
        <w:rPr>
          <w:rFonts w:ascii="Times New Roman" w:hAnsi="Times New Roman"/>
          <w:caps w:val="false"/>
          <w:smallCaps w:val="false"/>
          <w:sz w:val="20"/>
        </w:rPr>
        <w:t>”) and shall be interpreted and administered accordingly. The Company reserves the unilateral right to amend this Agreement in order to maintain an exemption from or comply with Section 409A. Notwithstanding the foregoing, none of the Company, its contractors, agents and employees, the Board and each member of the Board shall have any obligation to prevent, minimize, or pay any gross-up payment to offset any negative tax consequences of any failure to follow the requirements of Section 409A or be liable for these consequences. Any payment under the Award that is subject to Section 409A and is otherwise due to a “specified employee” within the six-month period after “separation from service,” as each specified term is defined under Section 409A, shall accumulate without interest and be paid on the first payroll date that is a least one day after the end of the six-month period or, if earlier, within ten business days after the appointment of a personal representative or executor of the estate after the Participant’s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4</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275"/>
        <w:gridCol w:w="29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2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MISCELLANEOUS PROVISIONS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w:t>
      </w:r>
      <w:r>
        <w:rPr>
          <w:rFonts w:ascii="Times New Roman" w:hAnsi="Times New Roman"/>
          <w:caps w:val="false"/>
          <w:smallCaps w:val="false"/>
          <w:sz w:val="20"/>
        </w:rPr>
        <w:t>    </w:t>
      </w:r>
      <w:r>
        <w:rPr>
          <w:rFonts w:ascii="Times New Roman" w:hAnsi="Times New Roman"/>
          <w:b/>
          <w:caps w:val="false"/>
          <w:smallCaps w:val="false"/>
          <w:sz w:val="20"/>
        </w:rPr>
        <w:t>Further Instruments</w:t>
      </w:r>
      <w:r>
        <w:rPr>
          <w:rFonts w:ascii="Times New Roman" w:hAnsi="Times New Roman"/>
          <w:caps w:val="false"/>
          <w:smallCaps w:val="false"/>
          <w:sz w:val="20"/>
        </w:rPr>
        <w:t>. The parties hereto agree to execute such further instruments and to take such further action as may reasonably be necessary to carry out the intent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11.2</w:t>
      </w:r>
      <w:r>
        <w:rPr>
          <w:rFonts w:ascii="Times New Roman" w:hAnsi="Times New Roman"/>
          <w:caps w:val="false"/>
          <w:smallCaps w:val="false"/>
          <w:sz w:val="20"/>
        </w:rPr>
        <w:t>    </w:t>
      </w:r>
      <w:r>
        <w:rPr>
          <w:rFonts w:ascii="Times New Roman" w:hAnsi="Times New Roman"/>
          <w:b/>
          <w:caps w:val="false"/>
          <w:smallCaps w:val="false"/>
          <w:sz w:val="20"/>
        </w:rPr>
        <w:t>Binding Effect</w:t>
      </w:r>
      <w:r>
        <w:rPr>
          <w:rFonts w:ascii="Times New Roman" w:hAnsi="Times New Roman"/>
          <w:caps w:val="false"/>
          <w:smallCaps w:val="false"/>
          <w:sz w:val="20"/>
        </w:rPr>
        <w:t>. Subject to the restrictions on transfer set forth herein, this Agreement shall inure to the benefit of and be binding upon the parties hereto and their respective heirs, executors, administrators,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11.3</w:t>
      </w:r>
      <w:r>
        <w:rPr>
          <w:rFonts w:ascii="Times New Roman" w:hAnsi="Times New Roman"/>
          <w:caps w:val="false"/>
          <w:smallCaps w:val="false"/>
          <w:sz w:val="20"/>
        </w:rPr>
        <w:t>    </w:t>
      </w:r>
      <w:r>
        <w:rPr>
          <w:rFonts w:ascii="Times New Roman" w:hAnsi="Times New Roman"/>
          <w:b/>
          <w:caps w:val="false"/>
          <w:smallCaps w:val="false"/>
          <w:sz w:val="20"/>
        </w:rPr>
        <w:t>Termination or Amendment</w:t>
      </w:r>
      <w:r>
        <w:rPr>
          <w:rFonts w:ascii="Times New Roman" w:hAnsi="Times New Roman"/>
          <w:caps w:val="false"/>
          <w:smallCaps w:val="false"/>
          <w:sz w:val="20"/>
        </w:rPr>
        <w:t>. The Board may terminate or amend the Plan or the Award at any time; provided, however, that except as provided in Section 6 in connection with a Change in Control, no such termination or amendment may adversely affect the Award without the consent of the Participant unless such termination or amendment is necessary to comply with any applicable law or government regulation. No amendment or addition to this Agreement shall be effective unless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11.4</w:t>
      </w:r>
      <w:r>
        <w:rPr>
          <w:rFonts w:ascii="Times New Roman" w:hAnsi="Times New Roman"/>
          <w:caps w:val="false"/>
          <w:smallCaps w:val="false"/>
          <w:sz w:val="20"/>
        </w:rPr>
        <w:t>    </w:t>
      </w:r>
      <w:r>
        <w:rPr>
          <w:rFonts w:ascii="Times New Roman" w:hAnsi="Times New Roman"/>
          <w:b/>
          <w:caps w:val="false"/>
          <w:smallCaps w:val="false"/>
          <w:sz w:val="20"/>
        </w:rPr>
        <w:t>Notices</w:t>
      </w:r>
      <w:r>
        <w:rPr>
          <w:rFonts w:ascii="Times New Roman" w:hAnsi="Times New Roman"/>
          <w:caps w:val="false"/>
          <w:smallCaps w:val="false"/>
          <w:sz w:val="20"/>
        </w:rPr>
        <w:t>. Any notice required or permitted hereunder shall be given in writing and shall be deemed effectively given (except to the extent that this Agreement provides for effectiveness only upon actual receipt of such notice) upon personal delivery, upon deposit in the United States Post Office, by registered or certified mail, or with an overnight courier service with postage and fees prepaid, addressed to the other party at the address shown below that party’s signature or at such other address as such party may designate in writing from time to time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11.5</w:t>
      </w:r>
      <w:r>
        <w:rPr>
          <w:rFonts w:ascii="Times New Roman" w:hAnsi="Times New Roman"/>
          <w:caps w:val="false"/>
          <w:smallCaps w:val="false"/>
          <w:sz w:val="20"/>
        </w:rPr>
        <w:t>    </w:t>
      </w:r>
      <w:r>
        <w:rPr>
          <w:rFonts w:ascii="Times New Roman" w:hAnsi="Times New Roman"/>
          <w:b/>
          <w:caps w:val="false"/>
          <w:smallCaps w:val="false"/>
          <w:sz w:val="20"/>
        </w:rPr>
        <w:t>Integrated Agreement</w:t>
      </w:r>
      <w:r>
        <w:rPr>
          <w:rFonts w:ascii="Times New Roman" w:hAnsi="Times New Roman"/>
          <w:caps w:val="false"/>
          <w:smallCaps w:val="false"/>
          <w:sz w:val="20"/>
        </w:rPr>
        <w:t>. The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other than those as set forth or provided for herein or therein. To the extent contemplated herein or therein, the provisions of the Notice, the Agreement and the Plan shall survive any settlement of the Award and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11.6</w:t>
      </w:r>
      <w:r>
        <w:rPr>
          <w:rFonts w:ascii="Times New Roman" w:hAnsi="Times New Roman"/>
          <w:caps w:val="false"/>
          <w:smallCaps w:val="false"/>
          <w:sz w:val="20"/>
        </w:rPr>
        <w:t>    </w:t>
      </w:r>
      <w:r>
        <w:rPr>
          <w:rFonts w:ascii="Times New Roman" w:hAnsi="Times New Roman"/>
          <w:b/>
          <w:caps w:val="false"/>
          <w:smallCaps w:val="false"/>
          <w:sz w:val="20"/>
        </w:rPr>
        <w:t>Applicable Law</w:t>
      </w:r>
      <w:r>
        <w:rPr>
          <w:rFonts w:ascii="Times New Roman" w:hAnsi="Times New Roman"/>
          <w:caps w:val="false"/>
          <w:smallCaps w:val="false"/>
          <w:sz w:val="20"/>
        </w:rPr>
        <w:t>. This Agreement shall be governed by the laws of the State of California as such laws are applied to agreements between California residents entered into and to be performed entirely within the State of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11.7</w:t>
      </w:r>
      <w:r>
        <w:rPr>
          <w:rFonts w:ascii="Times New Roman" w:hAnsi="Times New Roman"/>
          <w:caps w:val="false"/>
          <w:smallCaps w:val="false"/>
          <w:sz w:val="20"/>
        </w:rPr>
        <w:t>    </w:t>
      </w:r>
      <w:r>
        <w:rPr>
          <w:rFonts w:ascii="Times New Roman" w:hAnsi="Times New Roman"/>
          <w:b/>
          <w:caps w:val="false"/>
          <w:smallCaps w:val="false"/>
          <w:sz w:val="20"/>
        </w:rPr>
        <w:t>Counterparts</w:t>
      </w:r>
      <w:r>
        <w:rPr>
          <w:rFonts w:ascii="Times New Roman" w:hAnsi="Times New Roman"/>
          <w:caps w:val="false"/>
          <w:smallCaps w:val="false"/>
          <w:sz w:val="20"/>
        </w:rPr>
        <w:t>. The Notice may be executed in counterparts, each of which shall be deemed an original, but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5</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11.8</w:t>
      </w:r>
      <w:r>
        <w:rPr>
          <w:rFonts w:ascii="Times New Roman" w:hAnsi="Times New Roman"/>
          <w:caps w:val="false"/>
          <w:smallCaps w:val="false"/>
          <w:sz w:val="20"/>
        </w:rPr>
        <w:t>    </w:t>
      </w:r>
      <w:r>
        <w:rPr>
          <w:rFonts w:ascii="Times New Roman" w:hAnsi="Times New Roman"/>
          <w:b/>
          <w:caps w:val="false"/>
          <w:smallCaps w:val="false"/>
          <w:sz w:val="20"/>
        </w:rPr>
        <w:t xml:space="preserve">Delivery of Documents and Notices. </w:t>
      </w:r>
      <w:r>
        <w:rPr>
          <w:rFonts w:ascii="Times New Roman" w:hAnsi="Times New Roman"/>
          <w:caps w:val="false"/>
          <w:smallCaps w:val="false"/>
          <w:sz w:val="20"/>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or at such other address as such party may designate in writing from time to time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i/>
          <w:caps w:val="false"/>
          <w:smallCaps w:val="false"/>
          <w:sz w:val="20"/>
        </w:rPr>
        <w:t xml:space="preserve">Description of Electronic Delivery and Signature. </w:t>
      </w:r>
      <w:r>
        <w:rPr>
          <w:rFonts w:ascii="Times New Roman" w:hAnsi="Times New Roman"/>
          <w:caps w:val="false"/>
          <w:smallCaps w:val="false"/>
          <w:sz w:val="20"/>
        </w:rPr>
        <w:t>The Plan documents, which may include but do not necessarily include: the Plan, the Notice, this Agreement, the Plan Prospectus, and any reports of the Company provided generally to the Company’s stockholders, may be delivered to the Participant electronically. In addition, if permitted by the Company, the Participant may deliver electronically the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i/>
          <w:caps w:val="false"/>
          <w:smallCaps w:val="false"/>
          <w:sz w:val="20"/>
        </w:rPr>
        <w:t xml:space="preserve">Consent to Electronic Delivery and Signature. </w:t>
      </w:r>
      <w:r>
        <w:rPr>
          <w:rFonts w:ascii="Times New Roman" w:hAnsi="Times New Roman"/>
          <w:caps w:val="false"/>
          <w:smallCaps w:val="false"/>
          <w:sz w:val="20"/>
        </w:rPr>
        <w:t>The Participant acknowledges that the Participant has read Section 11.8(a) of this Agreement and consents to the electronic delivery of the Plan documents and, if permitted by the Company, the delivery of the Notice, as described in Section 11.8(a).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11.8(a)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11.8(a).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11.9</w:t>
      </w:r>
      <w:r>
        <w:rPr>
          <w:rFonts w:ascii="Times New Roman" w:hAnsi="Times New Roman"/>
          <w:caps w:val="false"/>
          <w:smallCaps w:val="false"/>
          <w:sz w:val="20"/>
        </w:rPr>
        <w:t>    </w:t>
      </w:r>
      <w:r>
        <w:rPr>
          <w:rFonts w:ascii="Times New Roman" w:hAnsi="Times New Roman"/>
          <w:b/>
          <w:caps w:val="false"/>
          <w:smallCaps w:val="false"/>
          <w:sz w:val="20"/>
        </w:rPr>
        <w:t xml:space="preserve">Voting and Other Rights. </w:t>
      </w:r>
      <w:r>
        <w:rPr>
          <w:rFonts w:ascii="Times New Roman" w:hAnsi="Times New Roman"/>
          <w:caps w:val="false"/>
          <w:smallCaps w:val="false"/>
          <w:sz w:val="20"/>
        </w:rPr>
        <w:t>Participant acknowledges that Participant shall not have any voting rights or any other rights and privileges of a stockholder of the Company unless and until shares of Stock are issued upon settlement of this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11.10</w:t>
      </w:r>
      <w:r>
        <w:rPr>
          <w:rFonts w:ascii="Times New Roman" w:hAnsi="Times New Roman"/>
          <w:caps w:val="false"/>
          <w:smallCaps w:val="false"/>
          <w:sz w:val="20"/>
        </w:rPr>
        <w:t>    </w:t>
      </w:r>
      <w:r>
        <w:rPr>
          <w:rFonts w:ascii="Times New Roman" w:hAnsi="Times New Roman"/>
          <w:b/>
          <w:caps w:val="false"/>
          <w:smallCaps w:val="false"/>
          <w:sz w:val="20"/>
        </w:rPr>
        <w:t>Nature of Grant. In accepting the Award, the Participant acknowledges and agrees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(a)    the Plan is established voluntarily by the Company, it is discretionary in nature and it may be modified, amended, suspended or terminated by the Company at any time, (subject to any limitations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(b)    the Award is voluntary and occasional and does not create any contractual or other right to receive future awards, or benefits in lieu of awards, even if other awards have been awarded repeatedly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6</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(c)    all decisions with respect to future Awards, if any, will be at the sole discretion of the Company;</w:t>
      </w:r>
    </w:p>
    <w:p>
      <w:pPr>
        <w:pStyle w:val="TextBody"/>
        <w:bidi w:val="0"/>
        <w:spacing w:before="0" w:after="0"/>
        <w:ind w:left="360" w:right="0" w:firstLine="198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(d)    the Participant’s participation in the Plan is voluntary;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(e)    the Award and the shares of Stock subject to the Award are extraordinary items that do not constitute compensation of any kind for Services of any kind rendered to the Company or the Employer, and which are outside the scope of the Participant’s employment or service contract,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(f)    the Award and the shares of Stock subject to the Award are not intended to replace any pension rights 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(g)    the Award and the shares of Stock subject to the Award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Participating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(h)    the future value of the underlying shares of Stock is unknown and cannot be predicted with any 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(i)    no claim or entitlement to compensation or damages shall arise from forfeiture of the Participant’s Award resulting from termination of the Participant’s employment or Service or the Participant’s breach of any terms hereof (for any reason whatsoever and whether or not in breach of local labor laws or later found invalid), and in consideration of the grant of the Award to which the Participant is otherwise not entitled, the Participant irrevocably agrees never to institute any claim against the Company, waive the Participant’s ability, if any, to bring any such claim, and release the Company from any such claim; if, notwithstanding the foregoing, any such claim is allowed by a court of competent jurisdiction, then, by participating in the Plan, the Participant shall be deemed irrevocably to have agreed not to pursue such claim and agree to execute any and all documents necessary to request dismissal or withdrawal of such claim;</w:t>
      </w:r>
    </w:p>
    <w:p>
      <w:pPr>
        <w:pStyle w:val="TextBody"/>
        <w:bidi w:val="0"/>
        <w:spacing w:before="0" w:after="0"/>
        <w:ind w:left="360" w:right="0" w:firstLine="198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(j)    the Award and the benefits evidenced by this Agreement do not create any entitlement, not otherwise specifically provided for in the Plan or provided by the Company in its discretion, to have the Award or any such benefits transferred to, or assumed by, another company, nor to be exchanged, cashed out or substituted for, in connection with any corporate transaction affecting the Company’s Stock;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360" w:right="0" w:firstLine="1980"/>
        <w:jc w:val="both"/>
        <w:rPr>
          <w:rFonts w:ascii="Times New Roman" w:hAnsi="Times New Roman"/>
          <w:caps w:val="false"/>
          <w:smallCaps w:val="false"/>
          <w:sz w:val="20"/>
        </w:rPr>
      </w:pPr>
      <w:r>
        <w:rPr>
          <w:rFonts w:ascii="Times New Roman" w:hAnsi="Times New Roman"/>
          <w:caps w:val="false"/>
          <w:smallCaps w:val="false"/>
          <w:sz w:val="20"/>
        </w:rPr>
        <w:t>(k)    the Company is not providing any tax, legal or financial advice, nor is the Company making any recommendations regarding the Participant’s participation in the Plan, or the Participant’s acquisition or sale of the underlying shares of Stock; the Participant is hereby advised to consult with the Participant’s own personal tax, legal and financial advisors regarding the Participant’s participation in the Plan before taking any action related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7</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11.11</w:t>
      </w:r>
      <w:r>
        <w:rPr>
          <w:rFonts w:ascii="Times New Roman" w:hAnsi="Times New Roman"/>
          <w:caps w:val="false"/>
          <w:smallCaps w:val="false"/>
          <w:sz w:val="20"/>
        </w:rPr>
        <w:t>    </w:t>
      </w:r>
      <w:r>
        <w:rPr>
          <w:rFonts w:ascii="Times New Roman" w:hAnsi="Times New Roman"/>
          <w:b/>
          <w:caps w:val="false"/>
          <w:smallCaps w:val="false"/>
          <w:sz w:val="20"/>
        </w:rPr>
        <w:t xml:space="preserve">Governing Plan Document. </w:t>
      </w:r>
      <w:r>
        <w:rPr>
          <w:rFonts w:ascii="Times New Roman" w:hAnsi="Times New Roman"/>
          <w:caps w:val="false"/>
          <w:smallCaps w:val="false"/>
          <w:sz w:val="20"/>
        </w:rPr>
        <w:t>The Award is subject to this Agreement, the Notice and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the Notice and those of the Plan, the provisions of the Plan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11.12</w:t>
      </w:r>
      <w:r>
        <w:rPr>
          <w:rFonts w:ascii="Times New Roman" w:hAnsi="Times New Roman"/>
          <w:caps w:val="false"/>
          <w:smallCaps w:val="false"/>
          <w:sz w:val="20"/>
        </w:rPr>
        <w:t>    </w:t>
      </w:r>
      <w:r>
        <w:rPr>
          <w:rFonts w:ascii="Times New Roman" w:hAnsi="Times New Roman"/>
          <w:b/>
          <w:caps w:val="false"/>
          <w:smallCaps w:val="false"/>
          <w:sz w:val="20"/>
        </w:rPr>
        <w:t xml:space="preserve">Severability. </w:t>
      </w:r>
      <w:r>
        <w:rPr>
          <w:rFonts w:ascii="Times New Roman" w:hAnsi="Times New Roman"/>
          <w:caps w:val="false"/>
          <w:smallCaps w:val="false"/>
          <w:sz w:val="20"/>
        </w:rPr>
        <w:t>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11.13</w:t>
      </w:r>
      <w:r>
        <w:rPr>
          <w:rFonts w:ascii="Times New Roman" w:hAnsi="Times New Roman"/>
          <w:caps w:val="false"/>
          <w:smallCaps w:val="false"/>
          <w:sz w:val="20"/>
        </w:rPr>
        <w:t>    </w:t>
      </w:r>
      <w:r>
        <w:rPr>
          <w:rFonts w:ascii="Times New Roman" w:hAnsi="Times New Roman"/>
          <w:b/>
          <w:caps w:val="false"/>
          <w:smallCaps w:val="false"/>
          <w:sz w:val="20"/>
        </w:rPr>
        <w:t>Repayment/Forfeiture.</w:t>
      </w:r>
      <w:r>
        <w:rPr>
          <w:rFonts w:ascii="Times New Roman" w:hAnsi="Times New Roman"/>
          <w:caps w:val="false"/>
          <w:smallCaps w:val="false"/>
          <w:sz w:val="20"/>
        </w:rPr>
        <w:t xml:space="preserve"> Any benefits the Participant may receive hereunder shall be subject to repayment or forfeiture as required to comply with (a) 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Cohu, Inc. Policy for Recovery of Erroneously Awarded Incentive Compensation, or (d) any other repayment or forfeiture policies adopted by the Company, each to the extent determined by the Company in its discretion to be applicable to Participant.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PSU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8</w:t>
      </w:r>
    </w:p>
    <w:p>
      <w:pPr>
        <w:pStyle w:val="TextBody"/>
        <w:bidi w:val="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TextBody"/>
        <w:bidi w:val="0"/>
        <w:spacing w:before="0" w:after="0"/>
        <w:jc w:val="left"/>
        <w:rPr/>
      </w:pPr>
      <w:bookmarkStart w:id="24" w:name="ex_993146.htm"/>
      <w:bookmarkStart w:id="25" w:name="ksex_993146"/>
      <w:bookmarkEnd w:id="24"/>
      <w:bookmarkEnd w:id="25"/>
      <w:r>
        <w:rPr/>
        <w:t> </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10.4</w:t>
      </w:r>
    </w:p>
    <w:p>
      <w:pPr>
        <w:pStyle w:val="TextBody"/>
        <w:bidi w:val="0"/>
        <w:spacing w:before="0" w:after="0"/>
        <w:ind w:left="0" w:right="0" w:hanging="0"/>
        <w:jc w:val="both"/>
        <w:rPr/>
      </w:pPr>
      <w:r>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caps w:val="false"/>
          <w:smallCaps w:val="false"/>
        </w:rPr>
      </w:pPr>
      <w:r>
        <w:rPr>
          <w:caps w:val="false"/>
          <w:smallCaps w:val="false"/>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UNIT AWARD AGREEMENT</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(Leadership Team Employees)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Cohu, Inc. (the “</w:t>
      </w:r>
      <w:r>
        <w:rPr>
          <w:rFonts w:ascii="Times New Roman" w:hAnsi="Times New Roman"/>
          <w:b/>
          <w:i/>
          <w:caps w:val="false"/>
          <w:smallCaps w:val="false"/>
          <w:sz w:val="20"/>
        </w:rPr>
        <w:t>Company</w:t>
      </w:r>
      <w:r>
        <w:rPr>
          <w:rFonts w:ascii="Times New Roman" w:hAnsi="Times New Roman"/>
          <w:caps w:val="false"/>
          <w:smallCaps w:val="false"/>
          <w:sz w:val="20"/>
        </w:rPr>
        <w:t>”) has granted to the individual (the “</w:t>
      </w:r>
      <w:r>
        <w:rPr>
          <w:rFonts w:ascii="Times New Roman" w:hAnsi="Times New Roman"/>
          <w:b/>
          <w:i/>
          <w:caps w:val="false"/>
          <w:smallCaps w:val="false"/>
          <w:sz w:val="20"/>
        </w:rPr>
        <w:t>Participant</w:t>
      </w:r>
      <w:r>
        <w:rPr>
          <w:rFonts w:ascii="Times New Roman" w:hAnsi="Times New Roman"/>
          <w:caps w:val="false"/>
          <w:smallCaps w:val="false"/>
          <w:sz w:val="20"/>
        </w:rPr>
        <w:t xml:space="preserve">”) named in the </w:t>
      </w:r>
      <w:r>
        <w:rPr>
          <w:rFonts w:ascii="Times New Roman" w:hAnsi="Times New Roman"/>
          <w:i/>
          <w:caps w:val="false"/>
          <w:smallCaps w:val="false"/>
          <w:sz w:val="20"/>
        </w:rPr>
        <w:t xml:space="preserve">Notice of Grant of Award and Award Agreement </w:t>
      </w:r>
      <w:r>
        <w:rPr>
          <w:rFonts w:ascii="Times New Roman" w:hAnsi="Times New Roman"/>
          <w:caps w:val="false"/>
          <w:smallCaps w:val="false"/>
          <w:sz w:val="20"/>
        </w:rPr>
        <w:t>(the “</w:t>
      </w:r>
      <w:r>
        <w:rPr>
          <w:rFonts w:ascii="Times New Roman" w:hAnsi="Times New Roman"/>
          <w:b/>
          <w:i/>
          <w:caps w:val="false"/>
          <w:smallCaps w:val="false"/>
          <w:sz w:val="20"/>
        </w:rPr>
        <w:t>Notice</w:t>
      </w:r>
      <w:r>
        <w:rPr>
          <w:rFonts w:ascii="Times New Roman" w:hAnsi="Times New Roman"/>
          <w:caps w:val="false"/>
          <w:smallCaps w:val="false"/>
          <w:sz w:val="20"/>
        </w:rPr>
        <w:t>”) to which this Restricted Stock Unit Award Agreement (the “</w:t>
      </w:r>
      <w:r>
        <w:rPr>
          <w:rFonts w:ascii="Times New Roman" w:hAnsi="Times New Roman"/>
          <w:b/>
          <w:i/>
          <w:caps w:val="false"/>
          <w:smallCaps w:val="false"/>
          <w:sz w:val="20"/>
        </w:rPr>
        <w:t>Agreement</w:t>
      </w:r>
      <w:r>
        <w:rPr>
          <w:rFonts w:ascii="Times New Roman" w:hAnsi="Times New Roman"/>
          <w:caps w:val="false"/>
          <w:smallCaps w:val="false"/>
          <w:sz w:val="20"/>
        </w:rPr>
        <w:t>”) is attached, an award (the “</w:t>
      </w:r>
      <w:r>
        <w:rPr>
          <w:rFonts w:ascii="Times New Roman" w:hAnsi="Times New Roman"/>
          <w:b/>
          <w:i/>
          <w:caps w:val="false"/>
          <w:smallCaps w:val="false"/>
          <w:sz w:val="20"/>
        </w:rPr>
        <w:t>Award</w:t>
      </w:r>
      <w:r>
        <w:rPr>
          <w:rFonts w:ascii="Times New Roman" w:hAnsi="Times New Roman"/>
          <w:caps w:val="false"/>
          <w:smallCaps w:val="false"/>
          <w:sz w:val="20"/>
        </w:rPr>
        <w:t>”) of Restricted Stock Units upon the terms and conditions set forth in the Notice and this Agreement. The Award has been granted pursuant to and shall in all respects be subject to the terms and conditions of the Cohu, Inc. 2026 Equity Incentive Plan (the “</w:t>
      </w:r>
      <w:r>
        <w:rPr>
          <w:rFonts w:ascii="Times New Roman" w:hAnsi="Times New Roman"/>
          <w:b/>
          <w:i/>
          <w:caps w:val="false"/>
          <w:smallCaps w:val="false"/>
          <w:sz w:val="20"/>
        </w:rPr>
        <w:t>Plan</w:t>
      </w:r>
      <w:r>
        <w:rPr>
          <w:rFonts w:ascii="Times New Roman" w:hAnsi="Times New Roman"/>
          <w:caps w:val="false"/>
          <w:smallCaps w:val="false"/>
          <w:sz w:val="20"/>
        </w:rPr>
        <w:t>”), as amended to the Date of Grant, the provisions of which are incorporated herein by reference. By accepting the Award in accordance with the Company’s Award acceptance procedures for Awards granted under the Plan, which may include electronic acceptance procedures, the Participant: (a) represents that the Participant has read and is familiar with the terms and conditions of the Notice, the Plan and this Agreement, (b) accepts the Award subject to all of the terms and conditions of the Notice, the Plan and this Agreement, (c) agrees to accept as binding, conclusive and final all decisions or interpretations of the Board, upon any questions arising under the Notice, the Plan or this Agreement, and (d) acknowledges receipt of a copy of the Notice, the Plan, this Agreement and the prospectus for the Plan (the “</w:t>
      </w:r>
      <w:r>
        <w:rPr>
          <w:rFonts w:ascii="Times New Roman" w:hAnsi="Times New Roman"/>
          <w:b/>
          <w:i/>
          <w:caps w:val="false"/>
          <w:smallCaps w:val="false"/>
          <w:sz w:val="20"/>
        </w:rPr>
        <w:t>Plan Prospectus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tbl>
      <w:tblPr>
        <w:tblW w:w="3625" w:type="dxa"/>
        <w:jc w:val="left"/>
        <w:tblInd w:w="0" w:type="dxa"/>
        <w:tblLayout w:type="fixed"/>
        <w:tblCellMar>
          <w:top w:w="0" w:type="dxa"/>
          <w:left w:w="0" w:type="dxa"/>
          <w:bottom w:w="0" w:type="dxa"/>
          <w:right w:w="0" w:type="dxa"/>
        </w:tblCellMar>
      </w:tblPr>
      <w:tblGrid>
        <w:gridCol w:w="60"/>
        <w:gridCol w:w="170"/>
        <w:gridCol w:w="33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w:t>
            </w:r>
          </w:p>
        </w:tc>
        <w:tc>
          <w:tcPr>
            <w:tcW w:w="33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DEFINITIONS AND CONSTRUCTION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Definitions</w:t>
      </w:r>
      <w:r>
        <w:rPr>
          <w:rFonts w:ascii="Times New Roman" w:hAnsi="Times New Roman"/>
          <w:i/>
          <w:caps w:val="false"/>
          <w:smallCaps w:val="false"/>
          <w:sz w:val="20"/>
        </w:rPr>
        <w:t xml:space="preserve">. </w:t>
      </w:r>
      <w:r>
        <w:rPr>
          <w:rFonts w:ascii="Times New Roman" w:hAnsi="Times New Roman"/>
          <w:caps w:val="false"/>
          <w:smallCaps w:val="false"/>
          <w:sz w:val="20"/>
        </w:rPr>
        <w:t>Unless otherwise defined herein, capitalized terms shall have the meanings assigned to such terms in the Notice or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Construction</w:t>
      </w:r>
      <w:r>
        <w:rPr>
          <w:rFonts w:ascii="Times New Roman" w:hAnsi="Times New Roman"/>
          <w:i/>
          <w:caps w:val="false"/>
          <w:smallCaps w:val="false"/>
          <w:sz w:val="20"/>
        </w:rPr>
        <w:t xml:space="preserve">. </w:t>
      </w:r>
      <w:r>
        <w:rPr>
          <w:rFonts w:ascii="Times New Roman" w:hAnsi="Times New Roman"/>
          <w:caps w:val="false"/>
          <w:smallCaps w:val="false"/>
          <w:sz w:val="20"/>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both"/>
        <w:rPr>
          <w:caps w:val="false"/>
          <w:smallCaps w:val="false"/>
        </w:rPr>
      </w:pPr>
      <w:r>
        <w:rPr>
          <w:caps w:val="false"/>
          <w:smallCaps w:val="false"/>
        </w:rPr>
        <w:t> </w:t>
      </w:r>
    </w:p>
    <w:tbl>
      <w:tblPr>
        <w:tblW w:w="2035" w:type="dxa"/>
        <w:jc w:val="left"/>
        <w:tblInd w:w="0" w:type="dxa"/>
        <w:tblLayout w:type="fixed"/>
        <w:tblCellMar>
          <w:top w:w="0" w:type="dxa"/>
          <w:left w:w="0" w:type="dxa"/>
          <w:bottom w:w="0" w:type="dxa"/>
          <w:right w:w="0" w:type="dxa"/>
        </w:tblCellMar>
      </w:tblPr>
      <w:tblGrid>
        <w:gridCol w:w="60"/>
        <w:gridCol w:w="170"/>
        <w:gridCol w:w="18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2.</w:t>
            </w:r>
          </w:p>
        </w:tc>
        <w:tc>
          <w:tcPr>
            <w:tcW w:w="18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ADMINISTRATION</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All questions of interpretation concerning the Notice, this Agreement, the Plan, the Plan Prospectus and any other form of agreement or other document utilized by the Company in the administration of the Plan and the Award shall be determined by the Board or the Committee. All actions, decisions and determinations by the Board or the Committee shall be final and binding upon all persons having an interest in the Award. Any officer of a Participating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ind w:left="0" w:right="0" w:hanging="0"/>
        <w:jc w:val="both"/>
        <w:rPr>
          <w:caps w:val="false"/>
          <w:smallCaps w:val="false"/>
        </w:rPr>
      </w:pPr>
      <w:r>
        <w:rPr>
          <w:caps w:val="false"/>
          <w:smallCaps w:val="false"/>
        </w:rPr>
        <w:t> </w:t>
      </w:r>
    </w:p>
    <w:tbl>
      <w:tblPr>
        <w:tblW w:w="5365" w:type="dxa"/>
        <w:jc w:val="left"/>
        <w:tblInd w:w="0" w:type="dxa"/>
        <w:tblLayout w:type="fixed"/>
        <w:tblCellMar>
          <w:top w:w="0" w:type="dxa"/>
          <w:left w:w="0" w:type="dxa"/>
          <w:bottom w:w="0" w:type="dxa"/>
          <w:right w:w="0" w:type="dxa"/>
        </w:tblCellMar>
      </w:tblPr>
      <w:tblGrid>
        <w:gridCol w:w="60"/>
        <w:gridCol w:w="170"/>
        <w:gridCol w:w="513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13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GRANT, VESTING AND SETTLEMENT OF THE AWARD</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w:t>
      </w:r>
      <w:r>
        <w:rPr>
          <w:rFonts w:ascii="Times New Roman" w:hAnsi="Times New Roman"/>
          <w:b/>
          <w:caps w:val="false"/>
          <w:smallCaps w:val="false"/>
          <w:sz w:val="20"/>
        </w:rPr>
        <w:t xml:space="preserve">Grant of Restricted Stock Units. </w:t>
      </w:r>
      <w:r>
        <w:rPr>
          <w:rFonts w:ascii="Times New Roman" w:hAnsi="Times New Roman"/>
          <w:caps w:val="false"/>
          <w:smallCaps w:val="false"/>
          <w:sz w:val="20"/>
        </w:rPr>
        <w:t>Each Restricted Stock Unit specified in the Notice as subject to the Award represents a contingent right to receive an issuance of one (1) share of Stock on a date determined in accordance with the terms of the Notice and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3.2</w:t>
      </w:r>
      <w:r>
        <w:rPr>
          <w:rFonts w:ascii="Times New Roman" w:hAnsi="Times New Roman"/>
          <w:caps w:val="false"/>
          <w:smallCaps w:val="false"/>
          <w:sz w:val="20"/>
        </w:rPr>
        <w:t>    </w:t>
      </w:r>
      <w:r>
        <w:rPr>
          <w:rFonts w:ascii="Times New Roman" w:hAnsi="Times New Roman"/>
          <w:b/>
          <w:caps w:val="false"/>
          <w:smallCaps w:val="false"/>
          <w:sz w:val="20"/>
        </w:rPr>
        <w:t>No Monetary Payment Required</w:t>
      </w:r>
      <w:r>
        <w:rPr>
          <w:rFonts w:ascii="Times New Roman" w:hAnsi="Times New Roman"/>
          <w:i/>
          <w:caps w:val="false"/>
          <w:smallCaps w:val="false"/>
          <w:sz w:val="20"/>
        </w:rPr>
        <w:t xml:space="preserve">. </w:t>
      </w:r>
      <w:r>
        <w:rPr>
          <w:rFonts w:ascii="Times New Roman" w:hAnsi="Times New Roman"/>
          <w:caps w:val="false"/>
          <w:smallCaps w:val="false"/>
          <w:sz w:val="20"/>
        </w:rPr>
        <w:t>The Participant shall not be required to make any monetary payment (other than applicable tax withholding, if any) as a condition to receiving the Award or the shares of Stock issued upon settlement of the Award. Payment of the aggregate purchase price ofthe shares of Stock for which the Award is being settled shall be made in the form of past services rendered by the Participant to a Participating Company or for its benefit. Notwithstanding the foregoing, to the extent required by applicable law, the Participant shall furnish consideration in the form of cash having a value not less than the par value of the shares of Stock issued upon settlement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1</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b/>
          <w:sz w:val="20"/>
        </w:rPr>
        <w:t>3.3   </w:t>
      </w:r>
      <w:r>
        <w:rPr>
          <w:rFonts w:ascii="Times New Roman" w:hAnsi="Times New Roman"/>
          <w:sz w:val="20"/>
        </w:rPr>
        <w:t xml:space="preserve"> </w:t>
      </w:r>
      <w:r>
        <w:rPr>
          <w:rFonts w:ascii="Times New Roman" w:hAnsi="Times New Roman"/>
          <w:b/>
          <w:sz w:val="20"/>
        </w:rPr>
        <w:t>Vesting of Award; Issuance of Shares of Stock</w:t>
      </w:r>
      <w:r>
        <w:rPr>
          <w:rFonts w:ascii="Times New Roman" w:hAnsi="Times New Roman"/>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Vesting. The Award will vest in accordance with the vesting schedule set forth in the Notice, subject to the Participant’s Service with the Company through the applicable vesting dates. The Award is eligible to vest pursuant to the terms of the Company’s Executive Retirement Policy, the terms of which, to the extent applicable to the Award, override and supersede anything to the contrary that may be set forth in this Agreement or Notice. If the Participant’s Service with the Company terminates due to the Participant’s death, the Award will immediately accelerate vesting with respect to the total number of then unvested Restricted Stock Units then subject to the Award. Except to the extent eligibility for vesting in connection with a termination of Participant’s Service is otherwise specifically provided in any separate agreement between the Participant and the Company, if any (a “</w:t>
      </w:r>
      <w:r>
        <w:rPr>
          <w:rFonts w:ascii="Times New Roman" w:hAnsi="Times New Roman"/>
          <w:b/>
          <w:i/>
          <w:caps w:val="false"/>
          <w:smallCaps w:val="false"/>
          <w:sz w:val="20"/>
        </w:rPr>
        <w:t>Superseding Agreement</w:t>
      </w:r>
      <w:r>
        <w:rPr>
          <w:rFonts w:ascii="Times New Roman" w:hAnsi="Times New Roman"/>
          <w:caps w:val="false"/>
          <w:smallCaps w:val="false"/>
          <w:sz w:val="20"/>
        </w:rPr>
        <w:t>”), in the event that the Participant’s Service terminates for any reason other than due to the Participant’s death, or no reason, with or without Cause, including any termination of the Participant’s Service due to the Participant’s Disability, the Participant shall forfeit and the Company shall automatically reacquire and cancel all Restricted Stock Units subject to the Award which are not, as of the time of such termination, previously vested, and the Participant shall not be entitled to any payment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lineRule="auto" w:line="288"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(b)    Issuance. Subject to the provisions of Section 3.6 below, except as otherwise specified in the Executive Retirement Policy, the Company shall issue one (1) share of Stock to the Participant, on a date (the “</w:t>
      </w:r>
      <w:r>
        <w:rPr>
          <w:rFonts w:ascii="Times New Roman" w:hAnsi="Times New Roman"/>
          <w:b/>
          <w:i/>
          <w:caps w:val="false"/>
          <w:smallCaps w:val="false"/>
          <w:sz w:val="20"/>
        </w:rPr>
        <w:t>Settlement Date</w:t>
      </w:r>
      <w:r>
        <w:rPr>
          <w:rFonts w:ascii="Times New Roman" w:hAnsi="Times New Roman"/>
          <w:caps w:val="false"/>
          <w:smallCaps w:val="false"/>
          <w:sz w:val="20"/>
        </w:rPr>
        <w:t>”) within thirty (30) days following the date on which such Restricted Stock Unit first becomes vested as provided by the Notice or any Superseding Agreement (an “</w:t>
      </w:r>
      <w:r>
        <w:rPr>
          <w:rFonts w:ascii="Times New Roman" w:hAnsi="Times New Roman"/>
          <w:b/>
          <w:i/>
          <w:caps w:val="false"/>
          <w:smallCaps w:val="false"/>
          <w:sz w:val="20"/>
        </w:rPr>
        <w:t>Original Settlement Date</w:t>
      </w:r>
      <w:r>
        <w:rPr>
          <w:rFonts w:ascii="Times New Roman" w:hAnsi="Times New Roman"/>
          <w:caps w:val="false"/>
          <w:smallCaps w:val="false"/>
          <w:sz w:val="20"/>
        </w:rPr>
        <w:t>”); provided, however, that if the tax withholding obligations of a Participating Company, if any, will not be satisfied by the share withholding method described in Section 3.4 and the Original Settlement Date would occur on a date on which a sale by the Participant of the shares to be issued in settlement of the vested Restricted Stock Units would violate the Insider Trading Policy of the Company (“</w:t>
      </w:r>
      <w:r>
        <w:rPr>
          <w:rFonts w:ascii="Times New Roman" w:hAnsi="Times New Roman"/>
          <w:b/>
          <w:i/>
          <w:caps w:val="false"/>
          <w:smallCaps w:val="false"/>
          <w:sz w:val="20"/>
        </w:rPr>
        <w:t>Trading Policy</w:t>
      </w:r>
      <w:r>
        <w:rPr>
          <w:rFonts w:ascii="Times New Roman" w:hAnsi="Times New Roman"/>
          <w:caps w:val="false"/>
          <w:smallCaps w:val="false"/>
          <w:sz w:val="20"/>
        </w:rPr>
        <w:t>”), then the Settlement Date for such vested Restricted Stock Units shall be deferred until the next day on which the sale of such shares would not violate the Trading Policy, but in any event shall be on or before the last day of the calendar year that includes the Original Settlement Date; provided, however that if such later Settlement Date is permitted without triggering adverse tax consequences under Section 409A of the Code, then the Settlement Date may occur not later than March 15th of the calendar year immediately following the calendar year that includes the Original Settlement Date. Notwithstanding anything to the contrary set forth herein, in the event of any such share issuance which occurs following the Participant’s death: (i) any share issuance shall be made within thirty (30) days following the date that the Company receives appropriate documentation satisfactory to the Company of the applicable beneficiary, trustee or other party entitled to receive the issuance of such shares (the “</w:t>
      </w:r>
      <w:r>
        <w:rPr>
          <w:rFonts w:ascii="Times New Roman" w:hAnsi="Times New Roman"/>
          <w:b/>
          <w:i/>
          <w:caps w:val="false"/>
          <w:smallCaps w:val="false"/>
          <w:sz w:val="20"/>
        </w:rPr>
        <w:t>Death Beneficiary</w:t>
      </w:r>
      <w:r>
        <w:rPr>
          <w:rFonts w:ascii="Times New Roman" w:hAnsi="Times New Roman"/>
          <w:caps w:val="false"/>
          <w:smallCaps w:val="false"/>
          <w:sz w:val="20"/>
        </w:rPr>
        <w:t>”), and (ii) all references herein to the Participant shall instead be deemed to be references to the applicable Death Beneficiary, as appropriate. In all cases such issued shares of Stock shall not be subject to any restriction on transfer other than any such restriction as may be required pursuant to Section 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3.4</w:t>
      </w:r>
      <w:r>
        <w:rPr>
          <w:rFonts w:ascii="Times New Roman" w:hAnsi="Times New Roman"/>
          <w:caps w:val="false"/>
          <w:smallCaps w:val="false"/>
          <w:sz w:val="20"/>
        </w:rPr>
        <w:t>    </w:t>
      </w:r>
      <w:r>
        <w:rPr>
          <w:rFonts w:ascii="Times New Roman" w:hAnsi="Times New Roman"/>
          <w:b/>
          <w:caps w:val="false"/>
          <w:smallCaps w:val="false"/>
          <w:sz w:val="20"/>
        </w:rPr>
        <w:t>Tax Withholding</w:t>
      </w:r>
      <w:r>
        <w:rPr>
          <w:rFonts w:ascii="Times New Roman" w:hAnsi="Times New Roman"/>
          <w:i/>
          <w:caps w:val="false"/>
          <w:smallCaps w:val="false"/>
          <w:sz w:val="20"/>
        </w:rPr>
        <w:t xml:space="preserve">. </w:t>
      </w:r>
      <w:r>
        <w:rPr>
          <w:rFonts w:ascii="Times New Roman" w:hAnsi="Times New Roman"/>
          <w:caps w:val="false"/>
          <w:smallCaps w:val="false"/>
          <w:sz w:val="20"/>
        </w:rPr>
        <w:t>At the time the Award is granted, or at any time thereafter as requested by the Company, the Participant hereby authorizes withholding from payroll and any other amounts payable to the Participant, and otherwise agrees to make adequate provision for, any sums required to satisfy the federal, state, local and foreign tax withholding obligations of the Company and/or the Participating Company that employs the Participant (the “</w:t>
      </w:r>
      <w:r>
        <w:rPr>
          <w:rFonts w:ascii="Times New Roman" w:hAnsi="Times New Roman"/>
          <w:b/>
          <w:i/>
          <w:caps w:val="false"/>
          <w:smallCaps w:val="false"/>
          <w:sz w:val="20"/>
        </w:rPr>
        <w:t>Employer</w:t>
      </w:r>
      <w:r>
        <w:rPr>
          <w:rFonts w:ascii="Times New Roman" w:hAnsi="Times New Roman"/>
          <w:caps w:val="false"/>
          <w:smallCaps w:val="false"/>
          <w:sz w:val="20"/>
        </w:rPr>
        <w:t>”), if any, which arise in connection with the grant or vesting of the Award or the issuance of shares of Stock in settlement thereof. The Company shall have no obligation to deliver shares of Stock until the tax withholding obligations of the Company have been satisfied by the Participant. The Company shall have the right, but not the obligation, to require the Participant to satisfy all or any portion of the Company’s tax withholding obligations by deducting from the shares otherwise deliverable to the Participant in settlement of the Award a number of whole shares having a Fair Market Value, as determined by the Company as of the date on which the tax withholding obligations arise, not in excess of the amount of such tax withholding obligations, with any remainder tax withholding amount less than the value of one share deducted from other cash compensation otherwise payable by the Company to the Participant, or alternatively via a cash payment from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ind w:left="0" w:right="0" w:hanging="0"/>
        <w:jc w:val="left"/>
        <w:rPr>
          <w:rFonts w:ascii="Times New Roman" w:hAnsi="Times New Roman"/>
          <w:sz w:val="16"/>
        </w:rPr>
      </w:pPr>
      <w:r>
        <w:rPr>
          <w:rFonts w:ascii="Times New Roman" w:hAnsi="Times New Roman"/>
          <w:sz w:val="16"/>
        </w:rPr>
        <w:t>2</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3.5</w:t>
      </w:r>
      <w:r>
        <w:rPr>
          <w:rFonts w:ascii="Times New Roman" w:hAnsi="Times New Roman"/>
          <w:caps w:val="false"/>
          <w:smallCaps w:val="false"/>
          <w:sz w:val="20"/>
        </w:rPr>
        <w:t>    </w:t>
      </w:r>
      <w:r>
        <w:rPr>
          <w:rFonts w:ascii="Times New Roman" w:hAnsi="Times New Roman"/>
          <w:b/>
          <w:caps w:val="false"/>
          <w:smallCaps w:val="false"/>
          <w:sz w:val="20"/>
        </w:rPr>
        <w:t>Beneficial Ownership of Shares; Registration</w:t>
      </w:r>
      <w:r>
        <w:rPr>
          <w:rFonts w:ascii="Times New Roman" w:hAnsi="Times New Roman"/>
          <w:i/>
          <w:caps w:val="false"/>
          <w:smallCaps w:val="false"/>
          <w:sz w:val="20"/>
        </w:rPr>
        <w:t xml:space="preserve">. </w:t>
      </w:r>
      <w:r>
        <w:rPr>
          <w:rFonts w:ascii="Times New Roman" w:hAnsi="Times New Roman"/>
          <w:caps w:val="false"/>
          <w:smallCaps w:val="false"/>
          <w:sz w:val="20"/>
        </w:rPr>
        <w:t>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the shares as to which the Award is settled shall be registered in the name of the Participant, or, if applicable, in the name of the Death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3.6</w:t>
      </w:r>
      <w:r>
        <w:rPr>
          <w:rFonts w:ascii="Times New Roman" w:hAnsi="Times New Roman"/>
          <w:caps w:val="false"/>
          <w:smallCaps w:val="false"/>
          <w:sz w:val="20"/>
        </w:rPr>
        <w:t>    </w:t>
      </w:r>
      <w:r>
        <w:rPr>
          <w:rFonts w:ascii="Times New Roman" w:hAnsi="Times New Roman"/>
          <w:b/>
          <w:caps w:val="false"/>
          <w:smallCaps w:val="false"/>
          <w:sz w:val="20"/>
        </w:rPr>
        <w:t>Restrictions on Grant of the Award and Issuance of Shares</w:t>
      </w:r>
      <w:r>
        <w:rPr>
          <w:rFonts w:ascii="Times New Roman" w:hAnsi="Times New Roman"/>
          <w:i/>
          <w:caps w:val="false"/>
          <w:smallCaps w:val="false"/>
          <w:sz w:val="20"/>
        </w:rPr>
        <w:t xml:space="preserve">. </w:t>
      </w:r>
      <w:r>
        <w:rPr>
          <w:rFonts w:ascii="Times New Roman" w:hAnsi="Times New Roman"/>
          <w:caps w:val="false"/>
          <w:smallCaps w:val="false"/>
          <w:sz w:val="20"/>
        </w:rPr>
        <w:t>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subject to the Award shall relieve the Company of any liability in respect of the failure to issue or sell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3.7</w:t>
      </w:r>
      <w:r>
        <w:rPr>
          <w:rFonts w:ascii="Times New Roman" w:hAnsi="Times New Roman"/>
          <w:caps w:val="false"/>
          <w:smallCaps w:val="false"/>
          <w:sz w:val="20"/>
        </w:rPr>
        <w:t>    </w:t>
      </w:r>
      <w:r>
        <w:rPr>
          <w:rFonts w:ascii="Times New Roman" w:hAnsi="Times New Roman"/>
          <w:b/>
          <w:caps w:val="false"/>
          <w:smallCaps w:val="false"/>
          <w:sz w:val="20"/>
        </w:rPr>
        <w:t>Fractional Shares</w:t>
      </w:r>
      <w:r>
        <w:rPr>
          <w:rFonts w:ascii="Times New Roman" w:hAnsi="Times New Roman"/>
          <w:i/>
          <w:caps w:val="false"/>
          <w:smallCaps w:val="false"/>
          <w:sz w:val="20"/>
        </w:rPr>
        <w:t xml:space="preserve">. </w:t>
      </w:r>
      <w:r>
        <w:rPr>
          <w:rFonts w:ascii="Times New Roman" w:hAnsi="Times New Roman"/>
          <w:caps w:val="false"/>
          <w:smallCaps w:val="false"/>
          <w:sz w:val="20"/>
        </w:rPr>
        <w:t>The Company shall not be required to issue fractional shares upon the settlement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3.8</w:t>
      </w:r>
      <w:r>
        <w:rPr>
          <w:rFonts w:ascii="Times New Roman" w:hAnsi="Times New Roman"/>
          <w:caps w:val="false"/>
          <w:smallCaps w:val="false"/>
          <w:sz w:val="20"/>
        </w:rPr>
        <w:t>    </w:t>
      </w:r>
      <w:r>
        <w:rPr>
          <w:rFonts w:ascii="Times New Roman" w:hAnsi="Times New Roman"/>
          <w:b/>
          <w:caps w:val="false"/>
          <w:smallCaps w:val="false"/>
          <w:sz w:val="20"/>
        </w:rPr>
        <w:t>No Dividend Equivalents</w:t>
      </w:r>
      <w:r>
        <w:rPr>
          <w:rFonts w:ascii="Times New Roman" w:hAnsi="Times New Roman"/>
          <w:caps w:val="false"/>
          <w:smallCaps w:val="false"/>
          <w:sz w:val="20"/>
        </w:rPr>
        <w:t>. The Participant will not be entitled to receive dividends or distributions paid on the shares of Stock underlying Restricted Stock Units unless and until shares are issued according to Section 3.3.</w:t>
      </w:r>
    </w:p>
    <w:p>
      <w:pPr>
        <w:pStyle w:val="TextBody"/>
        <w:bidi w:val="0"/>
        <w:spacing w:before="0" w:after="0"/>
        <w:ind w:left="0" w:right="0" w:hanging="0"/>
        <w:jc w:val="both"/>
        <w:rPr>
          <w:caps w:val="false"/>
          <w:smallCaps w:val="false"/>
        </w:rPr>
      </w:pPr>
      <w:r>
        <w:rPr>
          <w:caps w:val="false"/>
          <w:smallCaps w:val="false"/>
        </w:rPr>
        <w:t> </w:t>
      </w:r>
    </w:p>
    <w:tbl>
      <w:tblPr>
        <w:tblW w:w="4135" w:type="dxa"/>
        <w:jc w:val="left"/>
        <w:tblInd w:w="0" w:type="dxa"/>
        <w:tblLayout w:type="fixed"/>
        <w:tblCellMar>
          <w:top w:w="0" w:type="dxa"/>
          <w:left w:w="0" w:type="dxa"/>
          <w:bottom w:w="0" w:type="dxa"/>
          <w:right w:w="0" w:type="dxa"/>
        </w:tblCellMar>
      </w:tblPr>
      <w:tblGrid>
        <w:gridCol w:w="60"/>
        <w:gridCol w:w="170"/>
        <w:gridCol w:w="390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4.</w:t>
            </w:r>
          </w:p>
        </w:tc>
        <w:tc>
          <w:tcPr>
            <w:tcW w:w="390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NONTRANSFERABILITY OF THE AWARD</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Prior to the Settlement Date, neither this Award nor any Restricted Stock Unit subject to this Award shall be subject in any manner to anticipation, alienation, sale, exchange, transfer, assignment, pledge, encumbrance, or garnishment by creditors of the Participant or the Participant’s beneficiary, except transfer by will or by the laws of descent and distribution.</w:t>
      </w:r>
    </w:p>
    <w:p>
      <w:pPr>
        <w:pStyle w:val="TextBody"/>
        <w:bidi w:val="0"/>
        <w:spacing w:before="0" w:after="0"/>
        <w:ind w:left="0" w:right="0" w:hanging="0"/>
        <w:jc w:val="both"/>
        <w:rPr>
          <w:caps w:val="false"/>
          <w:smallCaps w:val="false"/>
        </w:rPr>
      </w:pPr>
      <w:r>
        <w:rPr>
          <w:caps w:val="false"/>
          <w:smallCaps w:val="false"/>
        </w:rPr>
        <w:t> </w:t>
      </w:r>
    </w:p>
    <w:tbl>
      <w:tblPr>
        <w:tblW w:w="3385" w:type="dxa"/>
        <w:jc w:val="left"/>
        <w:tblInd w:w="0" w:type="dxa"/>
        <w:tblLayout w:type="fixed"/>
        <w:tblCellMar>
          <w:top w:w="0" w:type="dxa"/>
          <w:left w:w="0" w:type="dxa"/>
          <w:bottom w:w="0" w:type="dxa"/>
          <w:right w:w="0" w:type="dxa"/>
        </w:tblCellMar>
      </w:tblPr>
      <w:tblGrid>
        <w:gridCol w:w="60"/>
        <w:gridCol w:w="170"/>
        <w:gridCol w:w="315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5.</w:t>
            </w:r>
          </w:p>
        </w:tc>
        <w:tc>
          <w:tcPr>
            <w:tcW w:w="315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EFFECT OF LEAVE OF ABSENCE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As of the 31st (or 91st if reemployment is guaranteed by statute or contract) day of a leave of absence, vesting of the Restricted Stock Units will be suspended and vesting credit will no longer accrue, unless otherwise determined by the Committee or required by contract or statute. If the Participant returns to Service immediately after the end of an approved leave of absence, vesting credit shall continue to accrue from that date of continued Service.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3</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2410" w:type="dxa"/>
        <w:jc w:val="left"/>
        <w:tblInd w:w="0" w:type="dxa"/>
        <w:tblLayout w:type="fixed"/>
        <w:tblCellMar>
          <w:top w:w="0" w:type="dxa"/>
          <w:left w:w="0" w:type="dxa"/>
          <w:bottom w:w="0" w:type="dxa"/>
          <w:right w:w="0" w:type="dxa"/>
        </w:tblCellMar>
      </w:tblPr>
      <w:tblGrid>
        <w:gridCol w:w="60"/>
        <w:gridCol w:w="170"/>
        <w:gridCol w:w="218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6.</w:t>
            </w:r>
          </w:p>
        </w:tc>
        <w:tc>
          <w:tcPr>
            <w:tcW w:w="218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CHANGE IN CONTROL</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the event of a Change in Control (as defined in the Plan), the Award will be subject to treatment as provided in Section 13.1 of the Plan. . However, if the Award is neither assumed, continued nor substituted by the Acquiror in connection with the Change in Control as provided in Section 13.1 of the Plan, then if the Participant’s Service has not terminated prior to the Change in Control, the Award shall fully vest upon the Change in Control and will be settled in accordance with Section 3 in connection with the Change in Control. For purposes of the preceding sentence, the term “</w:t>
      </w:r>
      <w:r>
        <w:rPr>
          <w:rFonts w:ascii="Times New Roman" w:hAnsi="Times New Roman"/>
          <w:b/>
          <w:i/>
          <w:caps w:val="false"/>
          <w:smallCaps w:val="false"/>
          <w:sz w:val="20"/>
        </w:rPr>
        <w:t>Change in Control</w:t>
      </w:r>
      <w:r>
        <w:rPr>
          <w:rFonts w:ascii="Times New Roman" w:hAnsi="Times New Roman"/>
          <w:caps w:val="false"/>
          <w:smallCaps w:val="false"/>
          <w:sz w:val="20"/>
        </w:rPr>
        <w:t>” shall be defined as the occurrence of any of the following events: (a) any transaction in which any “person” as such term is used in Sections 13(d) and 14(d) of the Exchange Act (other than the Company, any trustee or other fiduciary holding securities under any employee benefit plan of the Company), is or becomes the “beneficial owner” (as defined in Rule 13d-3 under the Exchange Act), directly or indirectly, of securities of the Company representing more than fifty percent (50%) of the combined voting power of the Company’s then outstanding securities entitled to vote in a general election for directors, other than a transaction involving the acquisition of securities directly from the Company; (b) a sale of all or substantially all of the Company’s assets other than to a company or an entity fifty percent (50%) or more of which is owned by one or more of the current stockholders of the Company; or (c) a merger or consolidation of the Company with any other company, other than a merger or consolidation in which fifty percent (50%) or more of the combined voting power of the voting securities of the Company or such surviving entity outstanding immediately after such merger or consolidation is owned by the current stockholders of the Company. Notwithstanding this Section 6, to the extent that the Award constitutes a “deferral of compensation” (as defined in and subject to Section 409A of the Code) and provides for a payment or a change in the time or form of payment upon a Change in Control, then no Change in Control shall be deemed to have occurred upon an event described above unless such event shall constitute a “change in control event” under Section 409A.</w:t>
      </w:r>
    </w:p>
    <w:p>
      <w:pPr>
        <w:pStyle w:val="TextBody"/>
        <w:bidi w:val="0"/>
        <w:spacing w:before="0" w:after="0"/>
        <w:ind w:left="0" w:right="0" w:hanging="0"/>
        <w:jc w:val="both"/>
        <w:rPr>
          <w:caps w:val="false"/>
          <w:smallCaps w:val="false"/>
        </w:rPr>
      </w:pPr>
      <w:r>
        <w:rPr>
          <w:caps w:val="false"/>
          <w:smallCaps w:val="false"/>
        </w:rPr>
        <w:t> </w:t>
      </w:r>
    </w:p>
    <w:tbl>
      <w:tblPr>
        <w:tblW w:w="5575" w:type="dxa"/>
        <w:jc w:val="left"/>
        <w:tblInd w:w="0" w:type="dxa"/>
        <w:tblLayout w:type="fixed"/>
        <w:tblCellMar>
          <w:top w:w="0" w:type="dxa"/>
          <w:left w:w="0" w:type="dxa"/>
          <w:bottom w:w="0" w:type="dxa"/>
          <w:right w:w="0" w:type="dxa"/>
        </w:tblCellMar>
      </w:tblPr>
      <w:tblGrid>
        <w:gridCol w:w="60"/>
        <w:gridCol w:w="170"/>
        <w:gridCol w:w="534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7.</w:t>
            </w:r>
          </w:p>
        </w:tc>
        <w:tc>
          <w:tcPr>
            <w:tcW w:w="534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ADJUSTMENTS FOR CHANGES IN CAPITAL STRUCTURE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Award will be subject to adjustments by the Board to reflect changes in the Company’s capital structure as set forth in Section 4.3 of the Plan.</w:t>
      </w:r>
    </w:p>
    <w:p>
      <w:pPr>
        <w:pStyle w:val="TextBody"/>
        <w:bidi w:val="0"/>
        <w:spacing w:before="0" w:after="0"/>
        <w:ind w:left="0" w:right="0" w:hanging="0"/>
        <w:jc w:val="both"/>
        <w:rPr>
          <w:caps w:val="false"/>
          <w:smallCaps w:val="false"/>
        </w:rPr>
      </w:pPr>
      <w:r>
        <w:rPr>
          <w:caps w:val="false"/>
          <w:smallCaps w:val="false"/>
        </w:rPr>
        <w:t> </w:t>
      </w:r>
    </w:p>
    <w:tbl>
      <w:tblPr>
        <w:tblW w:w="7120" w:type="dxa"/>
        <w:jc w:val="left"/>
        <w:tblInd w:w="0" w:type="dxa"/>
        <w:tblLayout w:type="fixed"/>
        <w:tblCellMar>
          <w:top w:w="0" w:type="dxa"/>
          <w:left w:w="0" w:type="dxa"/>
          <w:bottom w:w="0" w:type="dxa"/>
          <w:right w:w="0" w:type="dxa"/>
        </w:tblCellMar>
      </w:tblPr>
      <w:tblGrid>
        <w:gridCol w:w="60"/>
        <w:gridCol w:w="170"/>
        <w:gridCol w:w="6890"/>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8.</w:t>
            </w:r>
          </w:p>
        </w:tc>
        <w:tc>
          <w:tcPr>
            <w:tcW w:w="68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RIGHTS AS A STOCKHOLDER, DIRECTOR, EMPLOYEE OR CONSULTANT</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No adjustment shall be made to the Award for dividends, distributions or other rights for which the record date is prior to the date such shares are issued, except as provided in Section 7.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in any capacity at any time.</w:t>
      </w:r>
    </w:p>
    <w:p>
      <w:pPr>
        <w:pStyle w:val="TextBody"/>
        <w:bidi w:val="0"/>
        <w:spacing w:before="0" w:after="0"/>
        <w:ind w:left="0" w:right="0" w:hanging="0"/>
        <w:jc w:val="both"/>
        <w:rPr>
          <w:caps w:val="false"/>
          <w:smallCaps w:val="false"/>
        </w:rPr>
      </w:pPr>
      <w:r>
        <w:rPr>
          <w:caps w:val="false"/>
          <w:smallCaps w:val="false"/>
        </w:rPr>
        <w:t> </w:t>
      </w:r>
    </w:p>
    <w:tbl>
      <w:tblPr>
        <w:tblW w:w="1225" w:type="dxa"/>
        <w:jc w:val="left"/>
        <w:tblInd w:w="0" w:type="dxa"/>
        <w:tblLayout w:type="fixed"/>
        <w:tblCellMar>
          <w:top w:w="0" w:type="dxa"/>
          <w:left w:w="0" w:type="dxa"/>
          <w:bottom w:w="0" w:type="dxa"/>
          <w:right w:w="0" w:type="dxa"/>
        </w:tblCellMar>
      </w:tblPr>
      <w:tblGrid>
        <w:gridCol w:w="60"/>
        <w:gridCol w:w="170"/>
        <w:gridCol w:w="995"/>
      </w:tblGrid>
      <w:tr>
        <w:trPr/>
        <w:tc>
          <w:tcPr>
            <w:tcW w:w="60" w:type="dxa"/>
            <w:tcBorders/>
            <w:vAlign w:val="center"/>
          </w:tcPr>
          <w:p>
            <w:pPr>
              <w:pStyle w:val="TableContents"/>
              <w:bidi w:val="0"/>
              <w:spacing w:before="0" w:after="283"/>
              <w:jc w:val="left"/>
              <w:rPr/>
            </w:pPr>
            <w:r>
              <w:rPr/>
              <w:t> </w:t>
            </w:r>
          </w:p>
        </w:tc>
        <w:tc>
          <w:tcPr>
            <w:tcW w:w="17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9.</w:t>
            </w:r>
          </w:p>
        </w:tc>
        <w:tc>
          <w:tcPr>
            <w:tcW w:w="99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LEGENDS</w:t>
            </w:r>
            <w:r>
              <w:rPr>
                <w:rFonts w:ascii="Times New Roman;Times;serif" w:hAnsi="Times New Roman;Times;serif"/>
                <w:b/>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may at any time place legends referencing any applicable federal, state or foreign securities law restrictions on transfer of any shares of stock issued pursuant to this Agreement. The Participant shall, at the request of the Company, promptly present to the Company any and all documentation evidencing the shares acquired pursuant to this Award in the possession of the Participant in order to carry out the provisions of this Section.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4</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tbl>
      <w:tblPr>
        <w:tblW w:w="3145" w:type="dxa"/>
        <w:jc w:val="left"/>
        <w:tblInd w:w="0" w:type="dxa"/>
        <w:tblLayout w:type="fixed"/>
        <w:tblCellMar>
          <w:top w:w="0" w:type="dxa"/>
          <w:left w:w="0" w:type="dxa"/>
          <w:bottom w:w="0" w:type="dxa"/>
          <w:right w:w="0" w:type="dxa"/>
        </w:tblCellMar>
      </w:tblPr>
      <w:tblGrid>
        <w:gridCol w:w="60"/>
        <w:gridCol w:w="275"/>
        <w:gridCol w:w="281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10.</w:t>
            </w:r>
          </w:p>
        </w:tc>
        <w:tc>
          <w:tcPr>
            <w:tcW w:w="281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SECTION 409A COMPLIANCE</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Agreement is intended to be exempt from or comply with Section 409A of the Code (“</w:t>
      </w:r>
      <w:r>
        <w:rPr>
          <w:rFonts w:ascii="Times New Roman" w:hAnsi="Times New Roman"/>
          <w:b/>
          <w:i/>
          <w:caps w:val="false"/>
          <w:smallCaps w:val="false"/>
          <w:sz w:val="20"/>
        </w:rPr>
        <w:t>Section 409A</w:t>
      </w:r>
      <w:r>
        <w:rPr>
          <w:rFonts w:ascii="Times New Roman" w:hAnsi="Times New Roman"/>
          <w:caps w:val="false"/>
          <w:smallCaps w:val="false"/>
          <w:sz w:val="20"/>
        </w:rPr>
        <w:t>”) and shall be interpreted and administered accordingly. The Company reserves the unilateral right to amend this Agreement in order to maintain an exemption from or comply with Section 409A. Notwithstanding the foregoing, none of the Company, its contractors, agents and employees, the Board and each member of the Board shall have any obligation to prevent, minimize, or pay any gross-up payment to offset any negative tax consequences of any failure to follow the requirements of Section 409A or be liable for these consequences. Any payment under the Award that is subject to Section 409A and is otherwise due to a “specified employee” within the six-month period after “separation from service,” as each specified term is defined under Section 409A, shall accumulate without interest and be paid on the first payroll date that is a least one day after the end of the six-month period or, if earlier, within ten business days after the appointment of a personal representative or executor of the estate after the Participant’s death.</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before="0" w:after="0"/>
        <w:ind w:left="0" w:right="0" w:hanging="0"/>
        <w:jc w:val="both"/>
        <w:rPr>
          <w:caps w:val="false"/>
          <w:smallCaps w:val="false"/>
        </w:rPr>
      </w:pPr>
      <w:r>
        <w:rPr>
          <w:caps w:val="false"/>
          <w:smallCaps w:val="false"/>
        </w:rPr>
        <w:t> </w:t>
      </w:r>
    </w:p>
    <w:tbl>
      <w:tblPr>
        <w:tblW w:w="3325" w:type="dxa"/>
        <w:jc w:val="left"/>
        <w:tblInd w:w="0" w:type="dxa"/>
        <w:tblLayout w:type="fixed"/>
        <w:tblCellMar>
          <w:top w:w="0" w:type="dxa"/>
          <w:left w:w="0" w:type="dxa"/>
          <w:bottom w:w="0" w:type="dxa"/>
          <w:right w:w="0" w:type="dxa"/>
        </w:tblCellMar>
      </w:tblPr>
      <w:tblGrid>
        <w:gridCol w:w="60"/>
        <w:gridCol w:w="275"/>
        <w:gridCol w:w="2990"/>
      </w:tblGrid>
      <w:tr>
        <w:trPr/>
        <w:tc>
          <w:tcPr>
            <w:tcW w:w="60"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rPr>
            </w:pPr>
            <w:r>
              <w:rPr>
                <w:rFonts w:ascii="Times New Roman;Times;serif" w:hAnsi="Times New Roman;Times;serif"/>
                <w:b/>
                <w:caps w:val="false"/>
                <w:smallCaps w:val="false"/>
                <w:sz w:val="20"/>
              </w:rPr>
              <w:t>11.</w:t>
            </w:r>
          </w:p>
        </w:tc>
        <w:tc>
          <w:tcPr>
            <w:tcW w:w="299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b/>
                <w:caps w:val="false"/>
                <w:smallCaps w:val="false"/>
                <w:sz w:val="20"/>
                <w:u w:val="single"/>
              </w:rPr>
              <w:t>MISCELLANEOUS PROVISIONS</w:t>
            </w:r>
            <w:r>
              <w:rPr>
                <w:rFonts w:ascii="Times New Roman;Times;serif" w:hAnsi="Times New Roman;Times;serif"/>
                <w:caps w:val="false"/>
                <w:smallCaps w:val="false"/>
                <w:sz w:val="20"/>
              </w:rPr>
              <w: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w:t>
      </w:r>
      <w:r>
        <w:rPr>
          <w:rFonts w:ascii="Times New Roman" w:hAnsi="Times New Roman"/>
          <w:caps w:val="false"/>
          <w:smallCaps w:val="false"/>
          <w:sz w:val="20"/>
        </w:rPr>
        <w:t>    </w:t>
      </w:r>
      <w:r>
        <w:rPr>
          <w:rFonts w:ascii="Times New Roman" w:hAnsi="Times New Roman"/>
          <w:b/>
          <w:caps w:val="false"/>
          <w:smallCaps w:val="false"/>
          <w:sz w:val="20"/>
        </w:rPr>
        <w:t>Further Instruments</w:t>
      </w:r>
      <w:r>
        <w:rPr>
          <w:rFonts w:ascii="Times New Roman" w:hAnsi="Times New Roman"/>
          <w:caps w:val="false"/>
          <w:smallCaps w:val="false"/>
          <w:sz w:val="20"/>
        </w:rPr>
        <w:t>. The parties hereto agree to execute such further instruments and to take such further action as may reasonably be necessary to carry out the intent of this Agreement.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11.2</w:t>
      </w:r>
      <w:r>
        <w:rPr>
          <w:rFonts w:ascii="Times New Roman" w:hAnsi="Times New Roman"/>
          <w:caps w:val="false"/>
          <w:smallCaps w:val="false"/>
          <w:sz w:val="20"/>
        </w:rPr>
        <w:t>    </w:t>
      </w:r>
      <w:r>
        <w:rPr>
          <w:rFonts w:ascii="Times New Roman" w:hAnsi="Times New Roman"/>
          <w:b/>
          <w:caps w:val="false"/>
          <w:smallCaps w:val="false"/>
          <w:sz w:val="20"/>
        </w:rPr>
        <w:t>Binding Effect</w:t>
      </w:r>
      <w:r>
        <w:rPr>
          <w:rFonts w:ascii="Times New Roman" w:hAnsi="Times New Roman"/>
          <w:caps w:val="false"/>
          <w:smallCaps w:val="false"/>
          <w:sz w:val="20"/>
        </w:rPr>
        <w:t>. Subject to the restrictions on transfer set forth herein, this Agreement shall inure to the benefit of and be binding upon the parties hereto and their respective heirs, executors, administrators, successors and assigns.</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11.3</w:t>
      </w:r>
      <w:r>
        <w:rPr>
          <w:rFonts w:ascii="Times New Roman" w:hAnsi="Times New Roman"/>
          <w:caps w:val="false"/>
          <w:smallCaps w:val="false"/>
          <w:sz w:val="20"/>
        </w:rPr>
        <w:t>    </w:t>
      </w:r>
      <w:r>
        <w:rPr>
          <w:rFonts w:ascii="Times New Roman" w:hAnsi="Times New Roman"/>
          <w:b/>
          <w:caps w:val="false"/>
          <w:smallCaps w:val="false"/>
          <w:sz w:val="20"/>
        </w:rPr>
        <w:t>Termination or Amendment</w:t>
      </w:r>
      <w:r>
        <w:rPr>
          <w:rFonts w:ascii="Times New Roman" w:hAnsi="Times New Roman"/>
          <w:caps w:val="false"/>
          <w:smallCaps w:val="false"/>
          <w:sz w:val="20"/>
        </w:rPr>
        <w:t>. The Board may terminate or amend the Plan or the Award at any time; provided, however, that except as provided in Section 6 in connection with a Change in Control, no such termination or amendment may adversely affect the Award without the consent of the Participant unless such termination or amendment is necessary to comply with any applicable law or government regulation. No amendment or addition to this Agreement shall be effective unless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11.4</w:t>
      </w:r>
      <w:r>
        <w:rPr>
          <w:rFonts w:ascii="Times New Roman" w:hAnsi="Times New Roman"/>
          <w:caps w:val="false"/>
          <w:smallCaps w:val="false"/>
          <w:sz w:val="20"/>
        </w:rPr>
        <w:t>    </w:t>
      </w:r>
      <w:r>
        <w:rPr>
          <w:rFonts w:ascii="Times New Roman" w:hAnsi="Times New Roman"/>
          <w:b/>
          <w:caps w:val="false"/>
          <w:smallCaps w:val="false"/>
          <w:sz w:val="20"/>
        </w:rPr>
        <w:t>Notices</w:t>
      </w:r>
      <w:r>
        <w:rPr>
          <w:rFonts w:ascii="Times New Roman" w:hAnsi="Times New Roman"/>
          <w:caps w:val="false"/>
          <w:smallCaps w:val="false"/>
          <w:sz w:val="20"/>
        </w:rPr>
        <w:t>. Any notice required or permitted hereunder shall be given in writing and shall be deemed effectively given (except to the extent that this Agreement provides for effectiveness only upon actual receipt of such notice) upon personal delivery, upon deposit in the United States Post Office, by registered or certified mail, or with an overnight courier service with postage and fees prepaid, addressed to the other party at the address shown below that party’s signature or at such other address as such party may designate in writing from time to time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5</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11.5</w:t>
      </w:r>
      <w:r>
        <w:rPr>
          <w:rFonts w:ascii="Times New Roman" w:hAnsi="Times New Roman"/>
          <w:caps w:val="false"/>
          <w:smallCaps w:val="false"/>
          <w:sz w:val="20"/>
        </w:rPr>
        <w:t>    </w:t>
      </w:r>
      <w:r>
        <w:rPr>
          <w:rFonts w:ascii="Times New Roman" w:hAnsi="Times New Roman"/>
          <w:b/>
          <w:caps w:val="false"/>
          <w:smallCaps w:val="false"/>
          <w:sz w:val="20"/>
        </w:rPr>
        <w:t>Integrated Agreement</w:t>
      </w:r>
      <w:r>
        <w:rPr>
          <w:rFonts w:ascii="Times New Roman" w:hAnsi="Times New Roman"/>
          <w:caps w:val="false"/>
          <w:smallCaps w:val="false"/>
          <w:sz w:val="20"/>
        </w:rPr>
        <w:t>. The Notice, this Agreement and the Plan, together with the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other than those as set forth or provided for herein or therein. To the extent contemplated herein or therein, the provisions of the Notice, the Agreement and the Plan shall survive any settlement of the Award and shall remain in full force and effect.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11.6</w:t>
      </w:r>
      <w:r>
        <w:rPr>
          <w:rFonts w:ascii="Times New Roman" w:hAnsi="Times New Roman"/>
          <w:caps w:val="false"/>
          <w:smallCaps w:val="false"/>
          <w:sz w:val="20"/>
        </w:rPr>
        <w:t>    </w:t>
      </w:r>
      <w:r>
        <w:rPr>
          <w:rFonts w:ascii="Times New Roman" w:hAnsi="Times New Roman"/>
          <w:b/>
          <w:caps w:val="false"/>
          <w:smallCaps w:val="false"/>
          <w:sz w:val="20"/>
        </w:rPr>
        <w:t>Applicable Law</w:t>
      </w:r>
      <w:r>
        <w:rPr>
          <w:rFonts w:ascii="Times New Roman" w:hAnsi="Times New Roman"/>
          <w:caps w:val="false"/>
          <w:smallCaps w:val="false"/>
          <w:sz w:val="20"/>
        </w:rPr>
        <w:t>. This Agreement shall be governed by the laws of the State of California as such laws are applied to agreements between California residents entered into and to be performed entirely within the State of California.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11.7</w:t>
      </w:r>
      <w:r>
        <w:rPr>
          <w:rFonts w:ascii="Times New Roman" w:hAnsi="Times New Roman"/>
          <w:caps w:val="false"/>
          <w:smallCaps w:val="false"/>
          <w:sz w:val="20"/>
        </w:rPr>
        <w:t>    </w:t>
      </w:r>
      <w:r>
        <w:rPr>
          <w:rFonts w:ascii="Times New Roman" w:hAnsi="Times New Roman"/>
          <w:b/>
          <w:caps w:val="false"/>
          <w:smallCaps w:val="false"/>
          <w:sz w:val="20"/>
        </w:rPr>
        <w:t>Counterparts</w:t>
      </w:r>
      <w:r>
        <w:rPr>
          <w:rFonts w:ascii="Times New Roman" w:hAnsi="Times New Roman"/>
          <w:caps w:val="false"/>
          <w:smallCaps w:val="false"/>
          <w:sz w:val="20"/>
        </w:rPr>
        <w:t>. The Notice may be executed in counterparts, each of which shall be deemed an original, but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11.8</w:t>
      </w:r>
      <w:r>
        <w:rPr>
          <w:rFonts w:ascii="Times New Roman" w:hAnsi="Times New Roman"/>
          <w:caps w:val="false"/>
          <w:smallCaps w:val="false"/>
          <w:sz w:val="20"/>
        </w:rPr>
        <w:t>    </w:t>
      </w:r>
      <w:r>
        <w:rPr>
          <w:rFonts w:ascii="Times New Roman" w:hAnsi="Times New Roman"/>
          <w:b/>
          <w:caps w:val="false"/>
          <w:smallCaps w:val="false"/>
          <w:sz w:val="20"/>
        </w:rPr>
        <w:t xml:space="preserve">Delivery of Documents and Notices. </w:t>
      </w:r>
      <w:r>
        <w:rPr>
          <w:rFonts w:ascii="Times New Roman" w:hAnsi="Times New Roman"/>
          <w:caps w:val="false"/>
          <w:smallCaps w:val="false"/>
          <w:sz w:val="20"/>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or at such other address as such party may designate in writing from time to time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i/>
          <w:caps w:val="false"/>
          <w:smallCaps w:val="false"/>
          <w:sz w:val="20"/>
        </w:rPr>
        <w:t xml:space="preserve">Description of Electronic Delivery and Signature. </w:t>
      </w:r>
      <w:r>
        <w:rPr>
          <w:rFonts w:ascii="Times New Roman" w:hAnsi="Times New Roman"/>
          <w:caps w:val="false"/>
          <w:smallCaps w:val="false"/>
          <w:sz w:val="20"/>
        </w:rPr>
        <w:t>The Plan documents, which may include but do not necessarily include: the Plan, the Notice, this Agreement, the Plan Prospectus, and any reports of the Company provided generally to the Company’s stockholders, may be delivered to the Participant electronically. In addition, if permitted by the Company, the Participant may deliver electronically the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i/>
          <w:caps w:val="false"/>
          <w:smallCaps w:val="false"/>
          <w:sz w:val="20"/>
        </w:rPr>
        <w:t xml:space="preserve">Consent to Electronic Delivery and Signature. </w:t>
      </w:r>
      <w:r>
        <w:rPr>
          <w:rFonts w:ascii="Times New Roman" w:hAnsi="Times New Roman"/>
          <w:caps w:val="false"/>
          <w:smallCaps w:val="false"/>
          <w:sz w:val="20"/>
        </w:rPr>
        <w:t>The Participant acknowledges that the Participant has read Section 11.8(a) of this Agreement and consents to the electronic delivery of the Plan documents and, if permitted by the Company, the delivery of the Notice, as described in Section 11.8(a).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11.8(a)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11.8(a).</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6</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11.9</w:t>
      </w:r>
      <w:r>
        <w:rPr>
          <w:rFonts w:ascii="Times New Roman" w:hAnsi="Times New Roman"/>
          <w:caps w:val="false"/>
          <w:smallCaps w:val="false"/>
          <w:sz w:val="20"/>
        </w:rPr>
        <w:t>    </w:t>
      </w:r>
      <w:r>
        <w:rPr>
          <w:rFonts w:ascii="Times New Roman" w:hAnsi="Times New Roman"/>
          <w:b/>
          <w:caps w:val="false"/>
          <w:smallCaps w:val="false"/>
          <w:sz w:val="20"/>
        </w:rPr>
        <w:t xml:space="preserve">Voting and Other Rights. </w:t>
      </w:r>
      <w:r>
        <w:rPr>
          <w:rFonts w:ascii="Times New Roman" w:hAnsi="Times New Roman"/>
          <w:caps w:val="false"/>
          <w:smallCaps w:val="false"/>
          <w:sz w:val="20"/>
        </w:rPr>
        <w:t>Participant acknowledges that Participant shall not have any voting rights or any other rights and privileges of a stockholder of the Company unless and until shares of Stock are issued upon settlement of this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11.10</w:t>
      </w:r>
      <w:r>
        <w:rPr>
          <w:rFonts w:ascii="Times New Roman" w:hAnsi="Times New Roman"/>
          <w:caps w:val="false"/>
          <w:smallCaps w:val="false"/>
          <w:sz w:val="20"/>
        </w:rPr>
        <w:t>    </w:t>
      </w:r>
      <w:r>
        <w:rPr>
          <w:rFonts w:ascii="Times New Roman" w:hAnsi="Times New Roman"/>
          <w:b/>
          <w:caps w:val="false"/>
          <w:smallCaps w:val="false"/>
          <w:sz w:val="20"/>
        </w:rPr>
        <w:t>Nature of Grant. In accepting the Award, the Participant acknowledges and agrees that: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Plan is established voluntarily by the Company, it is discretionary in nature and it may be modified, amended, suspended or terminated by the Company at any time, (subject to any limitations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Award is voluntary and occasional and does not create any contractual or other right to receive future awards, or benefits in lieu of awards, even if other awards have been awarded repeatedly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all decisions with respect to future Awards, if any, will be at the sole discretion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the Participant’s participation in the Plan is voluntary;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the Award and the shares of Stock subject to the Award are extraordinary items that do not constitute compensation of any kind for Services of any kind rendered to the Company or the Employer, and which are outside the scope of the Participant’s employment or service contract,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the Award and the shares of Stock subject to the Award are not intended to replace any pension rights 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(g)    the Award and the shares of Stock subject to the Award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Participating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the future value of the underlying shares of Stock is unknown and cannot be predicted with any certainty;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no claim or entitlement to compensation or damages shall arise from forfeiture of the Participant’s Award resulting from termination of the Participant’s employment or Service or the Participant’s breach of any terms hereof (for any reason whatsoever and whether or not in breach of local labor laws or later found invalid), and in consideration of the grant of the Award to which the Participant is otherwise not entitled, the Participant irrevocably agrees never to institute any claim against the Company, waive the Participant’s ability, if any, to bring any such claim, and release the Company from any such claim; if, notwithstanding the foregoing, any such claim is allowed by a court of competent jurisdiction, then, by participating in the Plan, the Participant shall be deemed irrevocably to have agreed not to pursue such claim and agree to execute any and all documents necessary to request dismissal or withdrawal of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7</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HorizontalLine"/>
        <w:pBdr>
          <w:bottom w:val="double" w:sz="2" w:space="0" w:color="808080"/>
        </w:pBdr>
        <w:bidi w:val="0"/>
        <w:spacing w:before="0" w:after="283"/>
        <w:jc w:val="left"/>
        <w:rPr/>
      </w:pPr>
      <w:r>
        <w:rPr/>
      </w:r>
    </w:p>
    <w:p>
      <w:pPr>
        <w:pStyle w:val="TextBody"/>
        <w:bidi w:val="0"/>
        <w:jc w:val="left"/>
        <w:rPr/>
      </w:pPr>
      <w:r>
        <w:rPr/>
        <w:t> </w:t>
      </w:r>
    </w:p>
    <w:p>
      <w:pPr>
        <w:pStyle w:val="TextBody"/>
        <w:bidi w:val="0"/>
        <w:spacing w:before="0" w:after="0"/>
        <w:ind w:left="0" w:right="0" w:hanging="0"/>
        <w:jc w:val="left"/>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(j)    the Award and the benefits evidenced by this Agreement do not create any entitlement, not otherwise specifically provided for in the Plan or provided by the Company in its discretion, to have the Award or any such benefits transferred to, or assumed by, another company, nor to be exchanged, cashed out or substituted for, in connection with any corporate transaction affecting the Company’s Stock;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(k)    the Company is not providing any tax, legal or financial advice, nor is the Company making any recommendations regarding the Participant’s participation in the Plan, or the Participant’s acquisition or sale of the underlying shares of Stock; the Participant is hereby advised to consult with the Participant’s own personal tax, legal and financial advisors regarding the Participant’s participation in the Plan before taking any action related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11.11</w:t>
      </w:r>
      <w:r>
        <w:rPr>
          <w:rFonts w:ascii="Times New Roman" w:hAnsi="Times New Roman"/>
          <w:caps w:val="false"/>
          <w:smallCaps w:val="false"/>
          <w:sz w:val="20"/>
        </w:rPr>
        <w:t>    </w:t>
      </w:r>
      <w:r>
        <w:rPr>
          <w:rFonts w:ascii="Times New Roman" w:hAnsi="Times New Roman"/>
          <w:b/>
          <w:caps w:val="false"/>
          <w:smallCaps w:val="false"/>
          <w:sz w:val="20"/>
        </w:rPr>
        <w:t xml:space="preserve">Governing Plan Document. </w:t>
      </w:r>
      <w:r>
        <w:rPr>
          <w:rFonts w:ascii="Times New Roman" w:hAnsi="Times New Roman"/>
          <w:caps w:val="false"/>
          <w:smallCaps w:val="false"/>
          <w:sz w:val="20"/>
        </w:rPr>
        <w:t>The Award is subject to this Agreement, the Notice and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the Notice and those of the Plan, the provisions of the Plan shall control.</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11.12</w:t>
      </w:r>
      <w:r>
        <w:rPr>
          <w:rFonts w:ascii="Times New Roman" w:hAnsi="Times New Roman"/>
          <w:caps w:val="false"/>
          <w:smallCaps w:val="false"/>
          <w:sz w:val="20"/>
        </w:rPr>
        <w:t>    </w:t>
      </w:r>
      <w:r>
        <w:rPr>
          <w:rFonts w:ascii="Times New Roman" w:hAnsi="Times New Roman"/>
          <w:b/>
          <w:caps w:val="false"/>
          <w:smallCaps w:val="false"/>
          <w:sz w:val="20"/>
        </w:rPr>
        <w:t xml:space="preserve">Severability. </w:t>
      </w:r>
      <w:r>
        <w:rPr>
          <w:rFonts w:ascii="Times New Roman" w:hAnsi="Times New Roman"/>
          <w:caps w:val="false"/>
          <w:smallCaps w:val="false"/>
          <w:sz w:val="20"/>
        </w:rPr>
        <w:t>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11.13</w:t>
      </w:r>
      <w:r>
        <w:rPr>
          <w:rFonts w:ascii="Times New Roman" w:hAnsi="Times New Roman"/>
          <w:caps w:val="false"/>
          <w:smallCaps w:val="false"/>
          <w:sz w:val="20"/>
        </w:rPr>
        <w:t>    </w:t>
      </w:r>
      <w:r>
        <w:rPr>
          <w:rFonts w:ascii="Times New Roman" w:hAnsi="Times New Roman"/>
          <w:b/>
          <w:caps w:val="false"/>
          <w:smallCaps w:val="false"/>
          <w:sz w:val="20"/>
        </w:rPr>
        <w:t>Repayment/Forfeiture.</w:t>
      </w:r>
      <w:r>
        <w:rPr>
          <w:rFonts w:ascii="Times New Roman" w:hAnsi="Times New Roman"/>
          <w:caps w:val="false"/>
          <w:smallCaps w:val="false"/>
          <w:sz w:val="20"/>
        </w:rPr>
        <w:t xml:space="preserve"> Any benefits the Participant may receive hereunder shall be subject to repayment or forfeiture as required to comply with (a) 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Cohu, Inc. Policy for Recovery of Erroneously Awarded Incentive Compensation, or (d) any other repayment or forfeiture policies adopted by the Company, each to the extent determined by the Company in its discretion to be applicable to Participant.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8</w:t>
      </w:r>
    </w:p>
    <w:p>
      <w:pPr>
        <w:pStyle w:val="TextBody"/>
        <w:bidi w:val="0"/>
        <w:ind w:left="0" w:right="0" w:hanging="0"/>
        <w:jc w:val="left"/>
        <w:rPr>
          <w:rFonts w:ascii="Times New Roman;Times;serif" w:hAnsi="Times New Roman;Times;serif"/>
          <w:sz w:val="16"/>
        </w:rPr>
      </w:pPr>
      <w:r>
        <w:rPr>
          <w:rFonts w:ascii="Times New Roman;Times;serif" w:hAnsi="Times New Roman;Times;serif"/>
          <w:sz w:val="16"/>
        </w:rPr>
        <w:t>Leadership Team</w:t>
      </w:r>
    </w:p>
    <w:p>
      <w:pPr>
        <w:pStyle w:val="TextBody"/>
        <w:bidi w:val="0"/>
        <w:spacing w:before="0" w:after="0"/>
        <w:jc w:val="left"/>
        <w:rPr/>
      </w:pPr>
      <w:bookmarkStart w:id="26" w:name="ex_993147.htm"/>
      <w:bookmarkStart w:id="27" w:name="ksex_993147"/>
      <w:bookmarkEnd w:id="26"/>
      <w:bookmarkEnd w:id="27"/>
      <w:r>
        <w:rPr/>
        <w:t> </w:t>
      </w:r>
      <w:r>
        <w:br w:type="page"/>
      </w:r>
    </w:p>
    <w:p>
      <w:pPr>
        <w:pStyle w:val="TextBody"/>
        <w:bidi w:val="0"/>
        <w:spacing w:before="0" w:after="283"/>
        <w:jc w:val="left"/>
        <w:rPr/>
      </w:pPr>
      <w:r>
        <w:rPr/>
        <w:t> </w:t>
      </w:r>
    </w:p>
    <w:p>
      <w:pPr>
        <w:pStyle w:val="TextBody"/>
        <w:bidi w:val="0"/>
        <w:spacing w:before="0" w:after="0"/>
        <w:ind w:left="0" w:right="0" w:hanging="0"/>
        <w:jc w:val="right"/>
        <w:rPr>
          <w:rFonts w:ascii="Times New Roman;Times;serif" w:hAnsi="Times New Roman;Times;serif"/>
          <w:b/>
          <w:sz w:val="20"/>
        </w:rPr>
      </w:pPr>
      <w:r>
        <w:rPr>
          <w:rFonts w:ascii="Times New Roman;Times;serif" w:hAnsi="Times New Roman;Times;serif"/>
          <w:b/>
          <w:sz w:val="20"/>
        </w:rPr>
        <w:t>Exhibit 10.5</w:t>
      </w:r>
    </w:p>
    <w:p>
      <w:pPr>
        <w:pStyle w:val="TextBody"/>
        <w:bidi w:val="0"/>
        <w:spacing w:before="0" w:after="0"/>
        <w:ind w:left="0" w:right="0" w:hanging="0"/>
        <w:jc w:val="center"/>
        <w:rPr/>
      </w:pPr>
      <w:r>
        <w:rPr/>
        <w:t> </w:t>
      </w:r>
    </w:p>
    <w:p>
      <w:pPr>
        <w:pStyle w:val="TextBody"/>
        <w:bidi w:val="0"/>
        <w:spacing w:before="0" w:after="0"/>
        <w:ind w:left="20" w:right="0" w:hanging="0"/>
        <w:jc w:val="center"/>
        <w:rPr>
          <w:rFonts w:ascii="Times New Roman" w:hAnsi="Times New Roman"/>
          <w:b/>
          <w:caps w:val="false"/>
          <w:smallCaps w:val="false"/>
          <w:sz w:val="20"/>
        </w:rPr>
      </w:pPr>
      <w:r>
        <w:rPr>
          <w:rFonts w:ascii="Times New Roman" w:hAnsi="Times New Roman"/>
          <w:b/>
          <w:caps w:val="false"/>
          <w:smallCaps w:val="false"/>
          <w:sz w:val="20"/>
        </w:rPr>
        <w:t>COHU, INC.</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RESTRICTED STOCK UNIT AWARD AGREEMENT</w:t>
      </w:r>
    </w:p>
    <w:p>
      <w:pPr>
        <w:pStyle w:val="TextBody"/>
        <w:bidi w:val="0"/>
        <w:spacing w:before="0" w:after="0"/>
        <w:ind w:left="0" w:right="0" w:hanging="0"/>
        <w:jc w:val="center"/>
        <w:rPr>
          <w:rFonts w:ascii="Times New Roman" w:hAnsi="Times New Roman"/>
          <w:b/>
          <w:caps w:val="false"/>
          <w:smallCaps w:val="false"/>
          <w:sz w:val="20"/>
        </w:rPr>
      </w:pPr>
      <w:r>
        <w:rPr>
          <w:rFonts w:ascii="Times New Roman" w:hAnsi="Times New Roman"/>
          <w:b/>
          <w:caps w:val="false"/>
          <w:smallCaps w:val="false"/>
          <w:sz w:val="20"/>
        </w:rPr>
        <w:t>(Non-employee Directors)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60" w:right="0" w:firstLine="1440"/>
        <w:jc w:val="both"/>
        <w:rPr>
          <w:rFonts w:ascii="Times New Roman" w:hAnsi="Times New Roman"/>
          <w:caps w:val="false"/>
          <w:smallCaps w:val="false"/>
          <w:sz w:val="20"/>
        </w:rPr>
      </w:pPr>
      <w:r>
        <w:rPr>
          <w:rFonts w:ascii="Times New Roman" w:hAnsi="Times New Roman"/>
          <w:caps w:val="false"/>
          <w:smallCaps w:val="false"/>
          <w:sz w:val="20"/>
        </w:rPr>
        <w:t>Cohu, Inc. (the “</w:t>
      </w:r>
      <w:r>
        <w:rPr>
          <w:rFonts w:ascii="Times New Roman" w:hAnsi="Times New Roman"/>
          <w:b/>
          <w:i/>
          <w:caps w:val="false"/>
          <w:smallCaps w:val="false"/>
          <w:sz w:val="20"/>
        </w:rPr>
        <w:t>Company</w:t>
      </w:r>
      <w:r>
        <w:rPr>
          <w:rFonts w:ascii="Times New Roman" w:hAnsi="Times New Roman"/>
          <w:caps w:val="false"/>
          <w:smallCaps w:val="false"/>
          <w:sz w:val="20"/>
        </w:rPr>
        <w:t>”) has granted to the individual (the “</w:t>
      </w:r>
      <w:r>
        <w:rPr>
          <w:rFonts w:ascii="Times New Roman" w:hAnsi="Times New Roman"/>
          <w:b/>
          <w:i/>
          <w:caps w:val="false"/>
          <w:smallCaps w:val="false"/>
          <w:sz w:val="20"/>
        </w:rPr>
        <w:t>Participant</w:t>
      </w:r>
      <w:r>
        <w:rPr>
          <w:rFonts w:ascii="Times New Roman" w:hAnsi="Times New Roman"/>
          <w:caps w:val="false"/>
          <w:smallCaps w:val="false"/>
          <w:sz w:val="20"/>
        </w:rPr>
        <w:t xml:space="preserve">”) named in the </w:t>
      </w:r>
      <w:r>
        <w:rPr>
          <w:rFonts w:ascii="Times New Roman" w:hAnsi="Times New Roman"/>
          <w:i/>
          <w:caps w:val="false"/>
          <w:smallCaps w:val="false"/>
          <w:sz w:val="20"/>
        </w:rPr>
        <w:t xml:space="preserve">Notice of Grant of Award and Award Agreement </w:t>
      </w:r>
      <w:r>
        <w:rPr>
          <w:rFonts w:ascii="Times New Roman" w:hAnsi="Times New Roman"/>
          <w:caps w:val="false"/>
          <w:smallCaps w:val="false"/>
          <w:sz w:val="20"/>
        </w:rPr>
        <w:t>(the “</w:t>
      </w:r>
      <w:r>
        <w:rPr>
          <w:rFonts w:ascii="Times New Roman" w:hAnsi="Times New Roman"/>
          <w:b/>
          <w:i/>
          <w:caps w:val="false"/>
          <w:smallCaps w:val="false"/>
          <w:sz w:val="20"/>
        </w:rPr>
        <w:t>Notice</w:t>
      </w:r>
      <w:r>
        <w:rPr>
          <w:rFonts w:ascii="Times New Roman" w:hAnsi="Times New Roman"/>
          <w:caps w:val="false"/>
          <w:smallCaps w:val="false"/>
          <w:sz w:val="20"/>
        </w:rPr>
        <w:t>”) to which this Restricted Stock Unit Award Agreement (the “</w:t>
      </w:r>
      <w:r>
        <w:rPr>
          <w:rFonts w:ascii="Times New Roman" w:hAnsi="Times New Roman"/>
          <w:b/>
          <w:i/>
          <w:caps w:val="false"/>
          <w:smallCaps w:val="false"/>
          <w:sz w:val="20"/>
        </w:rPr>
        <w:t>Agreement</w:t>
      </w:r>
      <w:r>
        <w:rPr>
          <w:rFonts w:ascii="Times New Roman" w:hAnsi="Times New Roman"/>
          <w:caps w:val="false"/>
          <w:smallCaps w:val="false"/>
          <w:sz w:val="20"/>
        </w:rPr>
        <w:t>”) is attached, an award (the “</w:t>
      </w:r>
      <w:r>
        <w:rPr>
          <w:rFonts w:ascii="Times New Roman" w:hAnsi="Times New Roman"/>
          <w:b/>
          <w:i/>
          <w:caps w:val="false"/>
          <w:smallCaps w:val="false"/>
          <w:sz w:val="20"/>
        </w:rPr>
        <w:t>Award</w:t>
      </w:r>
      <w:r>
        <w:rPr>
          <w:rFonts w:ascii="Times New Roman" w:hAnsi="Times New Roman"/>
          <w:caps w:val="false"/>
          <w:smallCaps w:val="false"/>
          <w:sz w:val="20"/>
        </w:rPr>
        <w:t>”) of Restricted Stock Units upon the terms and conditions set forth in the Notice and this Agreement. The Award has been granted pursuant to and shall in all respects be subject to the terms and conditions of the Cohu, Inc. 2026 Equity Incentive Plan (the “</w:t>
      </w:r>
      <w:r>
        <w:rPr>
          <w:rFonts w:ascii="Times New Roman" w:hAnsi="Times New Roman"/>
          <w:b/>
          <w:i/>
          <w:caps w:val="false"/>
          <w:smallCaps w:val="false"/>
          <w:sz w:val="20"/>
        </w:rPr>
        <w:t>Plan</w:t>
      </w:r>
      <w:r>
        <w:rPr>
          <w:rFonts w:ascii="Times New Roman" w:hAnsi="Times New Roman"/>
          <w:caps w:val="false"/>
          <w:smallCaps w:val="false"/>
          <w:sz w:val="20"/>
        </w:rPr>
        <w:t>”), as amended to the Date of Grant. By accepting the Award in accordance with the Company’s Award acceptance procedures for Awards granted under the Plan, which may include electronic acceptance procedures, the Participant: (a) represents that the Participant has read and is familiar with the terms and conditions of the Notice, the Plan and this Agreement, (b) accepts the Award subject to all of the terms and conditions of the Notice, the Plan and this Agreement, (c) agrees to accept as binding, conclusive and final all decisions or interpretations of the Board, upon any questions arising under the Notice, the Plan or this Agreement, and (d) acknowledges receipt of a copy of the Notice, the Plan, this Agreement and the prospectus for the Plan (the “</w:t>
      </w:r>
      <w:r>
        <w:rPr>
          <w:rFonts w:ascii="Times New Roman" w:hAnsi="Times New Roman"/>
          <w:b/>
          <w:i/>
          <w:caps w:val="false"/>
          <w:smallCaps w:val="false"/>
          <w:sz w:val="20"/>
        </w:rPr>
        <w:t>Plan Prospectus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caps w:val="false"/>
          <w:smallCaps w:val="false"/>
        </w:rPr>
      </w:pPr>
      <w:r>
        <w:rPr>
          <w:caps w:val="false"/>
          <w:smallCaps w:val="false"/>
        </w:rPr>
        <w:t> </w:t>
      </w:r>
    </w:p>
    <w:tbl>
      <w:tblPr>
        <w:tblW w:w="3580" w:type="dxa"/>
        <w:jc w:val="left"/>
        <w:tblInd w:w="0" w:type="dxa"/>
        <w:tblLayout w:type="fixed"/>
        <w:tblCellMar>
          <w:top w:w="0" w:type="dxa"/>
          <w:left w:w="0" w:type="dxa"/>
          <w:bottom w:w="0" w:type="dxa"/>
          <w:right w:w="0" w:type="dxa"/>
        </w:tblCellMar>
      </w:tblPr>
      <w:tblGrid>
        <w:gridCol w:w="60"/>
        <w:gridCol w:w="125"/>
        <w:gridCol w:w="339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39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DEFINITIONS AND CONSTRUCTION.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w:t>
      </w:r>
      <w:r>
        <w:rPr>
          <w:rFonts w:ascii="Times New Roman" w:hAnsi="Times New Roman"/>
          <w:caps w:val="false"/>
          <w:smallCaps w:val="false"/>
          <w:sz w:val="20"/>
        </w:rPr>
        <w:t>    </w:t>
      </w:r>
      <w:r>
        <w:rPr>
          <w:rFonts w:ascii="Times New Roman" w:hAnsi="Times New Roman"/>
          <w:b/>
          <w:caps w:val="false"/>
          <w:smallCaps w:val="false"/>
          <w:sz w:val="20"/>
        </w:rPr>
        <w:t>Definitions</w:t>
      </w:r>
      <w:r>
        <w:rPr>
          <w:rFonts w:ascii="Times New Roman" w:hAnsi="Times New Roman"/>
          <w:b/>
          <w:i/>
          <w:caps w:val="false"/>
          <w:smallCaps w:val="false"/>
          <w:sz w:val="20"/>
        </w:rPr>
        <w:t xml:space="preserve">. </w:t>
      </w:r>
      <w:r>
        <w:rPr>
          <w:rFonts w:ascii="Times New Roman" w:hAnsi="Times New Roman"/>
          <w:caps w:val="false"/>
          <w:smallCaps w:val="false"/>
          <w:sz w:val="20"/>
        </w:rPr>
        <w:t>Unless otherwise defined herein, capitalized terms shall have the meanings assigned to such terms in the Notice or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1.2</w:t>
      </w:r>
      <w:r>
        <w:rPr>
          <w:rFonts w:ascii="Times New Roman" w:hAnsi="Times New Roman"/>
          <w:caps w:val="false"/>
          <w:smallCaps w:val="false"/>
          <w:sz w:val="20"/>
        </w:rPr>
        <w:t>    </w:t>
      </w:r>
      <w:r>
        <w:rPr>
          <w:rFonts w:ascii="Times New Roman" w:hAnsi="Times New Roman"/>
          <w:b/>
          <w:caps w:val="false"/>
          <w:smallCaps w:val="false"/>
          <w:sz w:val="20"/>
        </w:rPr>
        <w:t>Construction</w:t>
      </w:r>
      <w:r>
        <w:rPr>
          <w:rFonts w:ascii="Times New Roman" w:hAnsi="Times New Roman"/>
          <w:b/>
          <w:i/>
          <w:caps w:val="false"/>
          <w:smallCaps w:val="false"/>
          <w:sz w:val="20"/>
        </w:rPr>
        <w:t xml:space="preserve">. </w:t>
      </w:r>
      <w:r>
        <w:rPr>
          <w:rFonts w:ascii="Times New Roman" w:hAnsi="Times New Roman"/>
          <w:caps w:val="false"/>
          <w:smallCaps w:val="false"/>
          <w:sz w:val="20"/>
        </w:rPr>
        <w:t>Captions and titles contained herein are for convenience only and shall not affect the meaning or interpretation of any provision of this Agreement. Except when otherwise indicated by the context, the singular shall include the plural and the plural shall include the singular. Use of the term “or” is not intended to be exclusive, unless the context clearly requires otherwise.</w:t>
      </w:r>
    </w:p>
    <w:p>
      <w:pPr>
        <w:pStyle w:val="TextBody"/>
        <w:bidi w:val="0"/>
        <w:spacing w:before="0" w:after="0"/>
        <w:ind w:left="0" w:right="0" w:hanging="0"/>
        <w:jc w:val="both"/>
        <w:rPr>
          <w:caps w:val="false"/>
          <w:smallCaps w:val="false"/>
        </w:rPr>
      </w:pPr>
      <w:r>
        <w:rPr>
          <w:caps w:val="false"/>
          <w:smallCaps w:val="false"/>
        </w:rPr>
        <w:t> </w:t>
      </w:r>
    </w:p>
    <w:tbl>
      <w:tblPr>
        <w:tblW w:w="1990" w:type="dxa"/>
        <w:jc w:val="left"/>
        <w:tblInd w:w="0" w:type="dxa"/>
        <w:tblLayout w:type="fixed"/>
        <w:tblCellMar>
          <w:top w:w="0" w:type="dxa"/>
          <w:left w:w="0" w:type="dxa"/>
          <w:bottom w:w="0" w:type="dxa"/>
          <w:right w:w="0" w:type="dxa"/>
        </w:tblCellMar>
      </w:tblPr>
      <w:tblGrid>
        <w:gridCol w:w="60"/>
        <w:gridCol w:w="125"/>
        <w:gridCol w:w="180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80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ADMINISTRATION.</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both"/>
        <w:rPr>
          <w:rFonts w:ascii="Times New Roman" w:hAnsi="Times New Roman"/>
          <w:caps w:val="false"/>
          <w:smallCaps w:val="false"/>
          <w:sz w:val="20"/>
        </w:rPr>
      </w:pPr>
      <w:r>
        <w:rPr>
          <w:rFonts w:ascii="Times New Roman" w:hAnsi="Times New Roman"/>
          <w:caps w:val="false"/>
          <w:smallCaps w:val="false"/>
          <w:sz w:val="20"/>
        </w:rPr>
        <w:t>All questions of interpretation concerning the Notice, this Agreement, the Plan, the Plan Prospectus and any other form of agreement or other document utilized by the Company in the administration of the Plan and the Award shall be determined by the Board or the Committee. All actions, decisions and determinations by the Board or the Committee shall be final and binding upon all persons having an interest in the Award. Any officer of a Participating Company shall have the authority to act on behalf of the Company with respect to any matter, right, obligation, or election which is the responsibility of or which is allocated to the Company herein, provided the officer has apparent authority with respect to such matter, right, obligation, or election.</w:t>
      </w:r>
    </w:p>
    <w:p>
      <w:pPr>
        <w:pStyle w:val="TextBody"/>
        <w:bidi w:val="0"/>
        <w:spacing w:before="0" w:after="0"/>
        <w:ind w:left="0" w:right="0" w:hanging="0"/>
        <w:jc w:val="both"/>
        <w:rPr>
          <w:caps w:val="false"/>
          <w:smallCaps w:val="false"/>
        </w:rPr>
      </w:pPr>
      <w:r>
        <w:rPr>
          <w:caps w:val="false"/>
          <w:smallCaps w:val="false"/>
        </w:rPr>
        <w:t> </w:t>
      </w:r>
    </w:p>
    <w:tbl>
      <w:tblPr>
        <w:tblW w:w="5320" w:type="dxa"/>
        <w:jc w:val="left"/>
        <w:tblInd w:w="0" w:type="dxa"/>
        <w:tblLayout w:type="fixed"/>
        <w:tblCellMar>
          <w:top w:w="0" w:type="dxa"/>
          <w:left w:w="0" w:type="dxa"/>
          <w:bottom w:w="0" w:type="dxa"/>
          <w:right w:w="0" w:type="dxa"/>
        </w:tblCellMar>
      </w:tblPr>
      <w:tblGrid>
        <w:gridCol w:w="60"/>
        <w:gridCol w:w="125"/>
        <w:gridCol w:w="513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513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GRANT, VESTING AND SETTLEMENT OF THE AWARD.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3.1</w:t>
      </w:r>
      <w:r>
        <w:rPr>
          <w:rFonts w:ascii="Times New Roman" w:hAnsi="Times New Roman"/>
          <w:caps w:val="false"/>
          <w:smallCaps w:val="false"/>
          <w:sz w:val="20"/>
        </w:rPr>
        <w:t>    </w:t>
      </w:r>
      <w:r>
        <w:rPr>
          <w:rFonts w:ascii="Times New Roman" w:hAnsi="Times New Roman"/>
          <w:b/>
          <w:caps w:val="false"/>
          <w:smallCaps w:val="false"/>
          <w:sz w:val="20"/>
        </w:rPr>
        <w:t xml:space="preserve">Grant of Restricted Stock Units. </w:t>
      </w:r>
      <w:r>
        <w:rPr>
          <w:rFonts w:ascii="Times New Roman" w:hAnsi="Times New Roman"/>
          <w:caps w:val="false"/>
          <w:smallCaps w:val="false"/>
          <w:sz w:val="20"/>
        </w:rPr>
        <w:t>Each Restricted Stock Unit specified in the Notice as subject to the Award represents a contingent right to receive an issuance of one (1) share of Stock on a date determined in accordance with the terms of the Notice and this Agreement and any applicable Deferral Election (as defined below).</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3.2</w:t>
      </w:r>
      <w:r>
        <w:rPr>
          <w:rFonts w:ascii="Times New Roman" w:hAnsi="Times New Roman"/>
          <w:caps w:val="false"/>
          <w:smallCaps w:val="false"/>
          <w:sz w:val="20"/>
        </w:rPr>
        <w:t>    </w:t>
      </w:r>
      <w:r>
        <w:rPr>
          <w:rFonts w:ascii="Times New Roman" w:hAnsi="Times New Roman"/>
          <w:b/>
          <w:caps w:val="false"/>
          <w:smallCaps w:val="false"/>
          <w:sz w:val="20"/>
        </w:rPr>
        <w:t>No Monetary Payment Required</w:t>
      </w:r>
      <w:r>
        <w:rPr>
          <w:rFonts w:ascii="Times New Roman" w:hAnsi="Times New Roman"/>
          <w:b/>
          <w:i/>
          <w:caps w:val="false"/>
          <w:smallCaps w:val="false"/>
          <w:sz w:val="20"/>
        </w:rPr>
        <w:t xml:space="preserve">. </w:t>
      </w:r>
      <w:r>
        <w:rPr>
          <w:rFonts w:ascii="Times New Roman" w:hAnsi="Times New Roman"/>
          <w:caps w:val="false"/>
          <w:smallCaps w:val="false"/>
          <w:sz w:val="20"/>
        </w:rPr>
        <w:t>The Participant shall not be required to make any monetary payment (other than applicable tax withholding, if any) as a condition to receiving the Award or the shares of Stock issued upon settlement of the Award. Payment of the aggregate purchase price of the shares of Stock for which the Award is being settled shall be made in the form of past services rendered by the Participant to a Participating Company or for its benefit. Notwithstanding the foregoing, to the extent required by applicable law, the Participant shall furnish consideration in the form of cash having a value not less than the par value of the shares of Stock issued upon settlement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1</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Non-Employee Director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b/>
          <w:sz w:val="20"/>
        </w:rPr>
        <w:t>3.3</w:t>
      </w:r>
      <w:r>
        <w:rPr>
          <w:rFonts w:ascii="Times New Roman" w:hAnsi="Times New Roman"/>
          <w:sz w:val="20"/>
        </w:rPr>
        <w:t>    </w:t>
      </w:r>
      <w:r>
        <w:rPr>
          <w:rFonts w:ascii="Times New Roman" w:hAnsi="Times New Roman"/>
          <w:b/>
          <w:sz w:val="20"/>
        </w:rPr>
        <w:t>Vesting of Award; Deferral Elections; Issuance of Shares of Stock.</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i/>
          <w:caps w:val="false"/>
          <w:smallCaps w:val="false"/>
          <w:sz w:val="20"/>
        </w:rPr>
        <w:t xml:space="preserve">Vesting. </w:t>
      </w:r>
      <w:r>
        <w:rPr>
          <w:rFonts w:ascii="Times New Roman" w:hAnsi="Times New Roman"/>
          <w:caps w:val="false"/>
          <w:smallCaps w:val="false"/>
          <w:sz w:val="20"/>
        </w:rPr>
        <w:t>To the extent the Award is subject to vesting, the following provisions will apply. The Award will vest in accordance with the vesting schedule set forth in the Notice, subject to the Participant’s Service with the Company through the applicable vesting dates; provided, however, that if the Participant’s Service with the Company terminates due to the Participant’s death, the Award will immediately accelerate vesting with respect to the total number of then unvested Restricted Stock Units then subject to the Award. Except to the extent eligibility for vesting in connection with a termination of Participant’s Service is otherwise specifically provided in any separate agreement between the Participant and the Company, if any (a “</w:t>
      </w:r>
      <w:r>
        <w:rPr>
          <w:rFonts w:ascii="Times New Roman" w:hAnsi="Times New Roman"/>
          <w:b/>
          <w:i/>
          <w:caps w:val="false"/>
          <w:smallCaps w:val="false"/>
          <w:sz w:val="20"/>
        </w:rPr>
        <w:t>Superseding Agreement</w:t>
      </w:r>
      <w:r>
        <w:rPr>
          <w:rFonts w:ascii="Times New Roman" w:hAnsi="Times New Roman"/>
          <w:caps w:val="false"/>
          <w:smallCaps w:val="false"/>
          <w:sz w:val="20"/>
        </w:rPr>
        <w:t>”), in the event that the Participant’s Service terminates for any reason other than due to the Participant’s death, or no reason, with or without Cause, including any termination of Service due to the Participant’s Disability, the Participant shall forfeit and the Company shall automatically reacquire and cancel all Restricted Stock Units subject to the Award which are not, as of the time of such termination, previously vested, and the Participant shall not be entitled to any payment therefor.</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i/>
          <w:caps w:val="false"/>
          <w:smallCaps w:val="false"/>
          <w:sz w:val="20"/>
        </w:rPr>
        <w:t xml:space="preserve">Deferral. </w:t>
      </w:r>
      <w:r>
        <w:rPr>
          <w:rFonts w:ascii="Times New Roman" w:hAnsi="Times New Roman"/>
          <w:caps w:val="false"/>
          <w:smallCaps w:val="false"/>
          <w:sz w:val="20"/>
        </w:rPr>
        <w:t>The Committee may permit the Participant to elect to defer the issuance of the shares issuable in settlement of then vested Restricted Stock Units in accordance with the terms and conditions set forth in the deferral election form approved by the Committee (“</w:t>
      </w:r>
      <w:r>
        <w:rPr>
          <w:rFonts w:ascii="Times New Roman" w:hAnsi="Times New Roman"/>
          <w:b/>
          <w:i/>
          <w:caps w:val="false"/>
          <w:smallCaps w:val="false"/>
          <w:sz w:val="20"/>
        </w:rPr>
        <w:t>Deferral Election</w:t>
      </w:r>
      <w:r>
        <w:rPr>
          <w:rFonts w:ascii="Times New Roman" w:hAnsi="Times New Roman"/>
          <w:caps w:val="false"/>
          <w:smallCaps w:val="false"/>
          <w:sz w:val="20"/>
        </w:rPr>
        <w:t>”). In the event of the Committee’s determination otherwise, the Committee may, in its discretion, deny Participant this right of deferral altogether, modify the terms of the deferral and/or add such requirements as it deems necessary nor advisable to comply with applicable law and regulations. If the Participant elects to defer the issuance of vested Restricted Stock Units in accordance with this paragraph, payment of the deferred vested Restricted Stock Units (and any dividends payable in accordance with Section 3.8) will be made at the applicable date specified in the Deferral Election.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i/>
          <w:caps w:val="false"/>
          <w:smallCaps w:val="false"/>
          <w:sz w:val="20"/>
        </w:rPr>
        <w:t>Issuance of Shares of Stock</w:t>
      </w:r>
      <w:r>
        <w:rPr>
          <w:rFonts w:ascii="Times New Roman" w:hAnsi="Times New Roman"/>
          <w:caps w:val="false"/>
          <w:smallCaps w:val="false"/>
          <w:sz w:val="20"/>
        </w:rPr>
        <w:t>. With respect to any then vested Restricted Stock Units that are subject to a Deferral Election the Company shall issue to the Participant, on a date selected by the Company that is within thirty (30) days following the applicable settlement date specified in the Deferral Election, a number of whole shares of Stock equal to the then vested Number of Restricted Stock Units (as defined in the Notice), rounded down to the nearest whole number. With respect to any then vested Restricted Stock Units which are not subject to a Deferral Election, the Company shall issue to the Participant, on a date selected by the Company that is within thirty (30) days following the applicable vesting date of such Restricted Stock Units, a number of whole shares of Stock equal to the then vested Number of Restricted Stock Units (as defined in the Notice), rounded down to the nearest whole number. The applicable date of issuance of such shares is the “</w:t>
      </w:r>
      <w:r>
        <w:rPr>
          <w:rFonts w:ascii="Times New Roman" w:hAnsi="Times New Roman"/>
          <w:b/>
          <w:i/>
          <w:caps w:val="false"/>
          <w:smallCaps w:val="false"/>
          <w:sz w:val="20"/>
        </w:rPr>
        <w:t>Settlement Date</w:t>
      </w:r>
      <w:r>
        <w:rPr>
          <w:rFonts w:ascii="Times New Roman" w:hAnsi="Times New Roman"/>
          <w:caps w:val="false"/>
          <w:smallCaps w:val="false"/>
          <w:sz w:val="20"/>
        </w:rPr>
        <w:t>”. Such issued shares of Stock shall not be subject to any restriction on transfer other than any such restriction as may be required pursuant to Section 3.6.</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3.4</w:t>
      </w:r>
      <w:r>
        <w:rPr>
          <w:rFonts w:ascii="Times New Roman" w:hAnsi="Times New Roman"/>
          <w:caps w:val="false"/>
          <w:smallCaps w:val="false"/>
          <w:sz w:val="20"/>
        </w:rPr>
        <w:t>    </w:t>
      </w:r>
      <w:r>
        <w:rPr>
          <w:rFonts w:ascii="Times New Roman" w:hAnsi="Times New Roman"/>
          <w:b/>
          <w:caps w:val="false"/>
          <w:smallCaps w:val="false"/>
          <w:sz w:val="20"/>
        </w:rPr>
        <w:t>Tax Withholding</w:t>
      </w:r>
      <w:r>
        <w:rPr>
          <w:rFonts w:ascii="Times New Roman" w:hAnsi="Times New Roman"/>
          <w:i/>
          <w:caps w:val="false"/>
          <w:smallCaps w:val="false"/>
          <w:sz w:val="20"/>
        </w:rPr>
        <w:t xml:space="preserve">. </w:t>
      </w:r>
      <w:r>
        <w:rPr>
          <w:rFonts w:ascii="Times New Roman" w:hAnsi="Times New Roman"/>
          <w:caps w:val="false"/>
          <w:smallCaps w:val="false"/>
          <w:sz w:val="20"/>
        </w:rPr>
        <w:t>At the time the Award is granted, or at any time thereafter as requested by the Company and/or the Participating Company that employs the Participant, if applicable (the “</w:t>
      </w:r>
      <w:r>
        <w:rPr>
          <w:rFonts w:ascii="Times New Roman" w:hAnsi="Times New Roman"/>
          <w:b/>
          <w:i/>
          <w:caps w:val="false"/>
          <w:smallCaps w:val="false"/>
          <w:sz w:val="20"/>
        </w:rPr>
        <w:t>Employer</w:t>
      </w:r>
      <w:r>
        <w:rPr>
          <w:rFonts w:ascii="Times New Roman" w:hAnsi="Times New Roman"/>
          <w:caps w:val="false"/>
          <w:smallCaps w:val="false"/>
          <w:sz w:val="20"/>
        </w:rPr>
        <w:t>”), the Participant hereby authorizes withholding from payroll and any other amounts payable to the Participant, and otherwise agrees to make adequate provision for, any sums required to satisfy the federal, state, local and foreign tax withholding obligations of the Company, if any, which arise in connection with the grant or vesting of the Award or the issuance of shares of Stock in settlement thereof. The Company shall have no obligation to deliver shares of Stock until the tax withholding obligations of the Company have been satisfied by the Participant.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3.5</w:t>
      </w:r>
      <w:r>
        <w:rPr>
          <w:rFonts w:ascii="Times New Roman" w:hAnsi="Times New Roman"/>
          <w:caps w:val="false"/>
          <w:smallCaps w:val="false"/>
          <w:sz w:val="20"/>
        </w:rPr>
        <w:t>    </w:t>
      </w:r>
      <w:r>
        <w:rPr>
          <w:rFonts w:ascii="Times New Roman" w:hAnsi="Times New Roman"/>
          <w:b/>
          <w:caps w:val="false"/>
          <w:smallCaps w:val="false"/>
          <w:sz w:val="20"/>
        </w:rPr>
        <w:t>Beneficial Ownership of Shares; Registration</w:t>
      </w:r>
      <w:r>
        <w:rPr>
          <w:rFonts w:ascii="Times New Roman" w:hAnsi="Times New Roman"/>
          <w:i/>
          <w:caps w:val="false"/>
          <w:smallCaps w:val="false"/>
          <w:sz w:val="20"/>
        </w:rPr>
        <w:t xml:space="preserve">. </w:t>
      </w:r>
      <w:r>
        <w:rPr>
          <w:rFonts w:ascii="Times New Roman" w:hAnsi="Times New Roman"/>
          <w:caps w:val="false"/>
          <w:smallCaps w:val="false"/>
          <w:sz w:val="20"/>
        </w:rPr>
        <w:t>The Participant hereby authorizes the Company, in its sole discretion, to deposit any or all shares acquired by the Participant pursuant to the settlement of the Award with the Company’s transfer agent, including any successor transfer agent, to be held in book entry form, or to deposit such shares for the benefit of the Participant with any broker with which the Participant has an account relationship of which the Company has notice. Except as provided by the foregoing, the shares as to which the Award is settled shall be registered in the name of the Participant, or, if applicable, in the name of the Death Beneficiary.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2</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Non-Employee Director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3.6</w:t>
      </w:r>
      <w:r>
        <w:rPr>
          <w:rFonts w:ascii="Times New Roman" w:hAnsi="Times New Roman"/>
          <w:caps w:val="false"/>
          <w:smallCaps w:val="false"/>
          <w:sz w:val="20"/>
        </w:rPr>
        <w:t>    </w:t>
      </w:r>
      <w:r>
        <w:rPr>
          <w:rFonts w:ascii="Times New Roman" w:hAnsi="Times New Roman"/>
          <w:b/>
          <w:caps w:val="false"/>
          <w:smallCaps w:val="false"/>
          <w:sz w:val="20"/>
        </w:rPr>
        <w:t>Restrictions on Grant of the Award and Issuance of Shares</w:t>
      </w:r>
      <w:r>
        <w:rPr>
          <w:rFonts w:ascii="Times New Roman" w:hAnsi="Times New Roman"/>
          <w:i/>
          <w:caps w:val="false"/>
          <w:smallCaps w:val="false"/>
          <w:sz w:val="20"/>
        </w:rPr>
        <w:t xml:space="preserve">. </w:t>
      </w:r>
      <w:r>
        <w:rPr>
          <w:rFonts w:ascii="Times New Roman" w:hAnsi="Times New Roman"/>
          <w:caps w:val="false"/>
          <w:smallCaps w:val="false"/>
          <w:sz w:val="20"/>
        </w:rPr>
        <w:t>The grant of the Award and issuance of shares of Stock upon settlement of the Award shall be subject to compliance with all applicable requirements of federal, state or foreign law with respect to such securities. No shares of Stock may be issued hereunder if the issuance of such shares would constitute a violation of any applicable federal, state or foreign securities laws or other law or regulations or the requirements of any stock exchange or market system upon which the Stock may then be listed. The inability of the Company to obtain from any regulatory body having jurisdiction the authority, if any, deemed by the Company’s legal counsel to be necessary to the lawful issuance and sale of any shares subject to the Award shall relieve the Company of any liability in respect of the failure to issue or sell such shares as to which such requisite authority shall not have been obtained. As a condition to the settlement of the Award, the Company may require the Participant to satisfy any qualifications that may be necessary or appropriate, to evidence compliance with any applicable law or regulation and to make any representation or warranty with respect thereto as may be requested by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3.7</w:t>
      </w:r>
      <w:r>
        <w:rPr>
          <w:rFonts w:ascii="Times New Roman" w:hAnsi="Times New Roman"/>
          <w:caps w:val="false"/>
          <w:smallCaps w:val="false"/>
          <w:sz w:val="20"/>
        </w:rPr>
        <w:t>    </w:t>
      </w:r>
      <w:r>
        <w:rPr>
          <w:rFonts w:ascii="Times New Roman" w:hAnsi="Times New Roman"/>
          <w:b/>
          <w:caps w:val="false"/>
          <w:smallCaps w:val="false"/>
          <w:sz w:val="20"/>
        </w:rPr>
        <w:t>Fractional Shares</w:t>
      </w:r>
      <w:r>
        <w:rPr>
          <w:rFonts w:ascii="Times New Roman" w:hAnsi="Times New Roman"/>
          <w:b/>
          <w:i/>
          <w:caps w:val="false"/>
          <w:smallCaps w:val="false"/>
          <w:sz w:val="20"/>
        </w:rPr>
        <w:t xml:space="preserve">. </w:t>
      </w:r>
      <w:r>
        <w:rPr>
          <w:rFonts w:ascii="Times New Roman" w:hAnsi="Times New Roman"/>
          <w:caps w:val="false"/>
          <w:smallCaps w:val="false"/>
          <w:sz w:val="20"/>
        </w:rPr>
        <w:t>The Company shall not be required to issue fractional shares upon the settlement of the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3.8</w:t>
      </w:r>
      <w:r>
        <w:rPr>
          <w:rFonts w:ascii="Times New Roman" w:hAnsi="Times New Roman"/>
          <w:caps w:val="false"/>
          <w:smallCaps w:val="false"/>
          <w:sz w:val="20"/>
        </w:rPr>
        <w:t>    </w:t>
      </w:r>
      <w:r>
        <w:rPr>
          <w:rFonts w:ascii="Times New Roman" w:hAnsi="Times New Roman"/>
          <w:b/>
          <w:caps w:val="false"/>
          <w:smallCaps w:val="false"/>
          <w:sz w:val="20"/>
        </w:rPr>
        <w:t>Dividend Equivalents for Restricted Stock Units</w:t>
      </w:r>
      <w:r>
        <w:rPr>
          <w:rFonts w:ascii="Times New Roman" w:hAnsi="Times New Roman"/>
          <w:caps w:val="false"/>
          <w:smallCaps w:val="false"/>
          <w:sz w:val="20"/>
        </w:rPr>
        <w:t>. The Participant will be entitled to receive dividends or distributions paid on the shares of Stock underlying then vested Restricted Stock Units in accordance with this Section 3.8. Any such dividends or distributions automatically will be credited as additional vested Restricted Stock Units (the “</w:t>
      </w:r>
      <w:r>
        <w:rPr>
          <w:rFonts w:ascii="Times New Roman" w:hAnsi="Times New Roman"/>
          <w:b/>
          <w:i/>
          <w:caps w:val="false"/>
          <w:smallCaps w:val="false"/>
          <w:sz w:val="20"/>
        </w:rPr>
        <w:t>Deferred Stock Dividend Shares</w:t>
      </w:r>
      <w:r>
        <w:rPr>
          <w:rFonts w:ascii="Times New Roman" w:hAnsi="Times New Roman"/>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i/>
          <w:caps w:val="false"/>
          <w:smallCaps w:val="false"/>
          <w:sz w:val="20"/>
        </w:rPr>
        <w:t>Cash Dividends</w:t>
      </w:r>
      <w:r>
        <w:rPr>
          <w:rFonts w:ascii="Times New Roman" w:hAnsi="Times New Roman"/>
          <w:caps w:val="false"/>
          <w:smallCaps w:val="false"/>
          <w:sz w:val="20"/>
        </w:rPr>
        <w:t xml:space="preserve">. If the Company declares and pays any cash dividends or cash distributions on the shares of Stock, then with respect to Restricted Stock Units that are vested as of the dividend record date and that have not been settled as of the dividend payment date, such vested Restricted Stock Units will be increased on the dividend payment date by a number of Deferred Stock Dividend Shares equal to the quotient obtained by dividing the amount of cash dividends and distributions paid on the dividend payment date on the shares of Stock underlying such vested Restricted Stock Units by the Fair Market Value of a share of Stock on the dividend payment date, rounded to the nearest whole share. Specifically, the number of Deferred Stock Dividend Shares credited for cash dividends and distributions paid on the dividend payment date will be determined in accordance with the following formula, rounded to the nearest whole share of Stock: </w:t>
      </w:r>
      <w:r>
        <w:rPr>
          <w:rFonts w:ascii="Times New Roman" w:hAnsi="Times New Roman"/>
          <w:b/>
          <w:caps w:val="false"/>
          <w:smallCaps w:val="false"/>
          <w:sz w:val="20"/>
        </w:rPr>
        <w:t>X = (A x B)/C</w:t>
      </w:r>
      <w:r>
        <w:rPr>
          <w:rFonts w:ascii="Times New Roman" w:hAnsi="Times New Roman"/>
          <w:caps w:val="false"/>
          <w:smallCaps w:val="false"/>
          <w:sz w:val="20"/>
        </w:rPr>
        <w:t xml:space="preserve">, where </w:t>
      </w:r>
      <w:r>
        <w:rPr>
          <w:rFonts w:ascii="Times New Roman" w:hAnsi="Times New Roman"/>
          <w:b/>
          <w:caps w:val="false"/>
          <w:smallCaps w:val="false"/>
          <w:sz w:val="20"/>
        </w:rPr>
        <w:t xml:space="preserve">X </w:t>
      </w:r>
      <w:r>
        <w:rPr>
          <w:rFonts w:ascii="Times New Roman" w:hAnsi="Times New Roman"/>
          <w:caps w:val="false"/>
          <w:smallCaps w:val="false"/>
          <w:sz w:val="20"/>
        </w:rPr>
        <w:t xml:space="preserve">= the Deferred Stock Dividend Shares that will become Restricted Stock Units on the dividend payment date by reason of cash dividends and distributions paid on the dividend payment date, </w:t>
      </w:r>
      <w:r>
        <w:rPr>
          <w:rFonts w:ascii="Times New Roman" w:hAnsi="Times New Roman"/>
          <w:b/>
          <w:caps w:val="false"/>
          <w:smallCaps w:val="false"/>
          <w:sz w:val="20"/>
        </w:rPr>
        <w:t xml:space="preserve">A </w:t>
      </w:r>
      <w:r>
        <w:rPr>
          <w:rFonts w:ascii="Times New Roman" w:hAnsi="Times New Roman"/>
          <w:caps w:val="false"/>
          <w:smallCaps w:val="false"/>
          <w:sz w:val="20"/>
        </w:rPr>
        <w:t xml:space="preserve">= the number of unissued shares of Stock that have not been settled as of the dividend payment date and remain subject to the Restricted Stock Units that are vested as of the dividend record date, </w:t>
      </w:r>
      <w:r>
        <w:rPr>
          <w:rFonts w:ascii="Times New Roman" w:hAnsi="Times New Roman"/>
          <w:b/>
          <w:caps w:val="false"/>
          <w:smallCaps w:val="false"/>
          <w:sz w:val="20"/>
        </w:rPr>
        <w:t xml:space="preserve">B </w:t>
      </w:r>
      <w:r>
        <w:rPr>
          <w:rFonts w:ascii="Times New Roman" w:hAnsi="Times New Roman"/>
          <w:caps w:val="false"/>
          <w:smallCaps w:val="false"/>
          <w:sz w:val="20"/>
        </w:rPr>
        <w:t xml:space="preserve">= the per share of Stock amount of cash dividends and distributions paid on the dividend payment date, and </w:t>
      </w:r>
      <w:r>
        <w:rPr>
          <w:rFonts w:ascii="Times New Roman" w:hAnsi="Times New Roman"/>
          <w:b/>
          <w:caps w:val="false"/>
          <w:smallCaps w:val="false"/>
          <w:sz w:val="20"/>
        </w:rPr>
        <w:t xml:space="preserve">C </w:t>
      </w:r>
      <w:r>
        <w:rPr>
          <w:rFonts w:ascii="Times New Roman" w:hAnsi="Times New Roman"/>
          <w:caps w:val="false"/>
          <w:smallCaps w:val="false"/>
          <w:sz w:val="20"/>
        </w:rPr>
        <w:t>= the Fair Market Value of a share of Stock on the dividend payment date.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i/>
          <w:caps w:val="false"/>
          <w:smallCaps w:val="false"/>
          <w:sz w:val="20"/>
        </w:rPr>
        <w:t>Stock Dividends</w:t>
      </w:r>
      <w:r>
        <w:rPr>
          <w:rFonts w:ascii="Times New Roman" w:hAnsi="Times New Roman"/>
          <w:caps w:val="false"/>
          <w:smallCaps w:val="false"/>
          <w:sz w:val="20"/>
        </w:rPr>
        <w:t>. If the Company declares and pays any stock dividends or stock distribution on shares of Stock during a Dividend Crediting Period, then the number of unissued shares of Stock, if any, that remain subject to Participant’s Restricted Stock Units automatically will be adjusted in accordance with Section 7.</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980"/>
        <w:jc w:val="both"/>
        <w:rPr>
          <w:rFonts w:ascii="Times New Roman" w:hAnsi="Times New Roman"/>
          <w:caps w:val="false"/>
          <w:smallCaps w:val="false"/>
          <w:sz w:val="20"/>
        </w:rPr>
      </w:pPr>
      <w:r>
        <w:rPr>
          <w:rFonts w:ascii="Times New Roman" w:hAnsi="Times New Roman"/>
          <w:caps w:val="false"/>
          <w:smallCaps w:val="false"/>
          <w:sz w:val="20"/>
        </w:rPr>
        <w:t>(c)    </w:t>
      </w:r>
      <w:r>
        <w:rPr>
          <w:rFonts w:ascii="Times New Roman" w:hAnsi="Times New Roman"/>
          <w:b/>
          <w:i/>
          <w:caps w:val="false"/>
          <w:smallCaps w:val="false"/>
          <w:sz w:val="20"/>
        </w:rPr>
        <w:t>Restrictions on Dividend Equivalents</w:t>
      </w:r>
      <w:r>
        <w:rPr>
          <w:rFonts w:ascii="Times New Roman" w:hAnsi="Times New Roman"/>
          <w:caps w:val="false"/>
          <w:smallCaps w:val="false"/>
          <w:sz w:val="20"/>
        </w:rPr>
        <w:t>. Any Deferred Stock Dividend Shares resulting from the application of this Section 3.8 will be subject to the same terms and conditions (including, without limitation, the applicable deferral election and forfeiture provisions) as the vested but unsettled Restricted Stock Units to which they relate.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3</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Non-Employee Director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tbl>
      <w:tblPr>
        <w:tblW w:w="4090" w:type="dxa"/>
        <w:jc w:val="left"/>
        <w:tblInd w:w="0" w:type="dxa"/>
        <w:tblLayout w:type="fixed"/>
        <w:tblCellMar>
          <w:top w:w="0" w:type="dxa"/>
          <w:left w:w="0" w:type="dxa"/>
          <w:bottom w:w="0" w:type="dxa"/>
          <w:right w:w="0" w:type="dxa"/>
        </w:tblCellMar>
      </w:tblPr>
      <w:tblGrid>
        <w:gridCol w:w="60"/>
        <w:gridCol w:w="125"/>
        <w:gridCol w:w="390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390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NONTRANSFERABILITY OF THE AWARD.</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Prior to the Settlement Date, neither this Award nor any Restricted Stock Unit subject to this Award shall be subject in any manner to anticipation, alienation, sale, exchange, transfer, assignment, pledge, encumbrance, or garnishment by creditors of the Participant or the Participant’s beneficiary, except transfer by will or by the laws of descent and distribution.</w:t>
      </w:r>
    </w:p>
    <w:p>
      <w:pPr>
        <w:pStyle w:val="TextBody"/>
        <w:bidi w:val="0"/>
        <w:spacing w:before="0" w:after="0"/>
        <w:ind w:left="0" w:right="0" w:hanging="0"/>
        <w:jc w:val="both"/>
        <w:rPr>
          <w:caps w:val="false"/>
          <w:smallCaps w:val="false"/>
        </w:rPr>
      </w:pPr>
      <w:r>
        <w:rPr>
          <w:caps w:val="false"/>
          <w:smallCaps w:val="false"/>
        </w:rPr>
        <w:t> </w:t>
      </w:r>
    </w:p>
    <w:tbl>
      <w:tblPr>
        <w:tblW w:w="3340" w:type="dxa"/>
        <w:jc w:val="left"/>
        <w:tblInd w:w="0" w:type="dxa"/>
        <w:tblLayout w:type="fixed"/>
        <w:tblCellMar>
          <w:top w:w="0" w:type="dxa"/>
          <w:left w:w="0" w:type="dxa"/>
          <w:bottom w:w="0" w:type="dxa"/>
          <w:right w:w="0" w:type="dxa"/>
        </w:tblCellMar>
      </w:tblPr>
      <w:tblGrid>
        <w:gridCol w:w="60"/>
        <w:gridCol w:w="125"/>
        <w:gridCol w:w="315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315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EFFECT OF LEAVE OF ABSENCE.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To the extent the Award is subject to vesting, the following provisions will apply. As of the 31st (or 91st if reemployment is guaranteed by statute or contract) day of a leave of absence, vesting of the Restricted Stock Units will be suspended and vesting credit will no longer accrue, unless otherwise determined by the Committee or required by contract or statute. If the Participant returns to Service immediately after the end of an approved leave of absence, vesting credit shall continue to accrue from that date of continued Service.</w:t>
      </w:r>
    </w:p>
    <w:p>
      <w:pPr>
        <w:pStyle w:val="TextBody"/>
        <w:bidi w:val="0"/>
        <w:spacing w:before="0" w:after="0"/>
        <w:ind w:left="0" w:right="0" w:hanging="0"/>
        <w:jc w:val="both"/>
        <w:rPr>
          <w:caps w:val="false"/>
          <w:smallCaps w:val="false"/>
        </w:rPr>
      </w:pPr>
      <w:r>
        <w:rPr>
          <w:caps w:val="false"/>
          <w:smallCaps w:val="false"/>
        </w:rPr>
        <w:t> </w:t>
      </w:r>
    </w:p>
    <w:tbl>
      <w:tblPr>
        <w:tblW w:w="2365" w:type="dxa"/>
        <w:jc w:val="left"/>
        <w:tblInd w:w="0" w:type="dxa"/>
        <w:tblLayout w:type="fixed"/>
        <w:tblCellMar>
          <w:top w:w="0" w:type="dxa"/>
          <w:left w:w="0" w:type="dxa"/>
          <w:bottom w:w="0" w:type="dxa"/>
          <w:right w:w="0" w:type="dxa"/>
        </w:tblCellMar>
      </w:tblPr>
      <w:tblGrid>
        <w:gridCol w:w="60"/>
        <w:gridCol w:w="125"/>
        <w:gridCol w:w="218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6</w:t>
            </w:r>
          </w:p>
        </w:tc>
        <w:tc>
          <w:tcPr>
            <w:tcW w:w="218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CHANGE IN CONTROL.</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In the event of a Change in Control (as defined in the Plan), the Award will be subject to treatment as provided in Section 13.1 of the Plan. However, if the Participant’s Service has not terminated prior to the Change in Control as provided in Section 13.1 of the Plan, the Award shall accelerate vesting upon the Change in Control to the extent not previously vested and will be settled in accordance with Section 3 in connection with the Change in Control. For purposes of the preceding sentence, the term “</w:t>
      </w:r>
      <w:r>
        <w:rPr>
          <w:rFonts w:ascii="Times New Roman" w:hAnsi="Times New Roman"/>
          <w:b/>
          <w:i/>
          <w:caps w:val="false"/>
          <w:smallCaps w:val="false"/>
          <w:sz w:val="20"/>
        </w:rPr>
        <w:t>Change in Control</w:t>
      </w:r>
      <w:r>
        <w:rPr>
          <w:rFonts w:ascii="Times New Roman" w:hAnsi="Times New Roman"/>
          <w:caps w:val="false"/>
          <w:smallCaps w:val="false"/>
          <w:sz w:val="20"/>
        </w:rPr>
        <w:t>” shall be defined as the occurrence of any of the following events: (a) any transaction in which any “person” as such term is used in Sections 13(d) and 14(d) of the Exchange Act (other than the Company, any trustee or other fiduciary holding securities under any employee benefit plan of the Company), is or becomes the “beneficial owner” (as defined in Rule 13d-3 under the Exchange Act), directly or indirectly, of securities of the Company representing more than fifty percent (50%) of the combined voting power of the Company’s then outstanding securities entitled to vote in a general election for directors, other than a transaction involving the acquisition of securities directly from the Company; (b) a sale of all or substantially all of the Company’s assets other than to a company or an entity fifty percent (50%) or more of which is owned by one or more of the current stockholders of the Company; or (c) a merger or consolidation of the Company with any other company, other than a merger or consolidation in which fifty percent (50%) or more of the combined voting power of the voting securities of the Company or such surviving entity outstanding immediately after such merger or consolidation is owned by the current stockholders of the Company. Notwithstanding this Section 6, to the extent that the Award constitutes a “deferral of compensation” (as defined in and subject to Section 409A of the Code) and provides for a payment or a change in the time or form of payment upon a Change in Control, then no Change in Control shall be deemed to have occurred upon an event described above unless such event shall constitute a “change in control event” under Section 409A.</w:t>
      </w:r>
    </w:p>
    <w:p>
      <w:pPr>
        <w:pStyle w:val="TextBody"/>
        <w:bidi w:val="0"/>
        <w:spacing w:before="0" w:after="0"/>
        <w:ind w:left="0" w:right="0" w:hanging="0"/>
        <w:jc w:val="both"/>
        <w:rPr>
          <w:caps w:val="false"/>
          <w:smallCaps w:val="false"/>
        </w:rPr>
      </w:pPr>
      <w:r>
        <w:rPr>
          <w:caps w:val="false"/>
          <w:smallCaps w:val="false"/>
        </w:rPr>
        <w:t> </w:t>
      </w:r>
    </w:p>
    <w:tbl>
      <w:tblPr>
        <w:tblW w:w="5530" w:type="dxa"/>
        <w:jc w:val="left"/>
        <w:tblInd w:w="0" w:type="dxa"/>
        <w:tblLayout w:type="fixed"/>
        <w:tblCellMar>
          <w:top w:w="0" w:type="dxa"/>
          <w:left w:w="0" w:type="dxa"/>
          <w:bottom w:w="0" w:type="dxa"/>
          <w:right w:w="0" w:type="dxa"/>
        </w:tblCellMar>
      </w:tblPr>
      <w:tblGrid>
        <w:gridCol w:w="60"/>
        <w:gridCol w:w="125"/>
        <w:gridCol w:w="534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7</w:t>
            </w:r>
          </w:p>
        </w:tc>
        <w:tc>
          <w:tcPr>
            <w:tcW w:w="534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ADJUSTMENTS FOR CHANGES IN CAPITAL STRUCTURE.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Award will be subject to adjustments by the Board to reflect changes in the Company’s capital structure as set forth in Section 4.3 of the Plan.</w:t>
      </w:r>
    </w:p>
    <w:p>
      <w:pPr>
        <w:pStyle w:val="TextBody"/>
        <w:bidi w:val="0"/>
        <w:spacing w:before="0" w:after="0"/>
        <w:ind w:left="0" w:right="0" w:hanging="0"/>
        <w:jc w:val="both"/>
        <w:rPr>
          <w:caps w:val="false"/>
          <w:smallCaps w:val="false"/>
        </w:rPr>
      </w:pPr>
      <w:r>
        <w:rPr>
          <w:caps w:val="false"/>
          <w:smallCaps w:val="false"/>
        </w:rPr>
        <w:t> </w:t>
      </w:r>
    </w:p>
    <w:tbl>
      <w:tblPr>
        <w:tblW w:w="7075" w:type="dxa"/>
        <w:jc w:val="left"/>
        <w:tblInd w:w="0" w:type="dxa"/>
        <w:tblLayout w:type="fixed"/>
        <w:tblCellMar>
          <w:top w:w="0" w:type="dxa"/>
          <w:left w:w="0" w:type="dxa"/>
          <w:bottom w:w="0" w:type="dxa"/>
          <w:right w:w="0" w:type="dxa"/>
        </w:tblCellMar>
      </w:tblPr>
      <w:tblGrid>
        <w:gridCol w:w="60"/>
        <w:gridCol w:w="125"/>
        <w:gridCol w:w="6890"/>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8</w:t>
            </w:r>
          </w:p>
        </w:tc>
        <w:tc>
          <w:tcPr>
            <w:tcW w:w="68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RIGHTS AS A STOCKHOLDER, DIRECTOR, EMPLOYEE OR CONSULTANT.</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Participant shall have no rights as a stockholder with respect to any shares which may be issued in settlement of this Award until the date of the issuance of such shares (as evidenced by the appropriate entry on the books of the Company or of a duly authorized transfer agent of the Company). Except as provided in Section 3.8, no adjustment shall be made for dividends, distributions or other rights for which the record date is prior to the date such shares are issued, except as provided in Section 7. If the Participant is an Employee, the Participant understands and acknowledges that, except as otherwise provided in a separate, written employment agreement between a Participating Company and the Participant, the Participant’s employment is “at will” and is for no specified term. Nothing in this Agreement shall confer upon the Participant any right to continue in the Service of a Participating Company or interfere in any way with any right of the Participating Company Group to terminate the Participant’s Service in any capacity at any time.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4</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Non-Employee Director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tbl>
      <w:tblPr>
        <w:tblW w:w="1180" w:type="dxa"/>
        <w:jc w:val="left"/>
        <w:tblInd w:w="0" w:type="dxa"/>
        <w:tblLayout w:type="fixed"/>
        <w:tblCellMar>
          <w:top w:w="0" w:type="dxa"/>
          <w:left w:w="0" w:type="dxa"/>
          <w:bottom w:w="0" w:type="dxa"/>
          <w:right w:w="0" w:type="dxa"/>
        </w:tblCellMar>
      </w:tblPr>
      <w:tblGrid>
        <w:gridCol w:w="60"/>
        <w:gridCol w:w="125"/>
        <w:gridCol w:w="995"/>
      </w:tblGrid>
      <w:tr>
        <w:trPr/>
        <w:tc>
          <w:tcPr>
            <w:tcW w:w="60" w:type="dxa"/>
            <w:tcBorders/>
            <w:vAlign w:val="center"/>
          </w:tcPr>
          <w:p>
            <w:pPr>
              <w:pStyle w:val="TableContents"/>
              <w:bidi w:val="0"/>
              <w:spacing w:before="0" w:after="283"/>
              <w:jc w:val="both"/>
              <w:rPr/>
            </w:pPr>
            <w:r>
              <w:rPr/>
              <w:t> </w:t>
            </w:r>
          </w:p>
        </w:tc>
        <w:tc>
          <w:tcPr>
            <w:tcW w:w="125"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9</w:t>
            </w:r>
          </w:p>
        </w:tc>
        <w:tc>
          <w:tcPr>
            <w:tcW w:w="995"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LEGENDS.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may at any time place legends referencing any applicable federal, state or foreign securities law restrictions on transfer of any shares of stock issued pursuant to this Agreement. The Participant shall, at the request of the Company, promptly present to the Company any and all documentation evidencing the shares acquired pursuant to this Award in the possession of the Participant in order to carry out the provisions of this Section.</w:t>
      </w:r>
    </w:p>
    <w:p>
      <w:pPr>
        <w:pStyle w:val="TextBody"/>
        <w:bidi w:val="0"/>
        <w:spacing w:before="0" w:after="0"/>
        <w:ind w:left="0" w:right="0" w:hanging="0"/>
        <w:jc w:val="both"/>
        <w:rPr>
          <w:caps w:val="false"/>
          <w:smallCaps w:val="false"/>
        </w:rPr>
      </w:pPr>
      <w:r>
        <w:rPr>
          <w:caps w:val="false"/>
          <w:smallCaps w:val="false"/>
        </w:rPr>
        <w:t> </w:t>
      </w:r>
    </w:p>
    <w:tbl>
      <w:tblPr>
        <w:tblW w:w="3100" w:type="dxa"/>
        <w:jc w:val="left"/>
        <w:tblInd w:w="0" w:type="dxa"/>
        <w:tblLayout w:type="fixed"/>
        <w:tblCellMar>
          <w:top w:w="0" w:type="dxa"/>
          <w:left w:w="0" w:type="dxa"/>
          <w:bottom w:w="0" w:type="dxa"/>
          <w:right w:w="0" w:type="dxa"/>
        </w:tblCellMar>
      </w:tblPr>
      <w:tblGrid>
        <w:gridCol w:w="60"/>
        <w:gridCol w:w="230"/>
        <w:gridCol w:w="281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10</w:t>
            </w:r>
          </w:p>
        </w:tc>
        <w:tc>
          <w:tcPr>
            <w:tcW w:w="281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SECTION 409A COMPLIANCE.</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This Agreement is intended to be exempt from or comply with Section 409A of the Code (“Section 409A”) and shall be interpreted and administered accordingly. The Company reserves the unilateral right to amend this Agreement in order to maintain an exemption from or comply with Section 409A. Notwithstanding the foregoing, none of the Company, its contractors, agents and employees, the Board and each member of the Board shall have any obligation to prevent, minimize, or pay any gross-up payment to offset any negative tax consequences of any failure to follow the requirements of Section 409A or be liable for these consequences. Any payment under the Award that is subject to Section 409A and is otherwise due to a “specified employee” within the six-month period after “separation from service,” as each specified term is defined under Section 409A, shall accumulate without interest and be paid on the first payroll date after the end of the six-month period or, if earlier, within ten business days after the appointment of a personal representative or executor of the estate after the Participant’s death. If settlement of the Award under Section 3 is delayed under this Section 10, dividend equivalents will continue to be credited under Section 3.8 until final settlement.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caps w:val="false"/>
          <w:smallCaps w:val="false"/>
          <w:sz w:val="20"/>
        </w:rPr>
        <w:t>The Company has not obtained a tax ruling or other confirmation from the Internal Revenue Service with regard to the application of Section 409A to the Award, and the Company does not represent or warrant that this Agreement will avoid adverse tax consequences to the Participant, including as a result of the application of Section 409A to the Award. The Participant hereby acknowledges that he or she has been advised to seek the advice of his or her own independent tax advisor prior to entering into this Agreement and is not relying upon any representations of the Company or any of its agents as to the effect of or the advisability of entering into this Agreement. The Participant hereby releases and holds harmless the Company, its directors, officers and stockholders from any and all claims that may arise from or relate to any tax liability, penalties, interest, costs, fees or other liability incurred by the Participant in connection with the Award, including as a result of the application of Section 409A.</w:t>
      </w:r>
    </w:p>
    <w:p>
      <w:pPr>
        <w:pStyle w:val="TextBody"/>
        <w:bidi w:val="0"/>
        <w:spacing w:before="0" w:after="0"/>
        <w:ind w:left="0" w:right="0" w:hanging="0"/>
        <w:jc w:val="both"/>
        <w:rPr>
          <w:caps w:val="false"/>
          <w:smallCaps w:val="false"/>
        </w:rPr>
      </w:pPr>
      <w:r>
        <w:rPr>
          <w:caps w:val="false"/>
          <w:smallCaps w:val="false"/>
        </w:rPr>
        <w:t> </w:t>
      </w:r>
    </w:p>
    <w:tbl>
      <w:tblPr>
        <w:tblW w:w="3280" w:type="dxa"/>
        <w:jc w:val="left"/>
        <w:tblInd w:w="0" w:type="dxa"/>
        <w:tblLayout w:type="fixed"/>
        <w:tblCellMar>
          <w:top w:w="0" w:type="dxa"/>
          <w:left w:w="0" w:type="dxa"/>
          <w:bottom w:w="0" w:type="dxa"/>
          <w:right w:w="0" w:type="dxa"/>
        </w:tblCellMar>
      </w:tblPr>
      <w:tblGrid>
        <w:gridCol w:w="60"/>
        <w:gridCol w:w="230"/>
        <w:gridCol w:w="2990"/>
      </w:tblGrid>
      <w:tr>
        <w:trPr/>
        <w:tc>
          <w:tcPr>
            <w:tcW w:w="60" w:type="dxa"/>
            <w:tcBorders/>
            <w:vAlign w:val="center"/>
          </w:tcPr>
          <w:p>
            <w:pPr>
              <w:pStyle w:val="TableContents"/>
              <w:bidi w:val="0"/>
              <w:spacing w:before="0" w:after="283"/>
              <w:jc w:val="both"/>
              <w:rPr/>
            </w:pPr>
            <w:r>
              <w:rPr/>
              <w:t> </w:t>
            </w:r>
          </w:p>
        </w:tc>
        <w:tc>
          <w:tcPr>
            <w:tcW w:w="230" w:type="dxa"/>
            <w:tcBorders/>
            <w:vAlign w:val="center"/>
          </w:tcPr>
          <w:p>
            <w:pPr>
              <w:pStyle w:val="TableContents"/>
              <w:bidi w:val="0"/>
              <w:spacing w:before="0" w:after="0"/>
              <w:ind w:left="0" w:right="0" w:hanging="0"/>
              <w:jc w:val="both"/>
              <w:rPr>
                <w:rFonts w:ascii="Times New Roman;Times;serif" w:hAnsi="Times New Roman;Times;serif"/>
                <w:caps w:val="false"/>
                <w:smallCaps w:val="false"/>
                <w:sz w:val="20"/>
              </w:rPr>
            </w:pPr>
            <w:r>
              <w:rPr>
                <w:rFonts w:ascii="Times New Roman;Times;serif" w:hAnsi="Times New Roman;Times;serif"/>
                <w:caps w:val="false"/>
                <w:smallCaps w:val="false"/>
                <w:sz w:val="20"/>
              </w:rPr>
              <w:t>11</w:t>
            </w:r>
          </w:p>
        </w:tc>
        <w:tc>
          <w:tcPr>
            <w:tcW w:w="2990" w:type="dxa"/>
            <w:tcBorders/>
            <w:vAlign w:val="center"/>
          </w:tcPr>
          <w:p>
            <w:pPr>
              <w:pStyle w:val="TableContents"/>
              <w:bidi w:val="0"/>
              <w:spacing w:before="0" w:after="0"/>
              <w:ind w:left="0" w:right="0" w:hanging="0"/>
              <w:jc w:val="both"/>
              <w:rPr>
                <w:rFonts w:ascii="Times New Roman;Times;serif" w:hAnsi="Times New Roman;Times;serif"/>
                <w:b/>
                <w:caps w:val="false"/>
                <w:smallCaps w:val="false"/>
                <w:sz w:val="20"/>
                <w:u w:val="single"/>
              </w:rPr>
            </w:pPr>
            <w:r>
              <w:rPr>
                <w:rFonts w:ascii="Times New Roman;Times;serif" w:hAnsi="Times New Roman;Times;serif"/>
                <w:b/>
                <w:caps w:val="false"/>
                <w:smallCaps w:val="false"/>
                <w:sz w:val="20"/>
                <w:u w:val="single"/>
              </w:rPr>
              <w:t>MISCELLANEOUS PROVISIONS.</w:t>
            </w:r>
          </w:p>
        </w:tc>
      </w:tr>
    </w:tbl>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w:t>
      </w:r>
      <w:r>
        <w:rPr>
          <w:rFonts w:ascii="Times New Roman" w:hAnsi="Times New Roman"/>
          <w:caps w:val="false"/>
          <w:smallCaps w:val="false"/>
          <w:sz w:val="20"/>
        </w:rPr>
        <w:t>    </w:t>
      </w:r>
      <w:r>
        <w:rPr>
          <w:rFonts w:ascii="Times New Roman" w:hAnsi="Times New Roman"/>
          <w:b/>
          <w:caps w:val="false"/>
          <w:smallCaps w:val="false"/>
          <w:sz w:val="20"/>
        </w:rPr>
        <w:t xml:space="preserve">Further Instruments. </w:t>
      </w:r>
      <w:r>
        <w:rPr>
          <w:rFonts w:ascii="Times New Roman" w:hAnsi="Times New Roman"/>
          <w:caps w:val="false"/>
          <w:smallCaps w:val="false"/>
          <w:sz w:val="20"/>
        </w:rPr>
        <w:t>The parties hereto agree to execute such further instruments and to take such further action as may reasonably be necessary to carry out the intent of this Agreement.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11.2</w:t>
      </w:r>
      <w:r>
        <w:rPr>
          <w:rFonts w:ascii="Times New Roman" w:hAnsi="Times New Roman"/>
          <w:caps w:val="false"/>
          <w:smallCaps w:val="false"/>
          <w:sz w:val="20"/>
        </w:rPr>
        <w:t>    </w:t>
      </w:r>
      <w:r>
        <w:rPr>
          <w:rFonts w:ascii="Times New Roman" w:hAnsi="Times New Roman"/>
          <w:b/>
          <w:caps w:val="false"/>
          <w:smallCaps w:val="false"/>
          <w:sz w:val="20"/>
        </w:rPr>
        <w:t xml:space="preserve">Binding Effect. </w:t>
      </w:r>
      <w:r>
        <w:rPr>
          <w:rFonts w:ascii="Times New Roman" w:hAnsi="Times New Roman"/>
          <w:caps w:val="false"/>
          <w:smallCaps w:val="false"/>
          <w:sz w:val="20"/>
        </w:rPr>
        <w:t>Subject to the restrictions on transfer set forth herein, this Agreement shall inure to the benefit of and be binding upon the parties hereto and their respective heirs, executors, administrators, successors and assigns.</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5</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Non-Employee Director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11.3</w:t>
      </w:r>
      <w:r>
        <w:rPr>
          <w:rFonts w:ascii="Times New Roman" w:hAnsi="Times New Roman"/>
          <w:caps w:val="false"/>
          <w:smallCaps w:val="false"/>
          <w:sz w:val="20"/>
        </w:rPr>
        <w:t>    </w:t>
      </w:r>
      <w:r>
        <w:rPr>
          <w:rFonts w:ascii="Times New Roman" w:hAnsi="Times New Roman"/>
          <w:b/>
          <w:caps w:val="false"/>
          <w:smallCaps w:val="false"/>
          <w:sz w:val="20"/>
        </w:rPr>
        <w:t xml:space="preserve">Termination or Amendment. </w:t>
      </w:r>
      <w:r>
        <w:rPr>
          <w:rFonts w:ascii="Times New Roman" w:hAnsi="Times New Roman"/>
          <w:caps w:val="false"/>
          <w:smallCaps w:val="false"/>
          <w:sz w:val="20"/>
        </w:rPr>
        <w:t>The Board may terminate or amend the Plan or the Award at any time; provided, however, that except as provided in Section 6 in connection with a Change in Control, no such termination or amendment may adversely affect the Award without the consent of the Participant unless such termination or amendment is necessary to comply with any applicable law or government regulation. No amendment or addition to this Agreement shall be effective unless in writing.</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11.4</w:t>
      </w:r>
      <w:r>
        <w:rPr>
          <w:rFonts w:ascii="Times New Roman" w:hAnsi="Times New Roman"/>
          <w:caps w:val="false"/>
          <w:smallCaps w:val="false"/>
          <w:sz w:val="20"/>
        </w:rPr>
        <w:t>    </w:t>
      </w:r>
      <w:r>
        <w:rPr>
          <w:rFonts w:ascii="Times New Roman" w:hAnsi="Times New Roman"/>
          <w:b/>
          <w:caps w:val="false"/>
          <w:smallCaps w:val="false"/>
          <w:sz w:val="20"/>
        </w:rPr>
        <w:t xml:space="preserve">Notices. </w:t>
      </w:r>
      <w:r>
        <w:rPr>
          <w:rFonts w:ascii="Times New Roman" w:hAnsi="Times New Roman"/>
          <w:caps w:val="false"/>
          <w:smallCaps w:val="false"/>
          <w:sz w:val="20"/>
        </w:rPr>
        <w:t>Any notice required or permitted hereunder shall be given in writing and shall be deemed effectively given (except to the extent that this Agreement provides for effectiveness only upon actual receipt of such notice) upon personal delivery, upon deposit in the United States Post Office, by registered or certified mail, or with an overnight courier service with postage and fees prepaid, addressed to the other party at the address shown below that party’s signature or at such other address as such party may designate in writing from time to time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11.5</w:t>
      </w:r>
      <w:r>
        <w:rPr>
          <w:rFonts w:ascii="Times New Roman" w:hAnsi="Times New Roman"/>
          <w:caps w:val="false"/>
          <w:smallCaps w:val="false"/>
          <w:sz w:val="20"/>
        </w:rPr>
        <w:t>    </w:t>
      </w:r>
      <w:r>
        <w:rPr>
          <w:rFonts w:ascii="Times New Roman" w:hAnsi="Times New Roman"/>
          <w:b/>
          <w:caps w:val="false"/>
          <w:smallCaps w:val="false"/>
          <w:sz w:val="20"/>
        </w:rPr>
        <w:t xml:space="preserve">Integrated Agreement. </w:t>
      </w:r>
      <w:r>
        <w:rPr>
          <w:rFonts w:ascii="Times New Roman" w:hAnsi="Times New Roman"/>
          <w:caps w:val="false"/>
          <w:smallCaps w:val="false"/>
          <w:sz w:val="20"/>
        </w:rPr>
        <w:t>The Notice, this Agreement, the Plan and any applicable Deferral Election and Superseding Agreement, if any, shall constitute the entire understanding and agreement of the Participant and the Participating Company Group with respect to the subject matter contained herein or therein and supersede any prior agreements, understandings, restrictions, representations, or warranties among the Participant and the Participating Company Group with respect to such subject matter other than those as set forth or provided for herein or therein. To the extent contemplated herein or therein, the provisions of the Notice, the Agreement and the Plan shall survive any settlement of the Award and shall remain in full force and effect.</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11.6</w:t>
      </w:r>
      <w:r>
        <w:rPr>
          <w:rFonts w:ascii="Times New Roman" w:hAnsi="Times New Roman"/>
          <w:caps w:val="false"/>
          <w:smallCaps w:val="false"/>
          <w:sz w:val="20"/>
        </w:rPr>
        <w:t>    </w:t>
      </w:r>
      <w:r>
        <w:rPr>
          <w:rFonts w:ascii="Times New Roman" w:hAnsi="Times New Roman"/>
          <w:b/>
          <w:caps w:val="false"/>
          <w:smallCaps w:val="false"/>
          <w:sz w:val="20"/>
        </w:rPr>
        <w:t xml:space="preserve">Applicable Law. </w:t>
      </w:r>
      <w:r>
        <w:rPr>
          <w:rFonts w:ascii="Times New Roman" w:hAnsi="Times New Roman"/>
          <w:caps w:val="false"/>
          <w:smallCaps w:val="false"/>
          <w:sz w:val="20"/>
        </w:rPr>
        <w:t>This Agreement shall be governed by the laws of the State of California as such laws are applied to agreements between California residents entered into and to be performed entirely within the State of California.</w:t>
      </w:r>
    </w:p>
    <w:p>
      <w:pPr>
        <w:pStyle w:val="TextBody"/>
        <w:bidi w:val="0"/>
        <w:spacing w:before="0" w:after="0"/>
        <w:ind w:left="0" w:right="0" w:firstLine="144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11.7</w:t>
      </w:r>
      <w:r>
        <w:rPr>
          <w:rFonts w:ascii="Times New Roman" w:hAnsi="Times New Roman"/>
          <w:caps w:val="false"/>
          <w:smallCaps w:val="false"/>
          <w:sz w:val="20"/>
        </w:rPr>
        <w:t>    </w:t>
      </w:r>
      <w:r>
        <w:rPr>
          <w:rFonts w:ascii="Times New Roman" w:hAnsi="Times New Roman"/>
          <w:b/>
          <w:caps w:val="false"/>
          <w:smallCaps w:val="false"/>
          <w:sz w:val="20"/>
        </w:rPr>
        <w:t xml:space="preserve">Counterparts. </w:t>
      </w:r>
      <w:r>
        <w:rPr>
          <w:rFonts w:ascii="Times New Roman" w:hAnsi="Times New Roman"/>
          <w:caps w:val="false"/>
          <w:smallCaps w:val="false"/>
          <w:sz w:val="20"/>
        </w:rPr>
        <w:t>The Notice may be executed in counterparts, each of which shall be deemed an original, but all of which together shall constitute one and the same instrument.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11.8</w:t>
      </w:r>
      <w:r>
        <w:rPr>
          <w:rFonts w:ascii="Times New Roman" w:hAnsi="Times New Roman"/>
          <w:caps w:val="false"/>
          <w:smallCaps w:val="false"/>
          <w:sz w:val="20"/>
        </w:rPr>
        <w:t>    </w:t>
      </w:r>
      <w:r>
        <w:rPr>
          <w:rFonts w:ascii="Times New Roman" w:hAnsi="Times New Roman"/>
          <w:b/>
          <w:caps w:val="false"/>
          <w:smallCaps w:val="false"/>
          <w:sz w:val="20"/>
        </w:rPr>
        <w:t xml:space="preserve">Delivery of Documents and Notices. </w:t>
      </w:r>
      <w:r>
        <w:rPr>
          <w:rFonts w:ascii="Times New Roman" w:hAnsi="Times New Roman"/>
          <w:caps w:val="false"/>
          <w:smallCaps w:val="false"/>
          <w:sz w:val="20"/>
        </w:rPr>
        <w:t>Any document relating to participation in the Plan or any notice required or permitted hereunder shall be given in writing and shall be deemed effectively given (except to the extent that this Agreement provides for effectiveness only upon actual receipt of such notice) upon personal delivery, electronic delivery at the e-mail address, if any, provided for the Participant by a Participating Company, or upon deposit in the U.S. Post Office or foreign postal service, by registered or certified mail, or with a nationally recognized overnight courier service, with postage and fees prepaid, addressed to the other party at the address of such party set forth in the Notice or at such other address as such party may designate in writing from time to time to the other party.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w:t>
      </w:r>
      <w:r>
        <w:rPr>
          <w:rFonts w:ascii="Times New Roman" w:hAnsi="Times New Roman"/>
          <w:b/>
          <w:i/>
          <w:caps w:val="false"/>
          <w:smallCaps w:val="false"/>
          <w:sz w:val="20"/>
        </w:rPr>
        <w:t xml:space="preserve">Description of Electronic Delivery and Signature. </w:t>
      </w:r>
      <w:r>
        <w:rPr>
          <w:rFonts w:ascii="Times New Roman" w:hAnsi="Times New Roman"/>
          <w:caps w:val="false"/>
          <w:smallCaps w:val="false"/>
          <w:sz w:val="20"/>
        </w:rPr>
        <w:t>The Plan documents, which may include but do not necessarily include: the Plan, the Notice, this Agreement, the Plan Prospectus, and any reports of the Company provided generally to the Company’s stockholders, may be delivered to the Participant electronically. In addition, if permitted by the Company, the Participant may deliver electronically the Notice to the Company or to such third party involved in administering the Plan as the Company may designate from time to time. Such means of electronic delivery may include but do not necessarily include the delivery of a link to a Company intranet or the Internet site of a third party involved in administering the Plan, the delivery of the document via e-mail or such other means of electronic delivery specified by the Company. Any and all such documents and notices may be electronically signed.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6</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Non-Employee Director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w:t>
      </w:r>
      <w:r>
        <w:rPr>
          <w:rFonts w:ascii="Times New Roman" w:hAnsi="Times New Roman"/>
          <w:b/>
          <w:i/>
          <w:caps w:val="false"/>
          <w:smallCaps w:val="false"/>
          <w:sz w:val="20"/>
        </w:rPr>
        <w:t xml:space="preserve">Consent to Electronic Delivery and Signature. </w:t>
      </w:r>
      <w:r>
        <w:rPr>
          <w:rFonts w:ascii="Times New Roman" w:hAnsi="Times New Roman"/>
          <w:caps w:val="false"/>
          <w:smallCaps w:val="false"/>
          <w:sz w:val="20"/>
        </w:rPr>
        <w:t>The Participant acknowledges that the Participant has read Section 11.8(a) of this Agreement and consents to the electronic delivery of the Plan documents and, if permitted by the Company, the delivery of the Notice, as described in Section 11.8(a). The Participant agrees that any and all such documents requiring a signature may be electronically signed and that such electronic signature shall have the same effect as handwritten signature for the purposes of validity, enforceability and admissibility. The Participant acknowledges that he or she may receive from the Company a paper copy of any documents delivered electronically at no cost to the Participant by contacting the Company by telephone or in writing. The Participant further acknowledges that the Participant will be provided with a paper copy of any documents if the attempted electronic delivery of such documents fails. Similarly, the Participant understands that the Participant must provide the Company or any designated third party administrator with a paper copy of any documents if the attempted electronic delivery of such documents fails. The Participant may revoke his or her consent to the electronic delivery of documents described in Section 11.8(a) or may change the electronic mail address to which such documents are to be delivered (if Participant has provided an electronic mail address) at any time by notifying the Company of such revoked consent or revised e-mail address by telephone, postal service or electronic mail. Finally, the Participant understands that he or she is not required to consent to electronic delivery of documents described in Section 11.8(a)</w:t>
      </w:r>
      <w:r>
        <w:rPr>
          <w:rFonts w:ascii="Times New Roman" w:hAnsi="Times New Roman"/>
          <w:b/>
          <w:caps w:val="false"/>
          <w:smallCaps w:val="false"/>
          <w:sz w:val="20"/>
        </w:rPr>
        <w: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11.9</w:t>
      </w:r>
      <w:r>
        <w:rPr>
          <w:rFonts w:ascii="Times New Roman" w:hAnsi="Times New Roman"/>
          <w:caps w:val="false"/>
          <w:smallCaps w:val="false"/>
          <w:sz w:val="20"/>
        </w:rPr>
        <w:t>    </w:t>
      </w:r>
      <w:r>
        <w:rPr>
          <w:rFonts w:ascii="Times New Roman" w:hAnsi="Times New Roman"/>
          <w:b/>
          <w:caps w:val="false"/>
          <w:smallCaps w:val="false"/>
          <w:sz w:val="20"/>
        </w:rPr>
        <w:t xml:space="preserve">Voting and Other Rights. </w:t>
      </w:r>
      <w:r>
        <w:rPr>
          <w:rFonts w:ascii="Times New Roman" w:hAnsi="Times New Roman"/>
          <w:caps w:val="false"/>
          <w:smallCaps w:val="false"/>
          <w:sz w:val="20"/>
        </w:rPr>
        <w:t>Participant acknowledges that Participant shall not have any voting rights or any other rights and privileges of a stockholder of the Company unless and until shares of Stock are issued upon settlement of this Award.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11.10</w:t>
      </w:r>
      <w:r>
        <w:rPr>
          <w:rFonts w:ascii="Times New Roman" w:hAnsi="Times New Roman"/>
          <w:caps w:val="false"/>
          <w:smallCaps w:val="false"/>
          <w:sz w:val="20"/>
        </w:rPr>
        <w:t>    </w:t>
      </w:r>
      <w:r>
        <w:rPr>
          <w:rFonts w:ascii="Times New Roman" w:hAnsi="Times New Roman"/>
          <w:b/>
          <w:caps w:val="false"/>
          <w:smallCaps w:val="false"/>
          <w:sz w:val="20"/>
        </w:rPr>
        <w:t>Nature of Grant. In accepting the Award, the Participant acknowledges and agrees that:</w:t>
      </w:r>
    </w:p>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(a)    the Plan is established voluntarily by the Company, it is discretionary in nature and it may be modified, amended, suspended or terminated by the Company at any time, (subject to any limitations set forth in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(b)    the Award is voluntary and occasional and does not create any contractual or other right to receive future awards, or benefits in lieu of awards, even if other awards have been awarded repeatedly in the past;</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(c)    all decisions with respect to future Awards, if any, will be at the sole discretion of the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(d)    the Participant’s participation in the Plan is voluntary;</w:t>
      </w:r>
    </w:p>
    <w:p>
      <w:pPr>
        <w:pStyle w:val="TextBody"/>
        <w:bidi w:val="0"/>
        <w:spacing w:before="0" w:after="0"/>
        <w:ind w:left="0" w:right="0" w:firstLine="234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(e)    the Award and the shares of Stock subject to the Award are extraordinary items that do not constitute compensation of any kind for Services of any kind rendered to the Company or the Employer, and which are outside the scope of the Participant’s employment or service contract, if 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(f)    the Award and the shares of Stock subject to the Award are not intended to replace any pension rights or compensation;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(g)    the Award and the shares of Stock subject to the Award are not part of normal or expected compensation or salary for any purposes, including, but not limited to, calculating any severance, resignation, termination, redundancy, dismissal, end of service payments, bonuses, long-service awards, pension or retirement or welfare benefits or similar payments and in no event should be considered as compensation for, or relating in any way to, past services for the Company, the Employer or any Participating Company;</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(h)    the future value of the underlying shares of Stock is unknown and cannot be predicted with any certainty;</w:t>
      </w:r>
    </w:p>
    <w:p>
      <w:pPr>
        <w:pStyle w:val="TextBody"/>
        <w:bidi w:val="0"/>
        <w:spacing w:before="0" w:after="0"/>
        <w:ind w:left="0" w:right="0" w:firstLine="2340"/>
        <w:jc w:val="both"/>
        <w:rPr>
          <w:caps w:val="false"/>
          <w:smallCaps w:val="false"/>
        </w:rPr>
      </w:pPr>
      <w:r>
        <w:rPr>
          <w:caps w:val="false"/>
          <w:smallCaps w:val="false"/>
        </w:rPr>
        <w:t> </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7</w:t>
      </w:r>
    </w:p>
    <w:p>
      <w:pPr>
        <w:pStyle w:val="TextBody"/>
        <w:bidi w:val="0"/>
        <w:spacing w:before="0" w:after="0"/>
        <w:ind w:left="0" w:right="0" w:hanging="0"/>
        <w:jc w:val="left"/>
        <w:rPr>
          <w:rFonts w:ascii="Times New Roman;Times;serif" w:hAnsi="Times New Roman;Times;serif"/>
          <w:sz w:val="16"/>
        </w:rPr>
      </w:pPr>
      <w:r>
        <w:rPr>
          <w:rFonts w:ascii="Times New Roman;Times;serif" w:hAnsi="Times New Roman;Times;serif"/>
          <w:sz w:val="16"/>
        </w:rPr>
        <w:t>Non-Employee Director</w:t>
      </w:r>
    </w:p>
    <w:p>
      <w:pPr>
        <w:pStyle w:val="HorizontalLine"/>
        <w:pBdr>
          <w:bottom w:val="double" w:sz="2" w:space="0" w:color="808080"/>
        </w:pBdr>
        <w:bidi w:val="0"/>
        <w:spacing w:before="0" w:after="283"/>
        <w:jc w:val="left"/>
        <w:rPr/>
      </w:pPr>
      <w:r>
        <w:rPr/>
      </w:r>
    </w:p>
    <w:p>
      <w:pPr>
        <w:pStyle w:val="TextBody"/>
        <w:bidi w:val="0"/>
        <w:jc w:val="both"/>
        <w:rPr/>
      </w:pPr>
      <w:r>
        <w:rPr/>
        <w:t> </w:t>
      </w:r>
    </w:p>
    <w:p>
      <w:pPr>
        <w:pStyle w:val="TextBody"/>
        <w:bidi w:val="0"/>
        <w:spacing w:before="0" w:after="0"/>
        <w:ind w:left="0" w:right="0" w:hanging="0"/>
        <w:jc w:val="both"/>
        <w:rPr/>
      </w:pPr>
      <w:r>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(i)    no claim or entitlement to compensation or damages shall arise from forfeiture of the Participant’s Award resulting from termination of the Participant’s employment or Service or the Participant’s breach of any terms hereof (for any reason whatsoever and whether or not in breach of local labor laws or later found invalid), and in consideration of the grant of the Award to which the Participant is otherwise not entitled, the Participant irrevocably agrees never to institute any claim against the Company, waive the Participant’s ability, if any, to bring any such claim, and release the Company from any such claim; if, notwithstanding the foregoing, any such claim is allowed by a court of competent jurisdiction, then, by participating in the Plan, the Participant shall be deemed irrevocably to have agreed not to pursue such claim and agree to execute any and all documents necessary to request dismissal or withdrawal of such claim;</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(j)    the Award and the benefits evidenced by this Agreement do not create any entitlement, not otherwise specifically provided for in the Plan or provided by the Company in its discretion, to have the Award or any such benefits transferred to, or assumed by, another company, nor to be exchanged, cashed out or substituted for, in connection with any corporate transaction affecting the Company’s Stock; and</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2160"/>
        <w:jc w:val="both"/>
        <w:rPr>
          <w:rFonts w:ascii="Times New Roman" w:hAnsi="Times New Roman"/>
          <w:caps w:val="false"/>
          <w:smallCaps w:val="false"/>
          <w:sz w:val="20"/>
        </w:rPr>
      </w:pPr>
      <w:r>
        <w:rPr>
          <w:rFonts w:ascii="Times New Roman" w:hAnsi="Times New Roman"/>
          <w:caps w:val="false"/>
          <w:smallCaps w:val="false"/>
          <w:sz w:val="20"/>
        </w:rPr>
        <w:t>(k)    the Company is not providing any tax, legal or financial advice, nor is the Company making any recommendations regarding the Participant’s participation in the Plan, or the Participant’s acquisition or sale of the underlying shares of Stock; the Participant are hereby advised to consult with the Participant’s own personal tax, legal and financial advisors regarding the Participant’s participation in the Plan before taking any action related to the Plan.</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11.11</w:t>
      </w:r>
      <w:r>
        <w:rPr>
          <w:rFonts w:ascii="Times New Roman" w:hAnsi="Times New Roman"/>
          <w:caps w:val="false"/>
          <w:smallCaps w:val="false"/>
          <w:sz w:val="20"/>
        </w:rPr>
        <w:t>    </w:t>
      </w:r>
      <w:r>
        <w:rPr>
          <w:rFonts w:ascii="Times New Roman" w:hAnsi="Times New Roman"/>
          <w:b/>
          <w:caps w:val="false"/>
          <w:smallCaps w:val="false"/>
          <w:sz w:val="20"/>
        </w:rPr>
        <w:t xml:space="preserve">Governing Plan Document. </w:t>
      </w:r>
      <w:r>
        <w:rPr>
          <w:rFonts w:ascii="Times New Roman" w:hAnsi="Times New Roman"/>
          <w:caps w:val="false"/>
          <w:smallCaps w:val="false"/>
          <w:sz w:val="20"/>
        </w:rPr>
        <w:t>The Award is subject to this Agreement, the Notice and all the provisions of the Plan, the provisions of which are hereby made a part of this Agreement, and is further subject to all interpretations, amendments, rules and regulations which may from time to time be promulgated and adopted pursuant to the Plan. In the event of any conflict between the provisions of this Agreement, the Notice and those of the Plan, the provisions of the Plan shall control.</w:t>
      </w:r>
    </w:p>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11.12</w:t>
      </w:r>
      <w:r>
        <w:rPr>
          <w:rFonts w:ascii="Times New Roman" w:hAnsi="Times New Roman"/>
          <w:caps w:val="false"/>
          <w:smallCaps w:val="false"/>
          <w:sz w:val="20"/>
        </w:rPr>
        <w:t>    </w:t>
      </w:r>
      <w:r>
        <w:rPr>
          <w:rFonts w:ascii="Times New Roman" w:hAnsi="Times New Roman"/>
          <w:b/>
          <w:caps w:val="false"/>
          <w:smallCaps w:val="false"/>
          <w:sz w:val="20"/>
        </w:rPr>
        <w:t xml:space="preserve">Severability. </w:t>
      </w:r>
      <w:r>
        <w:rPr>
          <w:rFonts w:ascii="Times New Roman" w:hAnsi="Times New Roman"/>
          <w:caps w:val="false"/>
          <w:smallCaps w:val="false"/>
          <w:sz w:val="20"/>
        </w:rPr>
        <w:t>If any provision of this Agreement is held to be unenforceable for any reason, it shall be adjusted rather than voided, if possible, in order to achieve the intent of the parties to the extent possible. In any event, all other provisions of this Agreement shall be deemed valid and enforceable to the full extent possible.</w:t>
      </w:r>
    </w:p>
    <w:p>
      <w:pPr>
        <w:pStyle w:val="TextBody"/>
        <w:bidi w:val="0"/>
        <w:spacing w:before="0" w:after="0"/>
        <w:ind w:left="0" w:right="0" w:hanging="0"/>
        <w:jc w:val="both"/>
        <w:rPr>
          <w:caps w:val="false"/>
          <w:smallCaps w:val="false"/>
        </w:rPr>
      </w:pPr>
      <w:r>
        <w:rPr>
          <w:caps w:val="false"/>
          <w:smallCaps w:val="false"/>
        </w:rPr>
        <w:t> </w:t>
      </w:r>
    </w:p>
    <w:p>
      <w:pPr>
        <w:pStyle w:val="TextBody"/>
        <w:bidi w:val="0"/>
        <w:spacing w:before="0" w:after="0"/>
        <w:ind w:left="0" w:right="0" w:firstLine="1440"/>
        <w:jc w:val="both"/>
        <w:rPr>
          <w:rFonts w:ascii="Times New Roman" w:hAnsi="Times New Roman"/>
          <w:caps w:val="false"/>
          <w:smallCaps w:val="false"/>
          <w:sz w:val="20"/>
        </w:rPr>
      </w:pPr>
      <w:r>
        <w:rPr>
          <w:rFonts w:ascii="Times New Roman" w:hAnsi="Times New Roman"/>
          <w:b/>
          <w:caps w:val="false"/>
          <w:smallCaps w:val="false"/>
          <w:sz w:val="20"/>
        </w:rPr>
        <w:t>11.13</w:t>
      </w:r>
      <w:r>
        <w:rPr>
          <w:rFonts w:ascii="Times New Roman" w:hAnsi="Times New Roman"/>
          <w:caps w:val="false"/>
          <w:smallCaps w:val="false"/>
          <w:sz w:val="20"/>
        </w:rPr>
        <w:t>    </w:t>
      </w:r>
      <w:r>
        <w:rPr>
          <w:rFonts w:ascii="Times New Roman" w:hAnsi="Times New Roman"/>
          <w:b/>
          <w:caps w:val="false"/>
          <w:smallCaps w:val="false"/>
          <w:sz w:val="20"/>
        </w:rPr>
        <w:t>Repayment/Forfeiture.</w:t>
      </w:r>
      <w:r>
        <w:rPr>
          <w:rFonts w:ascii="Times New Roman" w:hAnsi="Times New Roman"/>
          <w:caps w:val="false"/>
          <w:smallCaps w:val="false"/>
          <w:sz w:val="20"/>
        </w:rPr>
        <w:t xml:space="preserve"> Any benefits the Participant may receive hereunder shall be subject to repayment or forfeiture as required to comply with (a) any applicable listing standards of a national securities exchange on which the Company’s securities are listed or as otherwise required by Section 954 of the Dodd-Frank Wall Street Reform and Consumer Protection Act (regarding recovery of erroneously awarded compensation) and any implementing rules and regulations of the U.S. Securities and Exchange Commission adopted thereunder, including Rule 10D-1 of the Exchange Act, (b) other applicable U.S. laws, and the applicable laws of any other jurisdiction, (c) the Cohu, Inc. Policy for Recovery of Erroneously Awarded Incentive Compensation, or (d) any other repayment or forfeiture policies adopted by the Company, each to the extent determined by the Company in its discretion to be applicable to Participant.</w:t>
      </w:r>
    </w:p>
    <w:p>
      <w:pPr>
        <w:pStyle w:val="TextBody"/>
        <w:bidi w:val="0"/>
        <w:spacing w:before="0" w:after="0"/>
        <w:ind w:left="0" w:right="0" w:firstLine="1620"/>
        <w:jc w:val="both"/>
        <w:rPr>
          <w:caps w:val="false"/>
          <w:smallCaps w:val="false"/>
        </w:rPr>
      </w:pPr>
      <w:r>
        <w:rPr>
          <w:caps w:val="false"/>
          <w:smallCaps w:val="false"/>
        </w:rPr>
        <w:t> </w:t>
      </w:r>
    </w:p>
    <w:p>
      <w:pPr>
        <w:pStyle w:val="TextBody"/>
        <w:bidi w:val="0"/>
        <w:spacing w:before="0" w:after="0"/>
        <w:ind w:left="0" w:right="0" w:hanging="0"/>
        <w:jc w:val="both"/>
        <w:rPr>
          <w:rFonts w:ascii="Times New Roman;Times;serif" w:hAnsi="Times New Roman;Times;serif"/>
          <w:sz w:val="16"/>
        </w:rPr>
      </w:pPr>
      <w:r>
        <w:rPr>
          <w:rFonts w:ascii="Times New Roman;Times;serif" w:hAnsi="Times New Roman;Times;serif"/>
          <w:sz w:val="16"/>
        </w:rPr>
        <w:t>RSU Agreement (May 15, 2026)</w:t>
      </w:r>
    </w:p>
    <w:p>
      <w:pPr>
        <w:pStyle w:val="TextBody"/>
        <w:bidi w:val="0"/>
        <w:spacing w:before="0" w:after="0"/>
        <w:jc w:val="left"/>
        <w:rPr>
          <w:rFonts w:ascii="Times New Roman" w:hAnsi="Times New Roman"/>
          <w:sz w:val="16"/>
        </w:rPr>
      </w:pPr>
      <w:r>
        <w:rPr>
          <w:rFonts w:ascii="Times New Roman" w:hAnsi="Times New Roman"/>
          <w:sz w:val="16"/>
        </w:rPr>
        <w:t>8</w:t>
      </w:r>
    </w:p>
    <w:p>
      <w:pPr>
        <w:pStyle w:val="TextBody"/>
        <w:bidi w:val="0"/>
        <w:ind w:left="0" w:right="0" w:hanging="0"/>
        <w:jc w:val="both"/>
        <w:rPr>
          <w:rFonts w:ascii="Times New Roman;Times;serif" w:hAnsi="Times New Roman;Times;serif"/>
          <w:sz w:val="16"/>
        </w:rPr>
      </w:pPr>
      <w:r>
        <w:rPr>
          <w:rFonts w:ascii="Times New Roman;Times;serif" w:hAnsi="Times New Roman;Times;serif"/>
          <w:sz w:val="16"/>
        </w:rPr>
        <w:t>Non-Employee Director</w:t>
      </w:r>
    </w:p>
    <w:p>
      <w:pPr>
        <w:pStyle w:val="TextBody"/>
        <w:bidi w:val="0"/>
        <w:spacing w:before="0" w:after="0"/>
        <w:ind w:left="0" w:right="0" w:hanging="0"/>
        <w:jc w:val="left"/>
        <w:rPr/>
      </w:pPr>
      <w:r>
        <w:rPr/>
      </w:r>
      <w:bookmarkStart w:id="28" w:name="ex_993168.htm"/>
      <w:bookmarkStart w:id="29" w:name="ksex_993168"/>
      <w:bookmarkStart w:id="30" w:name="ex_993168.htm"/>
      <w:bookmarkStart w:id="31" w:name="ksex_993168"/>
      <w:bookmarkEnd w:id="30"/>
      <w:bookmarkEnd w:id="31"/>
      <w:r>
        <w:br w:type="page"/>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Exhibit 31.1</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EXECUTIVE OFFICER</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Luis A. Müller, certify that:</w:t>
      </w:r>
    </w:p>
    <w:p>
      <w:pPr>
        <w:pStyle w:val="TextBody"/>
        <w:bidi w:val="0"/>
        <w:spacing w:before="0" w:after="0"/>
        <w:ind w:left="0" w:right="0" w:hanging="0"/>
        <w:jc w:val="left"/>
        <w:rPr/>
      </w:pPr>
      <w:r>
        <w:rPr/>
      </w:r>
    </w:p>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Form 10-Q of Cohu, Inc.;</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108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108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1080" w:right="0" w:hanging="0"/>
        <w:jc w:val="left"/>
        <w:rPr/>
      </w:pPr>
      <w:r>
        <w:rPr/>
      </w:r>
    </w:p>
    <w:p>
      <w:pPr>
        <w:pStyle w:val="TextBody"/>
        <w:bidi w:val="0"/>
        <w:spacing w:before="0" w:after="0"/>
        <w:ind w:left="108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31, 2026              </w:t>
      </w:r>
    </w:p>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 xml:space="preserve">/s/ Luis A. Müller                                               </w:t>
      </w:r>
      <w:r>
        <w:rPr>
          <w:rFonts w:ascii="Times New Roman" w:hAnsi="Times New Roman"/>
          <w:caps w:val="false"/>
          <w:smallCaps w:val="false"/>
          <w:sz w:val="20"/>
        </w:rPr>
        <w:br/>
        <w:t> Luis A. Müller</w:t>
        <w:br/>
        <w:t> President &amp; Chief Executive Officer</w:t>
      </w:r>
    </w:p>
    <w:p>
      <w:pPr>
        <w:pStyle w:val="TextBody"/>
        <w:bidi w:val="0"/>
        <w:spacing w:before="0" w:after="0"/>
        <w:ind w:left="0" w:right="0" w:hanging="0"/>
        <w:jc w:val="left"/>
        <w:rPr/>
      </w:pPr>
      <w:r>
        <w:rPr/>
      </w:r>
    </w:p>
    <w:p>
      <w:pPr>
        <w:pStyle w:val="TextBody"/>
        <w:bidi w:val="0"/>
        <w:spacing w:before="0" w:after="0"/>
        <w:ind w:left="0" w:right="0" w:hanging="0"/>
        <w:jc w:val="left"/>
        <w:rPr/>
      </w:pPr>
      <w:r>
        <w:rPr/>
      </w:r>
      <w:bookmarkStart w:id="32" w:name="ex_993167.htm"/>
      <w:bookmarkStart w:id="33" w:name="ksex_993167"/>
      <w:bookmarkStart w:id="34" w:name="ex_993167.htm"/>
      <w:bookmarkStart w:id="35" w:name="ksex_993167"/>
      <w:bookmarkEnd w:id="34"/>
      <w:bookmarkEnd w:id="35"/>
      <w:r>
        <w:br w:type="page"/>
      </w:r>
    </w:p>
    <w:p>
      <w:pPr>
        <w:pStyle w:val="TextBody"/>
        <w:bidi w:val="0"/>
        <w:spacing w:before="0" w:after="0"/>
        <w:ind w:left="0" w:right="0" w:hanging="0"/>
        <w:jc w:val="right"/>
        <w:rPr>
          <w:rFonts w:ascii="Times New Roman" w:hAnsi="Times New Roman"/>
          <w:caps w:val="false"/>
          <w:smallCaps w:val="false"/>
          <w:sz w:val="20"/>
        </w:rPr>
      </w:pPr>
      <w:r>
        <w:rPr>
          <w:rFonts w:ascii="Times New Roman" w:hAnsi="Times New Roman"/>
          <w:caps w:val="false"/>
          <w:smallCaps w:val="false"/>
          <w:sz w:val="20"/>
        </w:rPr>
        <w:t>Exhibit 31.2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COHU, INC.</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SARBANES-OXLEY ACT SECTION 302(a)</w:t>
      </w:r>
    </w:p>
    <w:p>
      <w:pPr>
        <w:pStyle w:val="TextBody"/>
        <w:bidi w:val="0"/>
        <w:spacing w:before="0" w:after="0"/>
        <w:ind w:left="0" w:right="0" w:hanging="0"/>
        <w:jc w:val="center"/>
        <w:rPr>
          <w:rFonts w:ascii="Times New Roman" w:hAnsi="Times New Roman"/>
          <w:caps w:val="false"/>
          <w:smallCaps w:val="false"/>
          <w:sz w:val="20"/>
          <w:u w:val="single"/>
        </w:rPr>
      </w:pPr>
      <w:r>
        <w:rPr>
          <w:rFonts w:ascii="Times New Roman" w:hAnsi="Times New Roman"/>
          <w:caps w:val="false"/>
          <w:smallCaps w:val="false"/>
          <w:sz w:val="20"/>
          <w:u w:val="single"/>
        </w:rPr>
        <w:t>CERTIFICATION OF PRINCIPAL FINANCIAL OFFICER</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I, Jeffrey D. Jones, certify that:</w:t>
      </w:r>
    </w:p>
    <w:p>
      <w:pPr>
        <w:pStyle w:val="TextBody"/>
        <w:bidi w:val="0"/>
        <w:spacing w:before="0" w:after="0"/>
        <w:ind w:left="0" w:right="0" w:hanging="0"/>
        <w:jc w:val="left"/>
        <w:rPr/>
      </w:pPr>
      <w:r>
        <w:rPr/>
      </w:r>
    </w:p>
    <w:tbl>
      <w:tblPr>
        <w:tblW w:w="3903" w:type="dxa"/>
        <w:jc w:val="left"/>
        <w:tblInd w:w="0" w:type="dxa"/>
        <w:tblLayout w:type="fixed"/>
        <w:tblCellMar>
          <w:top w:w="0" w:type="dxa"/>
          <w:left w:w="0" w:type="dxa"/>
          <w:bottom w:w="0" w:type="dxa"/>
          <w:right w:w="0" w:type="dxa"/>
        </w:tblCellMar>
      </w:tblPr>
      <w:tblGrid>
        <w:gridCol w:w="23"/>
        <w:gridCol w:w="170"/>
        <w:gridCol w:w="3710"/>
      </w:tblGrid>
      <w:tr>
        <w:trPr/>
        <w:tc>
          <w:tcPr>
            <w:tcW w:w="23" w:type="dxa"/>
            <w:tcBorders/>
            <w:vAlign w:val="center"/>
          </w:tcPr>
          <w:p>
            <w:pPr>
              <w:pStyle w:val="TableContents"/>
              <w:bidi w:val="0"/>
              <w:spacing w:before="0" w:after="283"/>
              <w:jc w:val="left"/>
              <w:rPr/>
            </w:pPr>
            <w:r>
              <w:rPr/>
            </w:r>
          </w:p>
        </w:tc>
        <w:tc>
          <w:tcPr>
            <w:tcW w:w="17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1.</w:t>
            </w:r>
          </w:p>
        </w:tc>
        <w:tc>
          <w:tcPr>
            <w:tcW w:w="371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I have reviewed this Form 10-Q of Cohu, Inc.;</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2"/>
        <w:gridCol w:w="10040"/>
      </w:tblGrid>
      <w:tr>
        <w:trPr/>
        <w:tc>
          <w:tcPr>
            <w:tcW w:w="23" w:type="dxa"/>
            <w:tcBorders/>
            <w:vAlign w:val="center"/>
          </w:tcPr>
          <w:p>
            <w:pPr>
              <w:pStyle w:val="TableContents"/>
              <w:bidi w:val="0"/>
              <w:spacing w:before="0" w:after="283"/>
              <w:jc w:val="left"/>
              <w:rPr/>
            </w:pPr>
            <w:r>
              <w:rPr/>
            </w:r>
          </w:p>
        </w:tc>
        <w:tc>
          <w:tcPr>
            <w:tcW w:w="142"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2.</w:t>
            </w:r>
          </w:p>
        </w:tc>
        <w:tc>
          <w:tcPr>
            <w:tcW w:w="10040"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4"/>
        <w:gridCol w:w="10038"/>
      </w:tblGrid>
      <w:tr>
        <w:trPr/>
        <w:tc>
          <w:tcPr>
            <w:tcW w:w="23" w:type="dxa"/>
            <w:tcBorders/>
            <w:vAlign w:val="center"/>
          </w:tcPr>
          <w:p>
            <w:pPr>
              <w:pStyle w:val="TableContents"/>
              <w:bidi w:val="0"/>
              <w:spacing w:before="0" w:after="283"/>
              <w:jc w:val="left"/>
              <w:rPr/>
            </w:pPr>
            <w:r>
              <w:rPr/>
            </w:r>
          </w:p>
        </w:tc>
        <w:tc>
          <w:tcPr>
            <w:tcW w:w="144"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3.</w:t>
            </w:r>
          </w:p>
        </w:tc>
        <w:tc>
          <w:tcPr>
            <w:tcW w:w="10038"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tc>
      </w:tr>
    </w:tbl>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1"/>
        <w:gridCol w:w="10041"/>
      </w:tblGrid>
      <w:tr>
        <w:trPr/>
        <w:tc>
          <w:tcPr>
            <w:tcW w:w="23" w:type="dxa"/>
            <w:tcBorders/>
            <w:vAlign w:val="center"/>
          </w:tcPr>
          <w:p>
            <w:pPr>
              <w:pStyle w:val="TableContents"/>
              <w:bidi w:val="0"/>
              <w:spacing w:before="0" w:after="283"/>
              <w:jc w:val="left"/>
              <w:rPr/>
            </w:pPr>
            <w:r>
              <w:rPr/>
            </w:r>
          </w:p>
        </w:tc>
        <w:tc>
          <w:tcPr>
            <w:tcW w:w="1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4.</w:t>
            </w:r>
          </w:p>
        </w:tc>
        <w:tc>
          <w:tcPr>
            <w:tcW w:w="10041"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tc>
      </w:tr>
    </w:tbl>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(a) 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(b) 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(c) 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(d) 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ind w:left="0" w:right="0" w:hanging="0"/>
        <w:jc w:val="left"/>
        <w:rPr/>
      </w:pPr>
      <w:r>
        <w:rPr/>
      </w:r>
    </w:p>
    <w:tbl>
      <w:tblPr>
        <w:tblW w:w="10205" w:type="dxa"/>
        <w:jc w:val="left"/>
        <w:tblInd w:w="0" w:type="dxa"/>
        <w:tblLayout w:type="fixed"/>
        <w:tblCellMar>
          <w:top w:w="0" w:type="dxa"/>
          <w:left w:w="0" w:type="dxa"/>
          <w:bottom w:w="0" w:type="dxa"/>
          <w:right w:w="0" w:type="dxa"/>
        </w:tblCellMar>
      </w:tblPr>
      <w:tblGrid>
        <w:gridCol w:w="23"/>
        <w:gridCol w:w="143"/>
        <w:gridCol w:w="10039"/>
      </w:tblGrid>
      <w:tr>
        <w:trPr/>
        <w:tc>
          <w:tcPr>
            <w:tcW w:w="23" w:type="dxa"/>
            <w:tcBorders/>
            <w:vAlign w:val="center"/>
          </w:tcPr>
          <w:p>
            <w:pPr>
              <w:pStyle w:val="TableContents"/>
              <w:bidi w:val="0"/>
              <w:spacing w:before="0" w:after="283"/>
              <w:jc w:val="left"/>
              <w:rPr/>
            </w:pPr>
            <w:r>
              <w:rPr/>
            </w:r>
          </w:p>
        </w:tc>
        <w:tc>
          <w:tcPr>
            <w:tcW w:w="143"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5.</w:t>
            </w:r>
          </w:p>
        </w:tc>
        <w:tc>
          <w:tcPr>
            <w:tcW w:w="10039" w:type="dxa"/>
            <w:tcBorders/>
            <w:vAlign w:val="center"/>
          </w:tcPr>
          <w:p>
            <w:pPr>
              <w:pStyle w:val="TableContents"/>
              <w:bidi w:val="0"/>
              <w:spacing w:before="0" w:after="0"/>
              <w:ind w:left="0" w:right="0" w:hanging="0"/>
              <w:jc w:val="left"/>
              <w:rPr>
                <w:rFonts w:ascii="Times New Roman;Times;serif" w:hAnsi="Times New Roman;Times;serif"/>
                <w:caps w:val="false"/>
                <w:smallCaps w:val="false"/>
                <w:sz w:val="20"/>
              </w:rPr>
            </w:pPr>
            <w:r>
              <w:rPr>
                <w:rFonts w:ascii="Times New Roman;Times;serif" w:hAnsi="Times New Roman;Times;serif"/>
                <w:caps w:val="false"/>
                <w:smallCaps w:val="false"/>
                <w:sz w:val="20"/>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tc>
      </w:tr>
    </w:tbl>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(a) 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before="0" w:after="0"/>
        <w:ind w:left="0" w:right="0" w:hanging="0"/>
        <w:jc w:val="left"/>
        <w:rPr/>
      </w:pPr>
      <w:r>
        <w:rPr/>
      </w:r>
    </w:p>
    <w:p>
      <w:pPr>
        <w:pStyle w:val="TextBody"/>
        <w:bidi w:val="0"/>
        <w:spacing w:before="0" w:after="0"/>
        <w:ind w:left="1060" w:right="0" w:hanging="0"/>
        <w:jc w:val="left"/>
        <w:rPr>
          <w:rFonts w:ascii="Times New Roman" w:hAnsi="Times New Roman"/>
          <w:caps w:val="false"/>
          <w:smallCaps w:val="false"/>
          <w:sz w:val="20"/>
        </w:rPr>
      </w:pPr>
      <w:r>
        <w:rPr>
          <w:rFonts w:ascii="Times New Roman" w:hAnsi="Times New Roman"/>
          <w:caps w:val="false"/>
          <w:smallCaps w:val="false"/>
          <w:sz w:val="20"/>
        </w:rPr>
        <w:t>(b) Any fraud, whether or not material, that involves management or other employees who have a significant role in the registrant’s internal control over financial reporting.</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31, 2026               </w:t>
      </w:r>
    </w:p>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r>
        <w:rPr>
          <w:caps w:val="false"/>
          <w:smallCaps w:val="false"/>
          <w:u w:val="single"/>
        </w:rPr>
        <w:t> </w:t>
      </w:r>
      <w:r>
        <w:rPr>
          <w:rFonts w:ascii="Times New Roman" w:hAnsi="Times New Roman"/>
          <w:caps w:val="false"/>
          <w:smallCaps w:val="false"/>
          <w:sz w:val="20"/>
          <w:u w:val="single"/>
        </w:rPr>
        <w:t xml:space="preserve">/s/ Jeffrey D. Jones                                                             </w:t>
      </w:r>
    </w:p>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r>
        <w:rPr>
          <w:caps w:val="false"/>
          <w:smallCaps w:val="false"/>
        </w:rPr>
        <w:t> </w:t>
      </w:r>
      <w:r>
        <w:rPr>
          <w:rFonts w:ascii="Times New Roman" w:hAnsi="Times New Roman"/>
          <w:caps w:val="false"/>
          <w:smallCaps w:val="false"/>
          <w:sz w:val="20"/>
        </w:rPr>
        <w:t>Jeffrey D. Jones</w:t>
        <w:br/>
        <w:t> Senior Vice President Finance &amp; Chief Financial Officer</w:t>
      </w:r>
    </w:p>
    <w:p>
      <w:pPr>
        <w:pStyle w:val="TextBody"/>
        <w:bidi w:val="0"/>
        <w:spacing w:before="0" w:after="0"/>
        <w:ind w:left="0" w:right="0" w:hanging="0"/>
        <w:jc w:val="left"/>
        <w:rPr/>
      </w:pPr>
      <w:r>
        <w:rPr/>
      </w:r>
    </w:p>
    <w:p>
      <w:pPr>
        <w:pStyle w:val="TextBody"/>
        <w:bidi w:val="0"/>
        <w:spacing w:before="0" w:after="0"/>
        <w:ind w:left="0" w:right="0" w:hanging="0"/>
        <w:jc w:val="left"/>
        <w:rPr>
          <w:caps w:val="false"/>
          <w:smallCaps w:val="false"/>
        </w:rPr>
      </w:pPr>
      <w:bookmarkStart w:id="36" w:name="ex_993166.htm"/>
      <w:bookmarkStart w:id="37" w:name="ksex_993166"/>
      <w:bookmarkEnd w:id="36"/>
      <w:bookmarkEnd w:id="37"/>
      <w:r>
        <w:rPr>
          <w:caps w:val="false"/>
          <w:smallCaps w:val="false"/>
        </w:rPr>
        <w:t> </w:t>
      </w:r>
      <w:r>
        <w:br w:type="page"/>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Exhibit 32.1</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EXECUTIVE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June 27, 2026 (the "Report"), I, Luis A. Müller, President and Chief Executive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31, 2026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Luis A. Müller,</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President &amp; Chief Executive Officer</w:t>
      </w:r>
    </w:p>
    <w:p>
      <w:pPr>
        <w:pStyle w:val="TextBody"/>
        <w:bidi w:val="0"/>
        <w:spacing w:before="0" w:after="0"/>
        <w:ind w:left="0" w:right="0" w:hanging="0"/>
        <w:jc w:val="left"/>
        <w:rPr>
          <w:caps w:val="false"/>
          <w:smallCaps w:val="false"/>
        </w:rPr>
      </w:pPr>
      <w:r>
        <w:rPr>
          <w:caps w:val="false"/>
          <w:smallCaps w:val="false"/>
        </w:rPr>
        <w:t> </w:t>
      </w:r>
    </w:p>
    <w:p>
      <w:pPr>
        <w:pStyle w:val="TextBody"/>
        <w:bidi w:val="0"/>
        <w:spacing w:before="0" w:after="283"/>
        <w:jc w:val="left"/>
        <w:rPr/>
      </w:pPr>
      <w:r>
        <w:rPr/>
        <w:t> </w:t>
      </w:r>
    </w:p>
    <w:p>
      <w:pPr>
        <w:pStyle w:val="TextBody"/>
        <w:bidi w:val="0"/>
        <w:spacing w:before="0" w:after="0"/>
        <w:ind w:left="0" w:right="0" w:hanging="0"/>
        <w:jc w:val="left"/>
        <w:rPr/>
      </w:pPr>
      <w:r>
        <w:rPr/>
      </w:r>
      <w:bookmarkStart w:id="38" w:name="ex_993165.htm"/>
      <w:bookmarkStart w:id="39" w:name="ksex_993165"/>
      <w:bookmarkStart w:id="40" w:name="ex_993165.htm"/>
      <w:bookmarkStart w:id="41" w:name="ksex_993165"/>
      <w:bookmarkEnd w:id="40"/>
      <w:bookmarkEnd w:id="41"/>
      <w:r>
        <w:br w:type="page"/>
      </w:r>
    </w:p>
    <w:p>
      <w:pPr>
        <w:pStyle w:val="TextBody"/>
        <w:bidi w:val="0"/>
        <w:spacing w:before="0" w:after="0"/>
        <w:ind w:left="160" w:right="0" w:hanging="0"/>
        <w:jc w:val="right"/>
        <w:rPr>
          <w:rFonts w:ascii="Times New Roman" w:hAnsi="Times New Roman"/>
          <w:caps w:val="false"/>
          <w:smallCaps w:val="false"/>
          <w:sz w:val="20"/>
        </w:rPr>
      </w:pPr>
      <w:r>
        <w:rPr>
          <w:rFonts w:ascii="Times New Roman" w:hAnsi="Times New Roman"/>
          <w:caps w:val="false"/>
          <w:smallCaps w:val="false"/>
          <w:sz w:val="20"/>
        </w:rPr>
        <w:t>Exhibit 32.2</w:t>
      </w:r>
    </w:p>
    <w:p>
      <w:pPr>
        <w:pStyle w:val="TextBody"/>
        <w:bidi w:val="0"/>
        <w:spacing w:before="0" w:after="0"/>
        <w:ind w:left="0" w:right="0" w:hanging="0"/>
        <w:jc w:val="left"/>
        <w:rPr/>
      </w:pPr>
      <w:r>
        <w:rPr/>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CERTIFICATION OF PRINCIPAL FINANCIAL OFFICER PURSUANT TO SECTION 906 OF THE SARBANES-OXLEY ACT OF 2002</w:t>
      </w:r>
    </w:p>
    <w:p>
      <w:pPr>
        <w:pStyle w:val="TextBody"/>
        <w:bidi w:val="0"/>
        <w:spacing w:before="0" w:after="0"/>
        <w:ind w:left="0" w:right="0" w:hanging="0"/>
        <w:jc w:val="center"/>
        <w:rPr>
          <w:rFonts w:ascii="Times New Roman" w:hAnsi="Times New Roman"/>
          <w:caps w:val="false"/>
          <w:smallCaps w:val="false"/>
          <w:sz w:val="20"/>
        </w:rPr>
      </w:pPr>
      <w:r>
        <w:rPr>
          <w:rFonts w:ascii="Times New Roman" w:hAnsi="Times New Roman"/>
          <w:caps w:val="false"/>
          <w:smallCaps w:val="false"/>
          <w:sz w:val="20"/>
        </w:rPr>
        <w:t>(18 U.S.C. SECTION 1350)</w:t>
      </w:r>
    </w:p>
    <w:p>
      <w:pPr>
        <w:pStyle w:val="TextBody"/>
        <w:bidi w:val="0"/>
        <w:spacing w:before="0" w:after="0"/>
        <w:ind w:left="0" w:right="0" w:hanging="0"/>
        <w:jc w:val="left"/>
        <w:rPr/>
      </w:pPr>
      <w:r>
        <w:rPr/>
      </w:r>
    </w:p>
    <w:p>
      <w:pPr>
        <w:pStyle w:val="TextBody"/>
        <w:bidi w:val="0"/>
        <w:spacing w:before="0" w:after="0"/>
        <w:ind w:left="0" w:right="0" w:firstLine="360"/>
        <w:jc w:val="left"/>
        <w:rPr>
          <w:rFonts w:ascii="Times New Roman" w:hAnsi="Times New Roman"/>
          <w:caps w:val="false"/>
          <w:smallCaps w:val="false"/>
          <w:sz w:val="20"/>
        </w:rPr>
      </w:pPr>
      <w:r>
        <w:rPr>
          <w:rFonts w:ascii="Times New Roman" w:hAnsi="Times New Roman"/>
          <w:caps w:val="false"/>
          <w:smallCaps w:val="false"/>
          <w:sz w:val="20"/>
        </w:rPr>
        <w:t>In connection with the accompanying Quarterly Report of Cohu, Inc. (the "Company") on Form 10-Q for the fiscal quarter ended June 27, 2026 (the "Report"), I, Jeffrey D. Jones, Senior Vice President Finance &amp; Chief Financial Officer of the Company, certify, pursuant to 18 U.S.C. Section 1350, as adopted pursuant to Section 906 of the Sarbanes-Oxley Act of 2002, that, based on my knowledge:</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(1)  The Report fully complies with the requirements of Section 13(a) or 15(d) of the Securities Exchange Act of 1934; and</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(2)  The information contained in the Report fairly presents, in all material respects, the financial condition and results of operations of the Company.</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Date: July 31, 2026             </w:t>
      </w:r>
    </w:p>
    <w:p>
      <w:pPr>
        <w:pStyle w:val="TextBody"/>
        <w:bidi w:val="0"/>
        <w:spacing w:before="0" w:after="0"/>
        <w:ind w:left="0" w:right="0" w:hanging="0"/>
        <w:jc w:val="left"/>
        <w:rPr/>
      </w:pPr>
      <w:r>
        <w:rPr/>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 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w:t>
      </w:r>
    </w:p>
    <w:p>
      <w:pPr>
        <w:pStyle w:val="TextBody"/>
        <w:bidi w:val="0"/>
        <w:spacing w:before="0" w:after="0"/>
        <w:ind w:left="0" w:right="0" w:hanging="0"/>
        <w:jc w:val="left"/>
        <w:rPr/>
      </w:pPr>
      <w:r>
        <w:rPr/>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Jeffrey D. Jones,</w:t>
      </w:r>
    </w:p>
    <w:p>
      <w:pPr>
        <w:pStyle w:val="TextBody"/>
        <w:bidi w:val="0"/>
        <w:spacing w:before="0" w:after="0"/>
        <w:ind w:left="0" w:right="0" w:hanging="0"/>
        <w:jc w:val="left"/>
        <w:rPr>
          <w:rFonts w:ascii="Times New Roman" w:hAnsi="Times New Roman"/>
          <w:caps w:val="false"/>
          <w:smallCaps w:val="false"/>
          <w:sz w:val="20"/>
        </w:rPr>
      </w:pPr>
      <w:r>
        <w:rPr>
          <w:rFonts w:ascii="Times New Roman" w:hAnsi="Times New Roman"/>
          <w:caps w:val="false"/>
          <w:smallCaps w:val="false"/>
          <w:sz w:val="20"/>
        </w:rPr>
        <w:t>Senior Vice President Finance &amp; Chief Fi</w:t>
      </w:r>
    </w:p>
    <w:p>
      <w:pPr>
        <w:pStyle w:val="TextBody"/>
        <w:bidi w:val="0"/>
        <w:spacing w:before="0" w:after="0"/>
        <w:ind w:left="0" w:right="0" w:hanging="0"/>
        <w:jc w:val="left"/>
        <w:rPr/>
      </w:pPr>
      <w:r>
        <w:rPr/>
      </w:r>
    </w:p>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Times New Roman">
    <w:altName w:val="Times"/>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http://www.sec.gov/ix?doc=/Archives/edgar/data/21535/000143774926010960/cohu20260326_def14a.htm" TargetMode="External"/><Relationship Id="rId3" Type="http://schemas.openxmlformats.org/officeDocument/2006/relationships/hyperlink" Target="http://www.sec.gov/ix?doc=/Archives/edgar/data/21535/000143774926010960/cohu20260326_def14a.htm" TargetMode="External"/><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13</Pages>
  <Words>42831</Words>
  <Characters>229807</Characters>
  <CharactersWithSpaces>274950</CharactersWithSpaces>
  <Paragraphs>8266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