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Preliminary Proxy Statement</w:t>
      </w:r>
    </w:p>
    <w:p>
      <w:pPr>
        <w:spacing w:after="0" w:line="21" w:lineRule="exact"/>
        <w:rPr>
          <w:sz w:val="20"/>
          <w:szCs w:val="20"/>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Definitive Additional Materials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Fee not required.</w:t>
      </w:r>
    </w:p>
    <w:p>
      <w:pPr>
        <w:spacing w:after="0" w:line="21"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20" w:hanging="561"/>
        <w:spacing w:after="0" w:line="275" w:lineRule="auto"/>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62"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-1502410</wp:posOffset>
            </wp:positionV>
            <wp:extent cx="6671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-1108075</wp:posOffset>
            </wp:positionV>
            <wp:extent cx="667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-575945</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-181610</wp:posOffset>
            </wp:positionV>
            <wp:extent cx="667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212090</wp:posOffset>
            </wp:positionV>
            <wp:extent cx="667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Fee paid previously with preliminary materials.</w:t>
      </w:r>
    </w:p>
    <w:p>
      <w:pPr>
        <w:spacing w:after="0" w:line="21" w:lineRule="exact"/>
        <w:rPr>
          <w:sz w:val="20"/>
          <w:szCs w:val="20"/>
          <w:color w:val="auto"/>
        </w:rPr>
      </w:pPr>
    </w:p>
    <w:p>
      <w:pPr>
        <w:ind w:left="360" w:right="700" w:hanging="352"/>
        <w:spacing w:after="0" w:line="250" w:lineRule="auto"/>
        <w:tabs>
          <w:tab w:leader="none" w:pos="1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561"/>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-970915</wp:posOffset>
            </wp:positionV>
            <wp:extent cx="6671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-575945</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-181610</wp:posOffset>
            </wp:positionV>
            <wp:extent cx="6671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212090</wp:posOffset>
            </wp:positionV>
            <wp:extent cx="6671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208280</wp:posOffset>
            </wp:positionV>
            <wp:extent cx="15951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51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144145</wp:posOffset>
            </wp:positionV>
            <wp:extent cx="1732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 Be Held On May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720" w:firstLine="216"/>
        <w:spacing w:after="0" w:line="275" w:lineRule="auto"/>
        <w:rPr>
          <w:sz w:val="20"/>
          <w:szCs w:val="20"/>
          <w:color w:val="auto"/>
        </w:rPr>
      </w:pPr>
      <w:r>
        <w:rPr>
          <w:rFonts w:ascii="Times New Roman" w:cs="Times New Roman" w:eastAsia="Times New Roman" w:hAnsi="Times New Roman"/>
          <w:sz w:val="18"/>
          <w:szCs w:val="18"/>
          <w:color w:val="auto"/>
        </w:rPr>
        <w:t>The Annual Meeting of Stockholders of Cohu, Inc. (“Cohu”) will be held at the Cohu corporate offices, located at 12367 Crosthwaite Circle, Poway, California 92064-6817 on Tuesday, May 14, 2002, at 2:00 p.m. Pacific Time, for the following purposes:</w:t>
      </w:r>
    </w:p>
    <w:p>
      <w:pPr>
        <w:spacing w:after="0" w:line="174" w:lineRule="exact"/>
        <w:rPr>
          <w:sz w:val="20"/>
          <w:szCs w:val="20"/>
          <w:color w:val="auto"/>
        </w:rPr>
      </w:pPr>
    </w:p>
    <w:p>
      <w:pPr>
        <w:ind w:left="540" w:hanging="218"/>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director, for a term of three years.</w:t>
      </w:r>
    </w:p>
    <w:p>
      <w:pPr>
        <w:spacing w:after="0" w:line="225"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Cohu 1998 Stock Option Plan, increasing the shares of stock subject to the Plan by 1,000,000.</w:t>
      </w:r>
    </w:p>
    <w:p>
      <w:pPr>
        <w:spacing w:after="0" w:line="225"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such other matters as may properly come before the meeting or any adjournment thereof.</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Only stockholders of record of Cohu at the close of business on March 18, 2002 will be entitled to vote at the meeting.</w:t>
      </w:r>
    </w:p>
    <w:p>
      <w:pPr>
        <w:spacing w:after="0" w:line="225" w:lineRule="exact"/>
        <w:rPr>
          <w:sz w:val="20"/>
          <w:szCs w:val="20"/>
          <w:color w:val="auto"/>
        </w:rPr>
      </w:pPr>
    </w:p>
    <w:p>
      <w:pPr>
        <w:ind w:right="20" w:firstLine="220"/>
        <w:spacing w:after="0" w:line="275" w:lineRule="auto"/>
        <w:rPr>
          <w:sz w:val="20"/>
          <w:szCs w:val="20"/>
          <w:color w:val="auto"/>
        </w:rPr>
      </w:pPr>
      <w:r>
        <w:rPr>
          <w:rFonts w:ascii="Times New Roman" w:cs="Times New Roman" w:eastAsia="Times New Roman" w:hAnsi="Times New Roman"/>
          <w:sz w:val="18"/>
          <w:szCs w:val="18"/>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174" w:lineRule="exact"/>
        <w:rPr>
          <w:sz w:val="20"/>
          <w:szCs w:val="20"/>
          <w:color w:val="auto"/>
        </w:rPr>
      </w:pPr>
    </w:p>
    <w:p>
      <w:pPr>
        <w:ind w:firstLine="220"/>
        <w:spacing w:after="0" w:line="258" w:lineRule="auto"/>
        <w:rPr>
          <w:sz w:val="20"/>
          <w:szCs w:val="20"/>
          <w:color w:val="auto"/>
        </w:rPr>
      </w:pPr>
      <w:r>
        <w:rPr>
          <w:rFonts w:ascii="Times New Roman" w:cs="Times New Roman" w:eastAsia="Times New Roman" w:hAnsi="Times New Roman"/>
          <w:sz w:val="18"/>
          <w:szCs w:val="18"/>
          <w:color w:val="auto"/>
        </w:rPr>
        <w:t>Please sign, date and return the enclosed proxy in the envelope enclosed for your convenience. Alternatively, certain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200" w:lineRule="exact"/>
        <w:rPr>
          <w:sz w:val="20"/>
          <w:szCs w:val="20"/>
          <w:color w:val="auto"/>
        </w:rPr>
      </w:pPr>
    </w:p>
    <w:p>
      <w:pPr>
        <w:spacing w:after="0" w:line="23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595120"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51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John H. Allen</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Secretary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2002</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5" w:lineRule="exact"/>
        <w:rPr>
          <w:sz w:val="20"/>
          <w:szCs w:val="20"/>
          <w:color w:val="auto"/>
        </w:rPr>
      </w:pPr>
    </w:p>
    <w:p>
      <w:pPr>
        <w:ind w:right="200" w:firstLine="220"/>
        <w:spacing w:after="0" w:line="264" w:lineRule="auto"/>
        <w:rPr>
          <w:sz w:val="20"/>
          <w:szCs w:val="20"/>
          <w:color w:val="auto"/>
        </w:rPr>
      </w:pPr>
      <w:r>
        <w:rPr>
          <w:rFonts w:ascii="Times New Roman" w:cs="Times New Roman" w:eastAsia="Times New Roman" w:hAnsi="Times New Roman"/>
          <w:sz w:val="18"/>
          <w:szCs w:val="18"/>
          <w:b w:val="1"/>
          <w:bCs w:val="1"/>
          <w:color w:val="auto"/>
        </w:rPr>
        <w:t>IN ORDER TO INSURE YOUR REPRESENTATION AT THE ANNUAL MEETING, YOU ARE REQUESTED TO COMPLETE, SIGN AND DATE THE ENCLOSED PROXY AS PROMPTLY AS POSSIBLE AND RETURN IT IN THE ENCLOSED POSTAGE PREPAID ENVELOPE OR, WHERE POSSIBLE, VOTE BY TELEPHONE OR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PROXY STATEMENT</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PROPOSAL NO. 1 ELECTION OF DIRECTOR</w:t>
        </w:r>
      </w:hyperlink>
    </w:p>
    <w:p>
      <w:pPr>
        <w:ind w:right="1940"/>
        <w:spacing w:after="0" w:line="230"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SECURITY OWNERSHIP OF CERTAIN BENEFICIAL OWNERS AND MANAGEMENT</w:t>
        </w:r>
      </w:hyperlink>
      <w:r>
        <w:rPr>
          <w:rFonts w:ascii="Times New Roman" w:cs="Times New Roman" w:eastAsia="Times New Roman" w:hAnsi="Times New Roman"/>
          <w:sz w:val="22"/>
          <w:szCs w:val="22"/>
          <w:u w:val="single" w:color="auto"/>
          <w:color w:val="0000EE"/>
        </w:rPr>
        <w:t xml:space="preserve"> </w:t>
      </w:r>
      <w:hyperlink w:anchor="page8">
        <w:r>
          <w:rPr>
            <w:rFonts w:ascii="Times New Roman" w:cs="Times New Roman" w:eastAsia="Times New Roman" w:hAnsi="Times New Roman"/>
            <w:sz w:val="22"/>
            <w:szCs w:val="22"/>
            <w:u w:val="single" w:color="auto"/>
            <w:color w:val="0000EE"/>
          </w:rPr>
          <w:t>BOARD OF DIRECTORS AND COMMITTEES</w:t>
        </w:r>
      </w:hyperlink>
    </w:p>
    <w:p>
      <w:pPr>
        <w:spacing w:after="0" w:line="1" w:lineRule="exact"/>
        <w:rPr>
          <w:sz w:val="20"/>
          <w:szCs w:val="20"/>
          <w:color w:val="auto"/>
        </w:rPr>
      </w:pPr>
    </w:p>
    <w:p>
      <w:pPr>
        <w:ind w:right="2860"/>
        <w:spacing w:after="0" w:line="230" w:lineRule="auto"/>
        <w:rPr>
          <w:rFonts w:ascii="Times New Roman" w:cs="Times New Roman" w:eastAsia="Times New Roman" w:hAnsi="Times New Roman"/>
          <w:sz w:val="22"/>
          <w:szCs w:val="22"/>
          <w:u w:val="single" w:color="auto"/>
          <w:color w:val="0000EE"/>
        </w:rPr>
      </w:pPr>
      <w:hyperlink w:anchor="page8">
        <w:r>
          <w:rPr>
            <w:rFonts w:ascii="Times New Roman" w:cs="Times New Roman" w:eastAsia="Times New Roman" w:hAnsi="Times New Roman"/>
            <w:sz w:val="22"/>
            <w:szCs w:val="22"/>
            <w:u w:val="single" w:color="auto"/>
            <w:color w:val="0000EE"/>
          </w:rPr>
          <w:t>COMPENSATION OF EXECUTIVE OFFICERS AND OTHER INFORMATION</w:t>
        </w:r>
      </w:hyperlink>
      <w:r>
        <w:rPr>
          <w:rFonts w:ascii="Times New Roman" w:cs="Times New Roman" w:eastAsia="Times New Roman" w:hAnsi="Times New Roman"/>
          <w:sz w:val="22"/>
          <w:szCs w:val="22"/>
          <w:u w:val="single" w:color="auto"/>
          <w:color w:val="0000EE"/>
        </w:rPr>
        <w:t xml:space="preserve"> </w:t>
      </w:r>
      <w:hyperlink w:anchor="page10">
        <w:r>
          <w:rPr>
            <w:rFonts w:ascii="Times New Roman" w:cs="Times New Roman" w:eastAsia="Times New Roman" w:hAnsi="Times New Roman"/>
            <w:sz w:val="22"/>
            <w:szCs w:val="22"/>
            <w:u w:val="single" w:color="auto"/>
            <w:color w:val="0000EE"/>
          </w:rPr>
          <w:t>OPTION GRANTS IN LAST FISCAL YEAR</w:t>
        </w:r>
      </w:hyperlink>
    </w:p>
    <w:p>
      <w:pPr>
        <w:spacing w:after="0" w:line="1" w:lineRule="exact"/>
        <w:rPr>
          <w:sz w:val="20"/>
          <w:szCs w:val="20"/>
          <w:color w:val="auto"/>
        </w:rPr>
      </w:pPr>
    </w:p>
    <w:p>
      <w:pPr>
        <w:spacing w:after="0"/>
        <w:rPr>
          <w:rFonts w:ascii="Times New Roman" w:cs="Times New Roman" w:eastAsia="Times New Roman" w:hAnsi="Times New Roman"/>
          <w:sz w:val="21"/>
          <w:szCs w:val="21"/>
          <w:u w:val="single" w:color="auto"/>
          <w:color w:val="0000EE"/>
        </w:rPr>
      </w:pPr>
      <w:hyperlink w:anchor="page10">
        <w:r>
          <w:rPr>
            <w:rFonts w:ascii="Times New Roman" w:cs="Times New Roman" w:eastAsia="Times New Roman" w:hAnsi="Times New Roman"/>
            <w:sz w:val="21"/>
            <w:szCs w:val="21"/>
            <w:u w:val="single" w:color="auto"/>
            <w:color w:val="0000EE"/>
          </w:rPr>
          <w:t>AGGREGATED OPTION EXERCISES IN LAST FISCAL YEAR AND FISCAL YEAR-END OPTION VALUES</w:t>
        </w:r>
      </w:hyperlink>
    </w:p>
    <w:p>
      <w:pPr>
        <w:spacing w:after="0" w:line="232" w:lineRule="auto"/>
        <w:rPr>
          <w:rFonts w:ascii="Times New Roman" w:cs="Times New Roman" w:eastAsia="Times New Roman" w:hAnsi="Times New Roman"/>
          <w:sz w:val="22"/>
          <w:szCs w:val="22"/>
          <w:u w:val="single" w:color="auto"/>
          <w:color w:val="0000EE"/>
        </w:rPr>
      </w:pPr>
      <w:hyperlink w:anchor="page10">
        <w:r>
          <w:rPr>
            <w:rFonts w:ascii="Times New Roman" w:cs="Times New Roman" w:eastAsia="Times New Roman" w:hAnsi="Times New Roman"/>
            <w:sz w:val="22"/>
            <w:szCs w:val="22"/>
            <w:u w:val="single" w:color="auto"/>
            <w:color w:val="0000EE"/>
          </w:rPr>
          <w:t>AUDIT COMMITTEE REPORT</w:t>
        </w:r>
      </w:hyperlink>
    </w:p>
    <w:p>
      <w:pPr>
        <w:spacing w:after="0" w:line="230" w:lineRule="auto"/>
        <w:rPr>
          <w:rFonts w:ascii="Times New Roman" w:cs="Times New Roman" w:eastAsia="Times New Roman" w:hAnsi="Times New Roman"/>
          <w:sz w:val="22"/>
          <w:szCs w:val="22"/>
          <w:u w:val="single" w:color="auto"/>
          <w:color w:val="0000EE"/>
        </w:rPr>
      </w:pPr>
      <w:hyperlink w:anchor="page11">
        <w:r>
          <w:rPr>
            <w:rFonts w:ascii="Times New Roman" w:cs="Times New Roman" w:eastAsia="Times New Roman" w:hAnsi="Times New Roman"/>
            <w:sz w:val="22"/>
            <w:szCs w:val="22"/>
            <w:u w:val="single" w:color="auto"/>
            <w:color w:val="0000EE"/>
          </w:rPr>
          <w:t>AUDIT AND RELATED FEES</w:t>
        </w:r>
      </w:hyperlink>
    </w:p>
    <w:p>
      <w:pPr>
        <w:spacing w:after="0" w:line="231" w:lineRule="auto"/>
        <w:rPr>
          <w:rFonts w:ascii="Times New Roman" w:cs="Times New Roman" w:eastAsia="Times New Roman" w:hAnsi="Times New Roman"/>
          <w:sz w:val="22"/>
          <w:szCs w:val="22"/>
          <w:u w:val="single" w:color="auto"/>
          <w:color w:val="0000EE"/>
        </w:rPr>
      </w:pPr>
      <w:hyperlink w:anchor="page11">
        <w:r>
          <w:rPr>
            <w:rFonts w:ascii="Times New Roman" w:cs="Times New Roman" w:eastAsia="Times New Roman" w:hAnsi="Times New Roman"/>
            <w:sz w:val="22"/>
            <w:szCs w:val="22"/>
            <w:u w:val="single" w:color="auto"/>
            <w:color w:val="0000EE"/>
          </w:rPr>
          <w:t>COMPENSATION COMMITTEE REPORT</w:t>
        </w:r>
      </w:hyperlink>
    </w:p>
    <w:p>
      <w:pPr>
        <w:ind w:right="2580"/>
        <w:spacing w:after="0" w:line="230" w:lineRule="auto"/>
        <w:rPr>
          <w:rFonts w:ascii="Times New Roman" w:cs="Times New Roman" w:eastAsia="Times New Roman" w:hAnsi="Times New Roman"/>
          <w:sz w:val="22"/>
          <w:szCs w:val="22"/>
          <w:u w:val="single" w:color="auto"/>
          <w:color w:val="0000EE"/>
        </w:rPr>
      </w:pPr>
      <w:hyperlink w:anchor="page12">
        <w:r>
          <w:rPr>
            <w:rFonts w:ascii="Times New Roman" w:cs="Times New Roman" w:eastAsia="Times New Roman" w:hAnsi="Times New Roman"/>
            <w:sz w:val="22"/>
            <w:szCs w:val="22"/>
            <w:u w:val="single" w:color="auto"/>
            <w:color w:val="0000EE"/>
          </w:rPr>
          <w:t>COMPENSATION COMMITTEE INTERLOCKS AND INSIDER PARTICIPATION</w:t>
        </w:r>
      </w:hyperlink>
      <w:r>
        <w:rPr>
          <w:rFonts w:ascii="Times New Roman" w:cs="Times New Roman" w:eastAsia="Times New Roman" w:hAnsi="Times New Roman"/>
          <w:sz w:val="22"/>
          <w:szCs w:val="22"/>
          <w:u w:val="single" w:color="auto"/>
          <w:color w:val="0000EE"/>
        </w:rPr>
        <w:t xml:space="preserve"> </w:t>
      </w:r>
      <w:hyperlink w:anchor="page13">
        <w:r>
          <w:rPr>
            <w:rFonts w:ascii="Times New Roman" w:cs="Times New Roman" w:eastAsia="Times New Roman" w:hAnsi="Times New Roman"/>
            <w:sz w:val="22"/>
            <w:szCs w:val="22"/>
            <w:u w:val="single" w:color="auto"/>
            <w:color w:val="0000EE"/>
          </w:rPr>
          <w:t>COMPARATIVE STOCK PERFORMANCE GRAPH</w:t>
        </w:r>
      </w:hyperlink>
    </w:p>
    <w:p>
      <w:pPr>
        <w:spacing w:after="0" w:line="1" w:lineRule="exact"/>
        <w:rPr>
          <w:sz w:val="20"/>
          <w:szCs w:val="20"/>
          <w:color w:val="auto"/>
        </w:rPr>
      </w:pPr>
    </w:p>
    <w:p>
      <w:pPr>
        <w:ind w:right="2680"/>
        <w:spacing w:after="0" w:line="230" w:lineRule="auto"/>
        <w:rPr>
          <w:rFonts w:ascii="Times New Roman" w:cs="Times New Roman" w:eastAsia="Times New Roman" w:hAnsi="Times New Roman"/>
          <w:sz w:val="22"/>
          <w:szCs w:val="22"/>
          <w:u w:val="single" w:color="auto"/>
          <w:color w:val="0000EE"/>
        </w:rPr>
      </w:pPr>
      <w:hyperlink w:anchor="page13">
        <w:r>
          <w:rPr>
            <w:rFonts w:ascii="Times New Roman" w:cs="Times New Roman" w:eastAsia="Times New Roman" w:hAnsi="Times New Roman"/>
            <w:sz w:val="22"/>
            <w:szCs w:val="22"/>
            <w:u w:val="single" w:color="auto"/>
            <w:color w:val="0000EE"/>
          </w:rPr>
          <w:t>PROPOSAL NO. 2 AMENDMENT TO THE COHU 1998 STOCK OPTION PLAN</w:t>
        </w:r>
      </w:hyperlink>
      <w:r>
        <w:rPr>
          <w:rFonts w:ascii="Times New Roman" w:cs="Times New Roman" w:eastAsia="Times New Roman" w:hAnsi="Times New Roman"/>
          <w:sz w:val="22"/>
          <w:szCs w:val="22"/>
          <w:u w:val="single" w:color="auto"/>
          <w:color w:val="0000EE"/>
        </w:rPr>
        <w:t xml:space="preserve"> </w:t>
      </w:r>
      <w:hyperlink w:anchor="page16">
        <w:r>
          <w:rPr>
            <w:rFonts w:ascii="Times New Roman" w:cs="Times New Roman" w:eastAsia="Times New Roman" w:hAnsi="Times New Roman"/>
            <w:sz w:val="22"/>
            <w:szCs w:val="22"/>
            <w:u w:val="single" w:color="auto"/>
            <w:color w:val="0000EE"/>
          </w:rPr>
          <w:t>INDEPENDENT AUDITORS</w:t>
        </w:r>
      </w:hyperlink>
    </w:p>
    <w:p>
      <w:pPr>
        <w:spacing w:after="0" w:line="1" w:lineRule="exact"/>
        <w:rPr>
          <w:sz w:val="20"/>
          <w:szCs w:val="20"/>
          <w:color w:val="auto"/>
        </w:rPr>
      </w:pPr>
    </w:p>
    <w:p>
      <w:pPr>
        <w:ind w:right="3260"/>
        <w:spacing w:after="0" w:line="230" w:lineRule="auto"/>
        <w:rPr>
          <w:rFonts w:ascii="Times New Roman" w:cs="Times New Roman" w:eastAsia="Times New Roman" w:hAnsi="Times New Roman"/>
          <w:sz w:val="22"/>
          <w:szCs w:val="22"/>
          <w:u w:val="single" w:color="auto"/>
          <w:color w:val="0000EE"/>
        </w:rPr>
      </w:pPr>
      <w:hyperlink w:anchor="page16">
        <w:r>
          <w:rPr>
            <w:rFonts w:ascii="Times New Roman" w:cs="Times New Roman" w:eastAsia="Times New Roman" w:hAnsi="Times New Roman"/>
            <w:sz w:val="22"/>
            <w:szCs w:val="22"/>
            <w:u w:val="single" w:color="auto"/>
            <w:color w:val="0000EE"/>
          </w:rPr>
          <w:t>SECTION 16(a) BENEFICIAL OWNERSHIP REPORTING COMPLIANCE</w:t>
        </w:r>
      </w:hyperlink>
      <w:r>
        <w:rPr>
          <w:rFonts w:ascii="Times New Roman" w:cs="Times New Roman" w:eastAsia="Times New Roman" w:hAnsi="Times New Roman"/>
          <w:sz w:val="22"/>
          <w:szCs w:val="22"/>
          <w:u w:val="single" w:color="auto"/>
          <w:color w:val="0000EE"/>
        </w:rPr>
        <w:t xml:space="preserve"> </w:t>
      </w:r>
      <w:hyperlink w:anchor="page17">
        <w:r>
          <w:rPr>
            <w:rFonts w:ascii="Times New Roman" w:cs="Times New Roman" w:eastAsia="Times New Roman" w:hAnsi="Times New Roman"/>
            <w:sz w:val="22"/>
            <w:szCs w:val="22"/>
            <w:u w:val="single" w:color="auto"/>
            <w:color w:val="0000EE"/>
          </w:rPr>
          <w:t>OTHER MATTERS</w:t>
        </w:r>
      </w:hyperlink>
    </w:p>
    <w:p>
      <w:pPr>
        <w:spacing w:after="0" w:line="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17">
        <w:r>
          <w:rPr>
            <w:rFonts w:ascii="Times New Roman" w:cs="Times New Roman" w:eastAsia="Times New Roman" w:hAnsi="Times New Roman"/>
            <w:sz w:val="22"/>
            <w:szCs w:val="22"/>
            <w:u w:val="single" w:color="auto"/>
            <w:color w:val="0000EE"/>
          </w:rPr>
          <w:t>STOCKHOLDER PROPOSALS — 2003 ANNUAL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820" w:top="108" w:right="10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COHU, INC.</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144145</wp:posOffset>
            </wp:positionV>
            <wp:extent cx="1732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82550</wp:posOffset>
            </wp:positionV>
            <wp:extent cx="17322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INFORMATION</w:t>
      </w:r>
    </w:p>
    <w:p>
      <w:pPr>
        <w:spacing w:after="0" w:line="223"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Cohu, Inc., a Delaware corporation (“Cohu”), of your Proxy for use at the Annual Meeting of Stockholders to be held on Tuesday, May 14, 2002, at 2:00 p.m. Pacific Time at the Cohu corporate offices, located at 12367 Crosthwaite Circle, Poway, California 92064-6817 (the “Meeting”). This Proxy Statement and the accompanying Proxy are being mailed to all stockholders on or about April 1, 2002. Any stockholder may revoke a proxy at any time before it is voted at the Meeting by filing a later dated proxy or written notice of revocation with Cohu’s Secretary or by voting in person at the Meeting.</w:t>
      </w:r>
    </w:p>
    <w:p>
      <w:pPr>
        <w:spacing w:after="0" w:line="193" w:lineRule="exact"/>
        <w:rPr>
          <w:sz w:val="20"/>
          <w:szCs w:val="20"/>
          <w:color w:val="auto"/>
        </w:rPr>
      </w:pPr>
    </w:p>
    <w:p>
      <w:pPr>
        <w:ind w:firstLine="220"/>
        <w:spacing w:after="0" w:line="256" w:lineRule="auto"/>
        <w:rPr>
          <w:sz w:val="20"/>
          <w:szCs w:val="20"/>
          <w:color w:val="auto"/>
        </w:rPr>
      </w:pPr>
      <w:r>
        <w:rPr>
          <w:rFonts w:ascii="Times New Roman" w:cs="Times New Roman" w:eastAsia="Times New Roman" w:hAnsi="Times New Roman"/>
          <w:sz w:val="18"/>
          <w:szCs w:val="18"/>
          <w:color w:val="auto"/>
        </w:rPr>
        <w:t>On March 18, 2002, the record date fixed by the Board of Directors, Cohu had outstanding 20,660,900 shares of Common Stock. 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There is only one director nominee to be voted on at the Meeting and as a result cumulative voting will have no relevance.</w:t>
      </w:r>
    </w:p>
    <w:p>
      <w:pPr>
        <w:spacing w:after="0" w:line="193"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8"/>
          <w:szCs w:val="18"/>
          <w:color w:val="auto"/>
        </w:rPr>
        <w:t>To conduct any business at the Meeting, a quorum must be present. A quorum generally consists of a majority of the shares entitled to vote being present or represented by proxy at the Meeting. If a quorum is present, a plurality vote (i.e. an excess of votes over those cast for an opposing candidate) of the shares present, in person or by proxy, at the Meeting and entitled to vote is required for the election of directors. The affirmative vote of a majority of shares present in person or represented by proxy is required for approval of the amendment to the Cohu 1998 Stock Option Plan.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the director and FOR the approval of the amendment to the Cohu 1998 Stock Option Plan.</w:t>
      </w:r>
    </w:p>
    <w:p>
      <w:pPr>
        <w:spacing w:after="0" w:line="192" w:lineRule="exact"/>
        <w:rPr>
          <w:sz w:val="20"/>
          <w:szCs w:val="20"/>
          <w:color w:val="auto"/>
        </w:rPr>
      </w:pPr>
    </w:p>
    <w:p>
      <w:pPr>
        <w:ind w:right="240" w:firstLine="210"/>
        <w:spacing w:after="0" w:line="262" w:lineRule="auto"/>
        <w:rPr>
          <w:sz w:val="20"/>
          <w:szCs w:val="20"/>
          <w:color w:val="auto"/>
        </w:rPr>
      </w:pPr>
      <w:r>
        <w:rPr>
          <w:rFonts w:ascii="Times New Roman" w:cs="Times New Roman" w:eastAsia="Times New Roman" w:hAnsi="Times New Roman"/>
          <w:sz w:val="18"/>
          <w:szCs w:val="18"/>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12367 Crosthwaite Circle, Poway, California 92064-6817, for the examination of any stockholder during normal business hours for a period of ten days immediately prior to the Meeting.</w:t>
      </w:r>
    </w:p>
    <w:p>
      <w:pPr>
        <w:spacing w:after="0" w:line="186" w:lineRule="exact"/>
        <w:rPr>
          <w:sz w:val="20"/>
          <w:szCs w:val="20"/>
          <w:color w:val="auto"/>
        </w:rPr>
      </w:pPr>
    </w:p>
    <w:p>
      <w:pPr>
        <w:ind w:right="120" w:firstLine="220"/>
        <w:spacing w:after="0" w:line="262" w:lineRule="auto"/>
        <w:rPr>
          <w:sz w:val="20"/>
          <w:szCs w:val="20"/>
          <w:color w:val="auto"/>
        </w:rPr>
      </w:pPr>
      <w:r>
        <w:rPr>
          <w:rFonts w:ascii="Times New Roman" w:cs="Times New Roman" w:eastAsia="Times New Roman" w:hAnsi="Times New Roman"/>
          <w:sz w:val="18"/>
          <w:szCs w:val="18"/>
          <w:color w:val="auto"/>
        </w:rPr>
        <w:t>Proxies will be solicited by mail and may be solicited in person or by telephone, facsimile transmission and the internet. Directors and officers may engage in such solicitation but will not be entitled to any additional compensation for such efforts. Cohu will bear the entire cost of any such solicitation. Votes will be tabulated by Cohu’s Transfer Agent, Mellon Investor Services LLC.</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w:t>
      </w:r>
    </w:p>
    <w:p>
      <w:pPr>
        <w:spacing w:after="0" w:line="227" w:lineRule="exact"/>
        <w:rPr>
          <w:sz w:val="20"/>
          <w:szCs w:val="20"/>
          <w:color w:val="auto"/>
        </w:rPr>
      </w:pPr>
    </w:p>
    <w:p>
      <w:pPr>
        <w:ind w:right="100" w:firstLine="216"/>
        <w:spacing w:after="0" w:line="255" w:lineRule="auto"/>
        <w:rPr>
          <w:sz w:val="20"/>
          <w:szCs w:val="20"/>
          <w:color w:val="auto"/>
        </w:rPr>
      </w:pPr>
      <w:r>
        <w:rPr>
          <w:rFonts w:ascii="Times New Roman" w:cs="Times New Roman" w:eastAsia="Times New Roman" w:hAnsi="Times New Roman"/>
          <w:sz w:val="18"/>
          <w:szCs w:val="18"/>
          <w:color w:val="auto"/>
        </w:rPr>
        <w:t xml:space="preserve">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one director is to be elected for a term expiring in 2005. It is intended that the shares represented by proxies in the accompanying form will be voted by the proxy holders for the election of the nominee named below. Should the nominee decline or become unable to accept nomination or election, which is not anticipated, the proxies will be voted for such substitute nominee as may be designated by a majority of the Board of Directors. </w:t>
      </w:r>
      <w:r>
        <w:rPr>
          <w:rFonts w:ascii="Times New Roman" w:cs="Times New Roman" w:eastAsia="Times New Roman" w:hAnsi="Times New Roman"/>
          <w:sz w:val="18"/>
          <w:szCs w:val="18"/>
          <w:b w:val="1"/>
          <w:bCs w:val="1"/>
          <w:color w:val="auto"/>
        </w:rPr>
        <w:t>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recommends a vote in favor of the nominee named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Term Expiring in 2005 — Class 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Director</w:t>
            </w:r>
          </w:p>
        </w:tc>
      </w:tr>
      <w:tr>
        <w:trPr>
          <w:trHeight w:val="178"/>
        </w:trPr>
        <w:tc>
          <w:tcPr>
            <w:tcW w:w="20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40" w:type="dxa"/>
            <w:vAlign w:val="bottom"/>
          </w:tcPr>
          <w:p>
            <w:pPr>
              <w:spacing w:after="0"/>
              <w:rPr>
                <w:sz w:val="15"/>
                <w:szCs w:val="15"/>
                <w:color w:val="auto"/>
              </w:rPr>
            </w:pPr>
          </w:p>
        </w:tc>
        <w:tc>
          <w:tcPr>
            <w:tcW w:w="726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3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r>
      <w:tr>
        <w:trPr>
          <w:trHeight w:val="95"/>
        </w:trPr>
        <w:tc>
          <w:tcPr>
            <w:tcW w:w="2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Charles A. Schwan</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62</w:t>
            </w: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Chairman of the Board; Retired Chief Executive Officer of Cohu since June 2000; Chairman and Chief</w:t>
            </w:r>
          </w:p>
        </w:tc>
        <w:tc>
          <w:tcPr>
            <w:tcW w:w="10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1990</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Executive Officer of Cohu from July 1999 to June 2000; President and Chief Executive Officer of</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Cohu from March 1996 to July 1999; Executive Vice President and Chief Operating Officer of Cohu</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from September 1995 to March 1996; Vice President, Finance of Cohu from 1983 until September</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8"/>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1995</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60" w:type="dxa"/>
            <w:vAlign w:val="bottom"/>
          </w:tcPr>
          <w:p>
            <w:pPr>
              <w:jc w:val="center"/>
              <w:ind w:right="2027"/>
              <w:spacing w:after="0"/>
              <w:rPr>
                <w:sz w:val="20"/>
                <w:szCs w:val="20"/>
                <w:color w:val="auto"/>
              </w:rPr>
            </w:pPr>
            <w:r>
              <w:rPr>
                <w:rFonts w:ascii="Times New Roman" w:cs="Times New Roman" w:eastAsia="Times New Roman" w:hAnsi="Times New Roman"/>
                <w:sz w:val="18"/>
                <w:szCs w:val="18"/>
                <w:b w:val="1"/>
                <w:bCs w:val="1"/>
                <w:color w:val="auto"/>
                <w:w w:val="97"/>
              </w:rPr>
              <w:t>INFORMATION CONCERNING OTHER DIRECTORS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Directors Whose Terms Expire in 2003 — Class 2</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93"/>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Director</w:t>
            </w:r>
          </w:p>
        </w:tc>
      </w:tr>
      <w:tr>
        <w:trPr>
          <w:trHeight w:val="178"/>
        </w:trPr>
        <w:tc>
          <w:tcPr>
            <w:tcW w:w="20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40" w:type="dxa"/>
            <w:vAlign w:val="bottom"/>
          </w:tcPr>
          <w:p>
            <w:pPr>
              <w:spacing w:after="0"/>
              <w:rPr>
                <w:sz w:val="15"/>
                <w:szCs w:val="15"/>
                <w:color w:val="auto"/>
              </w:rPr>
            </w:pPr>
          </w:p>
        </w:tc>
        <w:tc>
          <w:tcPr>
            <w:tcW w:w="726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3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r>
      <w:tr>
        <w:trPr>
          <w:trHeight w:val="95"/>
        </w:trPr>
        <w:tc>
          <w:tcPr>
            <w:tcW w:w="2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Harry L. Casari</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65</w:t>
            </w: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Retired Partner, Ernst &amp; Young LLP; Mr. Casari is also a director of Meade Instruments</w:t>
            </w:r>
          </w:p>
        </w:tc>
        <w:tc>
          <w:tcPr>
            <w:tcW w:w="10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1995</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Harold Harrigian</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67</w:t>
            </w: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Retired Partner and Director of Corporate Finance, Crowell, Weedon &amp; Co.; Mr. Harrigian is also a</w:t>
            </w:r>
          </w:p>
        </w:tc>
        <w:tc>
          <w:tcPr>
            <w:tcW w:w="10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1998</w:t>
            </w:r>
          </w:p>
        </w:tc>
      </w:tr>
      <w:tr>
        <w:trPr>
          <w:trHeight w:val="228"/>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of First Mortgage Corporation</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2"/>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Directors Whose Terms Expire in 2004 — Class 3</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93"/>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Director</w:t>
            </w:r>
          </w:p>
        </w:tc>
      </w:tr>
      <w:tr>
        <w:trPr>
          <w:trHeight w:val="178"/>
        </w:trPr>
        <w:tc>
          <w:tcPr>
            <w:tcW w:w="20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40" w:type="dxa"/>
            <w:vAlign w:val="bottom"/>
          </w:tcPr>
          <w:p>
            <w:pPr>
              <w:spacing w:after="0"/>
              <w:rPr>
                <w:sz w:val="15"/>
                <w:szCs w:val="15"/>
                <w:color w:val="auto"/>
              </w:rPr>
            </w:pPr>
          </w:p>
        </w:tc>
        <w:tc>
          <w:tcPr>
            <w:tcW w:w="726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3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r>
      <w:tr>
        <w:trPr>
          <w:trHeight w:val="95"/>
        </w:trPr>
        <w:tc>
          <w:tcPr>
            <w:tcW w:w="2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James W. Barnes</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72</w:t>
            </w: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Retired President and Chief Executive Officer of Cohu from 1983 to March 1996</w:t>
            </w:r>
          </w:p>
        </w:tc>
        <w:tc>
          <w:tcPr>
            <w:tcW w:w="10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1983</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53</w:t>
            </w: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President and Chief Executive Officer of Cohu since June 2000; President and Chief Operating Officer</w:t>
            </w:r>
          </w:p>
        </w:tc>
        <w:tc>
          <w:tcPr>
            <w:tcW w:w="10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1999</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Cohu from October 1999 to June 2000; President of Cohu Semiconductor Equipment Group from</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May 1998 to October 1999; President of Delta Design, Inc., a wholly owned subsidiary of Cohu, since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8"/>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1983</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0" w:type="dxa"/>
            <w:vAlign w:val="bottom"/>
            <w:gridSpan w:val="2"/>
          </w:tcPr>
          <w:p>
            <w:pPr>
              <w:jc w:val="right"/>
              <w:ind w:right="4567"/>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2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7" w:lineRule="exact"/>
        <w:rPr>
          <w:sz w:val="20"/>
          <w:szCs w:val="20"/>
          <w:color w:val="auto"/>
        </w:rPr>
      </w:pPr>
    </w:p>
    <w:p>
      <w:pPr>
        <w:jc w:val="both"/>
        <w:ind w:firstLine="216"/>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Cohu’s Common Stock as of February 14, 2002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200" w:lineRule="exact"/>
        <w:rPr>
          <w:sz w:val="20"/>
          <w:szCs w:val="20"/>
          <w:color w:val="auto"/>
        </w:rPr>
      </w:pP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 &amp; Nature of</w:t>
            </w:r>
          </w:p>
        </w:tc>
        <w:tc>
          <w:tcPr>
            <w:tcW w:w="340" w:type="dxa"/>
            <w:vAlign w:val="bottom"/>
          </w:tcPr>
          <w:p>
            <w:pPr>
              <w:spacing w:after="0"/>
              <w:rPr>
                <w:sz w:val="13"/>
                <w:szCs w:val="13"/>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8"/>
        </w:trPr>
        <w:tc>
          <w:tcPr>
            <w:tcW w:w="484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0" w:type="dxa"/>
            <w:vAlign w:val="bottom"/>
          </w:tcPr>
          <w:p>
            <w:pPr>
              <w:spacing w:after="0"/>
              <w:rPr>
                <w:sz w:val="15"/>
                <w:szCs w:val="15"/>
                <w:color w:val="auto"/>
              </w:rPr>
            </w:pPr>
          </w:p>
        </w:tc>
        <w:tc>
          <w:tcPr>
            <w:tcW w:w="2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Beneficial Ownership (1)</w:t>
            </w:r>
          </w:p>
        </w:tc>
        <w:tc>
          <w:tcPr>
            <w:tcW w:w="34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of Class (2)</w:t>
            </w:r>
          </w:p>
        </w:tc>
      </w:tr>
      <w:tr>
        <w:trPr>
          <w:trHeight w:val="95"/>
        </w:trPr>
        <w:tc>
          <w:tcPr>
            <w:tcW w:w="48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30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Putnam Investments, LLC</w:t>
            </w:r>
          </w:p>
        </w:tc>
        <w:tc>
          <w:tcPr>
            <w:tcW w:w="25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1,368,848(3)</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One Post Office Square</w:t>
            </w: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Boston, MA 02109</w:t>
            </w: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Nicholas J. Cedrone</w:t>
            </w:r>
          </w:p>
        </w:tc>
        <w:tc>
          <w:tcPr>
            <w:tcW w:w="25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1,336,138(4)</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One Monarch Drive</w:t>
            </w: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Littleton, MA 01460</w:t>
            </w: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Franklin Advisory Services, LLC</w:t>
            </w:r>
          </w:p>
        </w:tc>
        <w:tc>
          <w:tcPr>
            <w:tcW w:w="25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1,228,200(5)</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One Parker Plaza, Sixteenth Floor</w:t>
            </w: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Fort Lee, NJ 07024</w:t>
            </w: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John H. Allen</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123,750</w:t>
            </w:r>
          </w:p>
        </w:tc>
        <w:tc>
          <w:tcPr>
            <w:tcW w:w="11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James W. Barnes</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376,590</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Harry L. Casari</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11,600</w:t>
            </w:r>
          </w:p>
        </w:tc>
        <w:tc>
          <w:tcPr>
            <w:tcW w:w="11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221,100</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Harold Harrigian</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11,600</w:t>
            </w:r>
          </w:p>
        </w:tc>
        <w:tc>
          <w:tcPr>
            <w:tcW w:w="11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Charles A. Schwan</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372,892</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p>
        </w:tc>
        <w:tc>
          <w:tcPr>
            <w:tcW w:w="25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1,117,532</w:t>
            </w: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5"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 w:lineRule="exact"/>
        <w:rPr>
          <w:sz w:val="20"/>
          <w:szCs w:val="20"/>
          <w:color w:val="auto"/>
        </w:rPr>
      </w:pPr>
    </w:p>
    <w:p>
      <w:pPr>
        <w:ind w:left="540" w:right="220" w:hanging="532"/>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105,222, 10,000, 126,288, 10,000, 168,000 and 419,510 shares issuable upon exercise of stock options held by Mr. Allen, Mr. Casari, Mr. Donahue, Mr. Harrigian and Mr. Schwan and all directors and executive officers as a group, respectively, that were exercisable on or within 60 days of February 14, 2002.</w:t>
      </w:r>
    </w:p>
    <w:p>
      <w:pPr>
        <w:spacing w:after="0" w:line="1" w:lineRule="exact"/>
        <w:rPr>
          <w:rFonts w:ascii="Times New Roman" w:cs="Times New Roman" w:eastAsia="Times New Roman" w:hAnsi="Times New Roman"/>
          <w:sz w:val="18"/>
          <w:szCs w:val="18"/>
          <w:color w:val="auto"/>
        </w:rPr>
      </w:pPr>
    </w:p>
    <w:p>
      <w:pPr>
        <w:ind w:left="540" w:right="140" w:hanging="532"/>
        <w:spacing w:after="0" w:line="281" w:lineRule="auto"/>
        <w:tabs>
          <w:tab w:leader="none" w:pos="5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Computed on the basis of 20,593,000 shares of common stock outstanding as of February 14, 2002, plus, with respect to each person holding options to purchase common stock exercisable within 60 days of February 14, 2002, the number of shares of common stock issuable upon exercise thereof.</w:t>
      </w:r>
    </w:p>
    <w:p>
      <w:pPr>
        <w:spacing w:after="0" w:line="1" w:lineRule="exact"/>
        <w:rPr>
          <w:rFonts w:ascii="Times New Roman" w:cs="Times New Roman" w:eastAsia="Times New Roman" w:hAnsi="Times New Roman"/>
          <w:sz w:val="16"/>
          <w:szCs w:val="16"/>
          <w:color w:val="auto"/>
        </w:rPr>
      </w:pPr>
    </w:p>
    <w:p>
      <w:pPr>
        <w:ind w:left="540" w:right="20" w:hanging="532"/>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 filed with the Securities and Exchange Commission on February 13, 2002, Putnam Investments, LLC. reported that it had no sole voting or dispositive power with respect to these shares and shared voting and dispositive power with respect to 344,674 and 1,368,848 shares, respectively</w:t>
      </w:r>
    </w:p>
    <w:p>
      <w:pPr>
        <w:spacing w:after="0" w:line="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13G/A filed with the Securities and Exchange Commission on February 5, 2002.</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13G/A filed with the Securities and Exchange Commission on February 14, 2002.</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 AND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of the Board of Directors</w:t>
      </w:r>
    </w:p>
    <w:p>
      <w:pPr>
        <w:spacing w:after="0" w:line="227" w:lineRule="exact"/>
        <w:rPr>
          <w:sz w:val="20"/>
          <w:szCs w:val="20"/>
          <w:color w:val="auto"/>
        </w:rPr>
      </w:pPr>
    </w:p>
    <w:p>
      <w:pPr>
        <w:ind w:right="140" w:firstLine="216"/>
        <w:spacing w:after="0" w:line="275" w:lineRule="auto"/>
        <w:rPr>
          <w:sz w:val="20"/>
          <w:szCs w:val="20"/>
          <w:color w:val="auto"/>
        </w:rPr>
      </w:pPr>
      <w:r>
        <w:rPr>
          <w:rFonts w:ascii="Times New Roman" w:cs="Times New Roman" w:eastAsia="Times New Roman" w:hAnsi="Times New Roman"/>
          <w:sz w:val="18"/>
          <w:szCs w:val="18"/>
          <w:color w:val="auto"/>
        </w:rPr>
        <w:t>The Board of Directors held a total of nine meetings during 2001. Each director attended at least 75% of all Board and applicable committee meetings during 2001.</w:t>
      </w:r>
    </w:p>
    <w:p>
      <w:pPr>
        <w:spacing w:after="0" w:line="174" w:lineRule="exact"/>
        <w:rPr>
          <w:sz w:val="20"/>
          <w:szCs w:val="20"/>
          <w:color w:val="auto"/>
        </w:rPr>
      </w:pPr>
    </w:p>
    <w:p>
      <w:pPr>
        <w:jc w:val="both"/>
        <w:ind w:right="20" w:firstLine="216"/>
        <w:spacing w:after="0" w:line="293" w:lineRule="auto"/>
        <w:rPr>
          <w:sz w:val="20"/>
          <w:szCs w:val="20"/>
          <w:color w:val="auto"/>
        </w:rPr>
      </w:pPr>
      <w:r>
        <w:rPr>
          <w:rFonts w:ascii="Times New Roman" w:cs="Times New Roman" w:eastAsia="Times New Roman" w:hAnsi="Times New Roman"/>
          <w:sz w:val="16"/>
          <w:szCs w:val="16"/>
          <w:color w:val="auto"/>
        </w:rPr>
        <w:t>The Board of Directors has established two standing committees: the Audit Committee and the Compensation Committee. The Audit Committee, composed of Messrs. Harrigian (Chairman), Barnes and Casari is the principal link between the Board and Cohu’s independent auditors and monitors audit, internal accounting control and financial reporting processes and procedures. The Audit Committee held five meetings during 2001. The Compensation Committee, also consisting of Messrs. Casari (Chairman), Barnes and Harrigian, recommends to the Board of Directors the compensation structure for the officers of Cohu and each subsidiary. In addition, the Compensation Committee has the responsibility for administration of Cohu’s stock option, stock purchase and incentive compensation plans. The Compensation Committee held five meetings in 2001. The Board does not have a nominating committee or a committee that serves a similar function.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227" w:lineRule="exact"/>
        <w:rPr>
          <w:sz w:val="20"/>
          <w:szCs w:val="20"/>
          <w:color w:val="auto"/>
        </w:rPr>
      </w:pPr>
    </w:p>
    <w:p>
      <w:pPr>
        <w:ind w:firstLine="220"/>
        <w:spacing w:after="0" w:line="256" w:lineRule="auto"/>
        <w:rPr>
          <w:sz w:val="20"/>
          <w:szCs w:val="20"/>
          <w:color w:val="auto"/>
        </w:rPr>
      </w:pPr>
      <w:r>
        <w:rPr>
          <w:rFonts w:ascii="Times New Roman" w:cs="Times New Roman" w:eastAsia="Times New Roman" w:hAnsi="Times New Roman"/>
          <w:sz w:val="18"/>
          <w:szCs w:val="18"/>
          <w:color w:val="auto"/>
        </w:rPr>
        <w:t>Outside Directors receive (i) an annual retainer of $8,500; (ii) $500 per meeting attended in person to a maximum of $2,500 annually; and (iii) $1,000 annually for membership on one or more active committees. The Cohu 1996 Outside Directors Stock Option Plan currently provides that each Outside Director will receive an automatic grant of an option to purchase 10,000 shares of Cohu’s Common Stock upon their appointment to the Board and an annual grant of an option to purchase 5,000 shares thereafter. Cohu pays the cost of health care insurance premiums for certain directors and their spouses. Pursuant to an employment agreement with Cohu, Mr. Schwan is paid an annual salary of $30,000.</w:t>
      </w:r>
    </w:p>
    <w:p>
      <w:pPr>
        <w:spacing w:after="0" w:line="1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and Certain Other Compensation</w:t>
      </w:r>
    </w:p>
    <w:p>
      <w:pPr>
        <w:spacing w:after="0" w:line="227" w:lineRule="exact"/>
        <w:rPr>
          <w:sz w:val="20"/>
          <w:szCs w:val="20"/>
          <w:color w:val="auto"/>
        </w:rPr>
      </w:pPr>
    </w:p>
    <w:p>
      <w:pPr>
        <w:ind w:right="540" w:firstLine="216"/>
        <w:spacing w:after="0" w:line="275" w:lineRule="auto"/>
        <w:rPr>
          <w:sz w:val="20"/>
          <w:szCs w:val="20"/>
          <w:color w:val="auto"/>
        </w:rPr>
      </w:pPr>
      <w:r>
        <w:rPr>
          <w:rFonts w:ascii="Times New Roman" w:cs="Times New Roman" w:eastAsia="Times New Roman" w:hAnsi="Times New Roman"/>
          <w:sz w:val="18"/>
          <w:szCs w:val="18"/>
          <w:color w:val="auto"/>
        </w:rPr>
        <w:t>The following table discloses compensation paid to Cohu’s Chief Executive Officer and the other executive officer whose aggregate cash compensation exceeded $100,000 (the “Named Executive Officers”) during the last three years.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0" w:lineRule="exact"/>
        <w:rPr>
          <w:sz w:val="20"/>
          <w:szCs w:val="20"/>
          <w:color w:val="auto"/>
        </w:rPr>
      </w:pPr>
    </w:p>
    <w:p>
      <w:pPr>
        <w:spacing w:after="0" w:line="25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Long Term</w:t>
            </w: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1700" w:type="dxa"/>
            <w:vAlign w:val="bottom"/>
            <w:gridSpan w:val="3"/>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0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vMerge w:val="restart"/>
          </w:tcPr>
          <w:p>
            <w:pPr>
              <w:spacing w:after="0"/>
              <w:rPr>
                <w:sz w:val="8"/>
                <w:szCs w:val="8"/>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8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8"/>
              </w:rPr>
              <w:t>Salary ($)</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Bonus ($) (1)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00" w:type="dxa"/>
            <w:vAlign w:val="bottom"/>
          </w:tcPr>
          <w:p>
            <w:pPr>
              <w:spacing w:after="0"/>
              <w:rPr>
                <w:sz w:val="15"/>
                <w:szCs w:val="15"/>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Compensation ($)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324,425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&amp;</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330,777</w:t>
            </w:r>
          </w:p>
        </w:tc>
        <w:tc>
          <w:tcPr>
            <w:tcW w:w="17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319,900</w:t>
            </w:r>
          </w:p>
        </w:tc>
        <w:tc>
          <w:tcPr>
            <w:tcW w:w="20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60,000</w:t>
            </w:r>
          </w:p>
        </w:tc>
        <w:tc>
          <w:tcPr>
            <w:tcW w:w="17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26,027</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1999</w:t>
            </w:r>
          </w:p>
        </w:tc>
        <w:tc>
          <w:tcPr>
            <w:tcW w:w="18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271,019</w:t>
            </w:r>
          </w:p>
        </w:tc>
        <w:tc>
          <w:tcPr>
            <w:tcW w:w="17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274,800</w:t>
            </w:r>
          </w:p>
        </w:tc>
        <w:tc>
          <w:tcPr>
            <w:tcW w:w="200" w:type="dxa"/>
            <w:vAlign w:val="bottom"/>
          </w:tcPr>
          <w:p>
            <w:pPr>
              <w:spacing w:after="0"/>
              <w:rPr>
                <w:sz w:val="19"/>
                <w:szCs w:val="19"/>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60,000</w:t>
            </w:r>
          </w:p>
        </w:tc>
        <w:tc>
          <w:tcPr>
            <w:tcW w:w="17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21,833</w:t>
            </w:r>
          </w:p>
        </w:tc>
        <w:tc>
          <w:tcPr>
            <w:tcW w:w="0" w:type="dxa"/>
            <w:vAlign w:val="bottom"/>
          </w:tcPr>
          <w:p>
            <w:pPr>
              <w:spacing w:after="0"/>
              <w:rPr>
                <w:sz w:val="1"/>
                <w:szCs w:val="1"/>
                <w:color w:val="auto"/>
              </w:rPr>
            </w:pPr>
          </w:p>
        </w:tc>
      </w:tr>
      <w:tr>
        <w:trPr>
          <w:trHeight w:val="42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Allen</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205,612</w:t>
            </w:r>
          </w:p>
        </w:tc>
        <w:tc>
          <w:tcPr>
            <w:tcW w:w="17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24"/>
                <w:szCs w:val="24"/>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Finance &amp; Chief</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212,313</w:t>
            </w:r>
          </w:p>
        </w:tc>
        <w:tc>
          <w:tcPr>
            <w:tcW w:w="17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180,972</w:t>
            </w:r>
          </w:p>
        </w:tc>
        <w:tc>
          <w:tcPr>
            <w:tcW w:w="200" w:type="dxa"/>
            <w:vAlign w:val="bottom"/>
          </w:tcPr>
          <w:p>
            <w:pPr>
              <w:spacing w:after="0"/>
              <w:rPr>
                <w:sz w:val="18"/>
                <w:szCs w:val="18"/>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25,000</w:t>
            </w:r>
          </w:p>
        </w:tc>
        <w:tc>
          <w:tcPr>
            <w:tcW w:w="17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15,731</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Secretary</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1999</w:t>
            </w:r>
          </w:p>
        </w:tc>
        <w:tc>
          <w:tcPr>
            <w:tcW w:w="18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191,008</w:t>
            </w:r>
          </w:p>
        </w:tc>
        <w:tc>
          <w:tcPr>
            <w:tcW w:w="170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158,760</w:t>
            </w:r>
          </w:p>
        </w:tc>
        <w:tc>
          <w:tcPr>
            <w:tcW w:w="200" w:type="dxa"/>
            <w:vAlign w:val="bottom"/>
          </w:tcPr>
          <w:p>
            <w:pPr>
              <w:spacing w:after="0"/>
              <w:rPr>
                <w:sz w:val="19"/>
                <w:szCs w:val="19"/>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50,000</w:t>
            </w:r>
          </w:p>
        </w:tc>
        <w:tc>
          <w:tcPr>
            <w:tcW w:w="17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13,991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5"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reflect payments under Cohu’s Incentive Bonus Plan for key executives.</w:t>
      </w:r>
    </w:p>
    <w:p>
      <w:pPr>
        <w:spacing w:after="0" w:line="21" w:lineRule="exact"/>
        <w:rPr>
          <w:rFonts w:ascii="Times New Roman" w:cs="Times New Roman" w:eastAsia="Times New Roman" w:hAnsi="Times New Roman"/>
          <w:sz w:val="18"/>
          <w:szCs w:val="18"/>
          <w:color w:val="auto"/>
        </w:rPr>
      </w:pPr>
    </w:p>
    <w:p>
      <w:pPr>
        <w:ind w:left="540" w:right="240" w:hanging="532"/>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reflect Cohu’s contributions to the Employees’ Retirement 401(k) Plan and the Key Executive Long Term Incentive Plan (now the Cohu, Inc. Deferred Compensation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100" w:firstLine="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Incentive Bonus Plan. </w:t>
      </w:r>
      <w:r>
        <w:rPr>
          <w:rFonts w:ascii="Times New Roman" w:cs="Times New Roman" w:eastAsia="Times New Roman" w:hAnsi="Times New Roman"/>
          <w:sz w:val="18"/>
          <w:szCs w:val="18"/>
          <w:color w:val="auto"/>
        </w:rPr>
        <w:t>Cohu had an incentive bonus plan for key executives in effect through 2001. Under this plan, corporate officers may receive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187" w:lineRule="exact"/>
        <w:rPr>
          <w:sz w:val="20"/>
          <w:szCs w:val="20"/>
          <w:color w:val="auto"/>
        </w:rPr>
      </w:pPr>
    </w:p>
    <w:p>
      <w:pPr>
        <w:ind w:firstLine="2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Retirement Plan. </w:t>
      </w:r>
      <w:r>
        <w:rPr>
          <w:rFonts w:ascii="Times New Roman" w:cs="Times New Roman" w:eastAsia="Times New Roman" w:hAnsi="Times New Roman"/>
          <w:sz w:val="18"/>
          <w:szCs w:val="18"/>
          <w:color w:val="auto"/>
        </w:rPr>
        <w:t>The Cohu Employees’ Retirement 401(k) Plan was implemented on January 1, 1978. The majority of Cohu’s employees,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Officers, who are at least 21 years of age and complete six months of service are eligible to enroll in this Plan. The participant may contribute a percentage of his or her annual compensation subject to maximum annual contribution limitations. Cohu may match participant contributions up to 4% of annual employee compensation not to exceed specified annual limits. The amounts contributed by Cohu are vested 10% after one year of participation, another 10% after two years and an additional 20% each year thereafter to the full 100%. The maximum nontaxable annual amount that a participant could contribute in 2001 was $10,500.</w:t>
      </w:r>
    </w:p>
    <w:p>
      <w:pPr>
        <w:spacing w:after="0" w:line="193" w:lineRule="exact"/>
        <w:rPr>
          <w:sz w:val="20"/>
          <w:szCs w:val="20"/>
          <w:color w:val="auto"/>
        </w:rPr>
      </w:pPr>
    </w:p>
    <w:p>
      <w:pPr>
        <w:ind w:right="20" w:firstLine="2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Cohu, Inc. Deferred Compensation Plan. </w:t>
      </w:r>
      <w:r>
        <w:rPr>
          <w:rFonts w:ascii="Times New Roman" w:cs="Times New Roman" w:eastAsia="Times New Roman" w:hAnsi="Times New Roman"/>
          <w:sz w:val="18"/>
          <w:szCs w:val="18"/>
          <w:color w:val="auto"/>
        </w:rPr>
        <w:t>Cohu adopted the Cohu, Inc. Key Executive Long Term Incentive Plan in 1994. The Plan was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renamed the Cohu, Inc. Deferred Compensation Plan in 2001. Under this Plan, corporate officers may elect to defer a portion of their current compensation. Cohu will then match participant contributions up to 4% of the executive’s compensation in excess of specified annual limits. These combined funds may be used by Cohu to purchase a specifically designed life insurance policy on the executive’s life. Cohu is not entitled to a corporate tax deduction until the year in which the executive recognizes taxable income in connection with the Plan. Participant contributions, distributions and investment earnings and losses are accumulated in deferral investment accounts in a trust established for the Plan. The trust assets and the payroll obligation to the participant are included in Cohu’s consolidated financial statements. Participants may elect to receive payment of their deferral account in ten or fifteen annual installments upon retirement and in lump sum or five, ten or fifteen annual installments upon disability, death, termination or change in control, as defined.</w:t>
      </w:r>
    </w:p>
    <w:p>
      <w:pPr>
        <w:spacing w:after="0" w:line="192" w:lineRule="exact"/>
        <w:rPr>
          <w:sz w:val="20"/>
          <w:szCs w:val="20"/>
          <w:color w:val="auto"/>
        </w:rPr>
      </w:pPr>
    </w:p>
    <w:p>
      <w:pPr>
        <w:ind w:firstLine="2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Termination Agreements. </w:t>
      </w:r>
      <w:r>
        <w:rPr>
          <w:rFonts w:ascii="Times New Roman" w:cs="Times New Roman" w:eastAsia="Times New Roman" w:hAnsi="Times New Roman"/>
          <w:sz w:val="18"/>
          <w:szCs w:val="18"/>
          <w:color w:val="auto"/>
        </w:rPr>
        <w:t>Cohu has entered into Termination Agreements with Mr. Donahue and Mr. Allen pursuant to which those executives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2002 following a change of control, the amounts payable to Mr. Donahue and Mr. Allen would be approximately $1,464,000 and $935,000, respectively.</w:t>
      </w:r>
    </w:p>
    <w:p>
      <w:pPr>
        <w:spacing w:after="0" w:line="195" w:lineRule="exact"/>
        <w:rPr>
          <w:sz w:val="20"/>
          <w:szCs w:val="20"/>
          <w:color w:val="auto"/>
        </w:rPr>
      </w:pPr>
    </w:p>
    <w:p>
      <w:pPr>
        <w:ind w:right="120" w:firstLine="22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Employment Agreement. </w:t>
      </w:r>
      <w:r>
        <w:rPr>
          <w:rFonts w:ascii="Times New Roman" w:cs="Times New Roman" w:eastAsia="Times New Roman" w:hAnsi="Times New Roman"/>
          <w:sz w:val="16"/>
          <w:szCs w:val="16"/>
          <w:color w:val="auto"/>
        </w:rPr>
        <w:t>Charles A. Schwan resigned as President &amp; Chief Executive Officer of Cohu effective June 30, 2000. Cohu and Mr. Schwan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entered into an employment agreement for a three-year period commencing June 30, 2000. Pursuant to this agreement, Mr. Schwan agreed to provide Cohu with employment services under the direction and control of Cohu on a part-time basis. For such services Mr. Schwan will be paid an annual salary of $30,000. Mr. Schwan has continued to serve as Chairman of Cohu’s Board of Directors, subject to reelection by the stockholders at the conclusion of his term in office.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There were no grants of options to purchase Cohu Common Stock made to the Named Executive Officers during the year ended December 31, 2001.</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AGGREGATED OPTION EXERCISES IN LAST FISCAL YEAR</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FISCAL YEAR-END OPTION VALUES</w:t>
      </w:r>
    </w:p>
    <w:p>
      <w:pPr>
        <w:spacing w:after="0" w:line="213" w:lineRule="exact"/>
        <w:rPr>
          <w:sz w:val="20"/>
          <w:szCs w:val="20"/>
          <w:color w:val="auto"/>
        </w:rPr>
      </w:pPr>
    </w:p>
    <w:p>
      <w:pPr>
        <w:ind w:right="120" w:firstLine="21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on option exercises in 2001 by the Named Executive Officers and the value of such officers’ unexercised options at December 31, 2001.</w:t>
      </w:r>
    </w:p>
    <w:p>
      <w:pPr>
        <w:spacing w:after="0" w:line="200" w:lineRule="exact"/>
        <w:rPr>
          <w:sz w:val="20"/>
          <w:szCs w:val="20"/>
          <w:color w:val="auto"/>
        </w:rPr>
      </w:pP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360" w:type="dxa"/>
            <w:vAlign w:val="bottom"/>
          </w:tcPr>
          <w:p>
            <w:pPr>
              <w:spacing w:after="0"/>
              <w:rPr>
                <w:sz w:val="13"/>
                <w:szCs w:val="13"/>
                <w:color w:val="auto"/>
              </w:rPr>
            </w:pPr>
          </w:p>
        </w:tc>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Unexercised</w:t>
            </w:r>
          </w:p>
        </w:tc>
        <w:tc>
          <w:tcPr>
            <w:tcW w:w="360" w:type="dxa"/>
            <w:vAlign w:val="bottom"/>
          </w:tcPr>
          <w:p>
            <w:pPr>
              <w:spacing w:after="0"/>
              <w:rPr>
                <w:sz w:val="12"/>
                <w:szCs w:val="12"/>
                <w:color w:val="auto"/>
              </w:rPr>
            </w:pPr>
          </w:p>
        </w:tc>
        <w:tc>
          <w:tcPr>
            <w:tcW w:w="3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In-the-Money Options</w:t>
            </w: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Acquired</w:t>
            </w:r>
          </w:p>
        </w:tc>
        <w:tc>
          <w:tcPr>
            <w:tcW w:w="18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Options at Fiscal Year-End (#)</w:t>
            </w:r>
          </w:p>
        </w:tc>
        <w:tc>
          <w:tcPr>
            <w:tcW w:w="360" w:type="dxa"/>
            <w:vAlign w:val="bottom"/>
          </w:tcPr>
          <w:p>
            <w:pPr>
              <w:spacing w:after="0"/>
              <w:rPr>
                <w:sz w:val="15"/>
                <w:szCs w:val="15"/>
                <w:color w:val="auto"/>
              </w:rPr>
            </w:pPr>
          </w:p>
        </w:tc>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at Fiscal Year-End ($) (1)</w:t>
            </w: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180" w:type="dxa"/>
            <w:vAlign w:val="bottom"/>
            <w:gridSpan w:val="3"/>
            <w:vMerge w:val="restart"/>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5"/>
              </w:rPr>
              <w:t>on Exercise</w:t>
            </w: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Realized</w:t>
            </w:r>
          </w:p>
        </w:tc>
        <w:tc>
          <w:tcPr>
            <w:tcW w:w="1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6"/>
                <w:szCs w:val="16"/>
                <w:color w:val="auto"/>
              </w:rPr>
            </w:pPr>
          </w:p>
        </w:tc>
        <w:tc>
          <w:tcPr>
            <w:tcW w:w="68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6"/>
                <w:szCs w:val="16"/>
                <w:color w:val="auto"/>
              </w:rPr>
            </w:pPr>
          </w:p>
        </w:tc>
        <w:tc>
          <w:tcPr>
            <w:tcW w:w="122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4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60" w:type="dxa"/>
            <w:vAlign w:val="bottom"/>
          </w:tcPr>
          <w:p>
            <w:pPr>
              <w:spacing w:after="0"/>
              <w:rPr>
                <w:sz w:val="16"/>
                <w:szCs w:val="16"/>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19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36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86"/>
              <w:spacing w:after="0"/>
              <w:rPr>
                <w:sz w:val="20"/>
                <w:szCs w:val="20"/>
                <w:color w:val="auto"/>
              </w:rPr>
            </w:pPr>
            <w:r>
              <w:rPr>
                <w:rFonts w:ascii="Times New Roman" w:cs="Times New Roman" w:eastAsia="Times New Roman" w:hAnsi="Times New Roman"/>
                <w:sz w:val="18"/>
                <w:szCs w:val="18"/>
                <w:color w:val="auto"/>
              </w:rPr>
              <w:t>111,288</w:t>
            </w:r>
          </w:p>
        </w:tc>
        <w:tc>
          <w:tcPr>
            <w:tcW w:w="15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82,500</w:t>
            </w:r>
          </w:p>
        </w:tc>
        <w:tc>
          <w:tcPr>
            <w:tcW w:w="15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834,011</w:t>
            </w:r>
          </w:p>
        </w:tc>
        <w:tc>
          <w:tcPr>
            <w:tcW w:w="18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508,575</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John H. Allen</w:t>
            </w:r>
          </w:p>
        </w:tc>
        <w:tc>
          <w:tcPr>
            <w:tcW w:w="36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86"/>
              <w:spacing w:after="0"/>
              <w:rPr>
                <w:sz w:val="20"/>
                <w:szCs w:val="20"/>
                <w:color w:val="auto"/>
              </w:rPr>
            </w:pPr>
            <w:r>
              <w:rPr>
                <w:rFonts w:ascii="Times New Roman" w:cs="Times New Roman" w:eastAsia="Times New Roman" w:hAnsi="Times New Roman"/>
                <w:sz w:val="18"/>
                <w:szCs w:val="18"/>
                <w:color w:val="auto"/>
              </w:rPr>
              <w:t>87,722</w:t>
            </w:r>
          </w:p>
        </w:tc>
        <w:tc>
          <w:tcPr>
            <w:tcW w:w="15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48,750</w:t>
            </w:r>
          </w:p>
        </w:tc>
        <w:tc>
          <w:tcPr>
            <w:tcW w:w="15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595,248</w:t>
            </w:r>
          </w:p>
        </w:tc>
        <w:tc>
          <w:tcPr>
            <w:tcW w:w="18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302,063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5" w:lineRule="exact"/>
        <w:rPr>
          <w:sz w:val="20"/>
          <w:szCs w:val="20"/>
          <w:color w:val="auto"/>
        </w:rPr>
      </w:pPr>
    </w:p>
    <w:p>
      <w:pPr>
        <w:ind w:left="540" w:right="300" w:hanging="532"/>
        <w:spacing w:after="0" w:line="310" w:lineRule="auto"/>
        <w:tabs>
          <w:tab w:leader="none" w:pos="5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solely on the basis of the fair market value of Cohu’s Common Stock at December 31, 2001, minus the aggregate exercise price and before taxes associated with such exercise. Accordingly, such amounts may bear no relationship to gains, if any, that may be realized upon the ultimate disposition of the shares. The closing price of Cohu’s Common Stock on December 31, 2001 as reported on the Nasdaq Stock Market was $19.75.</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5" w:lineRule="exact"/>
        <w:rPr>
          <w:sz w:val="20"/>
          <w:szCs w:val="20"/>
          <w:color w:val="auto"/>
        </w:rPr>
      </w:pPr>
    </w:p>
    <w:p>
      <w:pPr>
        <w:ind w:right="120" w:firstLine="220"/>
        <w:spacing w:after="0" w:line="277"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Cohu’s previous or future filings with the Securities and Exchange Commission, this Report shall not be incorporated by reference into any such filings.</w:t>
      </w:r>
    </w:p>
    <w:p>
      <w:pPr>
        <w:spacing w:after="0" w:line="170" w:lineRule="exact"/>
        <w:rPr>
          <w:sz w:val="20"/>
          <w:szCs w:val="20"/>
          <w:color w:val="auto"/>
        </w:rPr>
      </w:pPr>
    </w:p>
    <w:p>
      <w:pPr>
        <w:ind w:firstLine="2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Composition. </w:t>
      </w:r>
      <w:r>
        <w:rPr>
          <w:rFonts w:ascii="Times New Roman" w:cs="Times New Roman" w:eastAsia="Times New Roman" w:hAnsi="Times New Roman"/>
          <w:sz w:val="18"/>
          <w:szCs w:val="18"/>
          <w:color w:val="auto"/>
        </w:rPr>
        <w:t>The Audit Committee of the Board of Directors is composed of three independent directors, as defined by rules of the National Association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Dealers (“NASD”), and operates under a written charter adopted by the Board of Directors. The members of the Audit Committee are Harold Harrigian (Chairman), James W. Barnes and Harry L. Casari.</w:t>
      </w:r>
    </w:p>
    <w:p>
      <w:pPr>
        <w:spacing w:after="0" w:line="183" w:lineRule="exact"/>
        <w:rPr>
          <w:sz w:val="20"/>
          <w:szCs w:val="20"/>
          <w:color w:val="auto"/>
        </w:rPr>
      </w:pPr>
    </w:p>
    <w:p>
      <w:pPr>
        <w:ind w:right="20" w:firstLine="210"/>
        <w:spacing w:after="0" w:line="288" w:lineRule="auto"/>
        <w:rPr>
          <w:sz w:val="20"/>
          <w:szCs w:val="20"/>
          <w:color w:val="auto"/>
        </w:rPr>
      </w:pPr>
      <w:r>
        <w:rPr>
          <w:rFonts w:ascii="Times New Roman" w:cs="Times New Roman" w:eastAsia="Times New Roman" w:hAnsi="Times New Roman"/>
          <w:sz w:val="16"/>
          <w:szCs w:val="16"/>
          <w:color w:val="auto"/>
        </w:rPr>
        <w:t>As a result of the death of Gene E. Leary, Cohu’s former Audit Committee Chairman, a new Chairman and member of the Audit Committee were appointed pursuant to NASD rules. NASD rules mandate that the audit committee have at least three members, comprised solely of independent directors. “Independent director” includes a director who has not been employed by the company for the current year or any of the past three years. NASD allows an exception to this independence requirement provided the audit committee member is not a current employee or an immediate family member of such employee, if the board, under exceptional and limited circumstances, determines that membership on the committee by the individual is required by the best interests of the corporation and its shareholders and the board discloses in the next annual proxy statement subsequent to such determination, the nature of the relationship and the reasons for that determination. Mr. Barnes retired as President and Chief Executive Officer of Cohu effective March 1, 1996. Mr. Barnes was an employee of Cohu pursuant to an employment contract that expired February 28, 1999. Pursuant to NASD rules, Mr. Barnes would not be considered an independent director until March 1, 2002. On December 5, 2001 the board of directors appointed Mr. Harrigian as Chairman of the Cohu, Inc. Audit Committee and, pursuant to NASD rules, concluded that it was in the best interests of Cohu and its shareholders to appoint Mr. Barnes as a member of the Cohu Audit Committee.</w:t>
      </w:r>
    </w:p>
    <w:p>
      <w:pPr>
        <w:spacing w:after="0" w:line="167" w:lineRule="exact"/>
        <w:rPr>
          <w:sz w:val="20"/>
          <w:szCs w:val="20"/>
          <w:color w:val="auto"/>
        </w:rPr>
      </w:pPr>
    </w:p>
    <w:p>
      <w:pPr>
        <w:ind w:right="220" w:firstLine="220"/>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Responsibilities. </w:t>
      </w:r>
      <w:r>
        <w:rPr>
          <w:rFonts w:ascii="Times New Roman" w:cs="Times New Roman" w:eastAsia="Times New Roman" w:hAnsi="Times New Roman"/>
          <w:sz w:val="16"/>
          <w:szCs w:val="16"/>
          <w:color w:val="auto"/>
        </w:rPr>
        <w:t>The responsibilities of the Audit Committee include recommending to the Board of Directors a firm to be engaged as Cohu’s independent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auditors. Management is responsible for Cohu’s internal controls and financial reporting processes. The independent auditors are responsible for performing an</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independent audit of Cohu’s consolidated financial statements in accordance with auditing standards generally accepted in the United States and for issuing a report thereon. The Audit Committee’s responsibility is to oversee the audit process and the activities of Cohu’s internal staff.</w:t>
      </w:r>
    </w:p>
    <w:p>
      <w:pPr>
        <w:spacing w:after="0" w:line="172" w:lineRule="exact"/>
        <w:rPr>
          <w:sz w:val="20"/>
          <w:szCs w:val="20"/>
          <w:color w:val="auto"/>
        </w:rPr>
      </w:pPr>
    </w:p>
    <w:p>
      <w:pPr>
        <w:ind w:right="160" w:firstLine="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Review with Management and Independent Auditors. </w:t>
      </w:r>
      <w:r>
        <w:rPr>
          <w:rFonts w:ascii="Times New Roman" w:cs="Times New Roman" w:eastAsia="Times New Roman" w:hAnsi="Times New Roman"/>
          <w:sz w:val="18"/>
          <w:szCs w:val="18"/>
          <w:color w:val="auto"/>
        </w:rPr>
        <w:t>In this context, the Audit Committee has met and held discussions with management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independent auditors. Management represented to the Audit Committee that Cohu’s consolidated financial statements were prepared in accordance with accounting principles generally accepted in the United States, and the Audit Committee has reviewed and discussed the consolidated financial statements with management and the independent auditors. The Audit Committee discussed with the independent auditors matters required to be discussed under Statement on Auditing Standards No. 61, </w:t>
      </w:r>
      <w:r>
        <w:rPr>
          <w:rFonts w:ascii="Times New Roman" w:cs="Times New Roman" w:eastAsia="Times New Roman" w:hAnsi="Times New Roman"/>
          <w:sz w:val="18"/>
          <w:szCs w:val="18"/>
          <w:i w:val="1"/>
          <w:iCs w:val="1"/>
          <w:color w:val="auto"/>
        </w:rPr>
        <w:t>Communication with Audit Committees.</w:t>
      </w:r>
    </w:p>
    <w:p>
      <w:pPr>
        <w:spacing w:after="0" w:line="190" w:lineRule="exact"/>
        <w:rPr>
          <w:sz w:val="20"/>
          <w:szCs w:val="20"/>
          <w:color w:val="auto"/>
        </w:rPr>
      </w:pPr>
    </w:p>
    <w:p>
      <w:pPr>
        <w:ind w:right="60" w:firstLine="220"/>
        <w:spacing w:after="0" w:line="262" w:lineRule="auto"/>
        <w:rPr>
          <w:sz w:val="20"/>
          <w:szCs w:val="20"/>
          <w:color w:val="auto"/>
        </w:rPr>
      </w:pPr>
      <w:r>
        <w:rPr>
          <w:rFonts w:ascii="Times New Roman" w:cs="Times New Roman" w:eastAsia="Times New Roman" w:hAnsi="Times New Roman"/>
          <w:sz w:val="18"/>
          <w:szCs w:val="18"/>
          <w:color w:val="auto"/>
        </w:rPr>
        <w:t xml:space="preserve">Cohu’s independent auditors also provided to the Audit Committee the written disclosures and the letter required by Independence Standards Board Standard No. 1, </w:t>
      </w:r>
      <w:r>
        <w:rPr>
          <w:rFonts w:ascii="Times New Roman" w:cs="Times New Roman" w:eastAsia="Times New Roman" w:hAnsi="Times New Roman"/>
          <w:sz w:val="18"/>
          <w:szCs w:val="18"/>
          <w:i w:val="1"/>
          <w:iCs w:val="1"/>
          <w:color w:val="auto"/>
        </w:rPr>
        <w:t>Independence Discussions with Audit Committees,</w:t>
      </w:r>
      <w:r>
        <w:rPr>
          <w:rFonts w:ascii="Times New Roman" w:cs="Times New Roman" w:eastAsia="Times New Roman" w:hAnsi="Times New Roman"/>
          <w:sz w:val="18"/>
          <w:szCs w:val="18"/>
          <w:color w:val="auto"/>
        </w:rPr>
        <w:t xml:space="preserve"> and the Audit Committee discussed with the independent auditors, Ernst &amp; Young LLP, the firm’s independence.</w:t>
      </w:r>
    </w:p>
    <w:p>
      <w:pPr>
        <w:spacing w:after="0" w:line="184" w:lineRule="exact"/>
        <w:rPr>
          <w:sz w:val="20"/>
          <w:szCs w:val="20"/>
          <w:color w:val="auto"/>
        </w:rPr>
      </w:pPr>
    </w:p>
    <w:p>
      <w:pPr>
        <w:ind w:right="100" w:firstLine="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Based upon the Audit Committee’s discussions with management and the independent auditors and the Audit Committee’s review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of management, and the report of the independent auditors to the Audit Committee, the Audit Committee recommended that the Board of Directors include the audited consolidated financial statements in Cohu’s Annual Report on Form 10-K for the year ended December 31, 2001, as filed with the Securities and Exchange Commission.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COHU’S BOARD OF DIRECTORS:</w:t>
      </w:r>
    </w:p>
    <w:p>
      <w:pPr>
        <w:spacing w:after="0" w:line="200" w:lineRule="exact"/>
        <w:rPr>
          <w:sz w:val="20"/>
          <w:szCs w:val="20"/>
          <w:color w:val="auto"/>
        </w:rPr>
      </w:pPr>
    </w:p>
    <w:p>
      <w:pPr>
        <w:spacing w:after="0" w:line="268" w:lineRule="exact"/>
        <w:rPr>
          <w:sz w:val="20"/>
          <w:szCs w:val="20"/>
          <w:color w:val="auto"/>
        </w:rPr>
      </w:pPr>
    </w:p>
    <w:p>
      <w:pPr>
        <w:ind w:left="700"/>
        <w:spacing w:after="0"/>
        <w:tabs>
          <w:tab w:leader="none" w:pos="5100" w:val="left"/>
          <w:tab w:leader="none" w:pos="9160" w:val="left"/>
        </w:tabs>
        <w:rPr>
          <w:sz w:val="20"/>
          <w:szCs w:val="20"/>
          <w:color w:val="auto"/>
        </w:rPr>
      </w:pPr>
      <w:r>
        <w:rPr>
          <w:rFonts w:ascii="Times New Roman" w:cs="Times New Roman" w:eastAsia="Times New Roman" w:hAnsi="Times New Roman"/>
          <w:sz w:val="18"/>
          <w:szCs w:val="18"/>
          <w:color w:val="auto"/>
        </w:rPr>
        <w:t>Harold Harrigian (Chairman)</w:t>
      </w:r>
      <w:r>
        <w:rPr>
          <w:sz w:val="20"/>
          <w:szCs w:val="20"/>
          <w:color w:val="auto"/>
        </w:rPr>
        <w:tab/>
      </w:r>
      <w:r>
        <w:rPr>
          <w:rFonts w:ascii="Times New Roman" w:cs="Times New Roman" w:eastAsia="Times New Roman" w:hAnsi="Times New Roman"/>
          <w:sz w:val="18"/>
          <w:szCs w:val="18"/>
          <w:color w:val="auto"/>
        </w:rPr>
        <w:t>James W. Barnes</w:t>
      </w:r>
      <w:r>
        <w:rPr>
          <w:sz w:val="20"/>
          <w:szCs w:val="20"/>
          <w:color w:val="auto"/>
        </w:rPr>
        <w:tab/>
      </w:r>
      <w:r>
        <w:rPr>
          <w:rFonts w:ascii="Times New Roman" w:cs="Times New Roman" w:eastAsia="Times New Roman" w:hAnsi="Times New Roman"/>
          <w:sz w:val="16"/>
          <w:szCs w:val="16"/>
          <w:color w:val="auto"/>
        </w:rPr>
        <w:t>Harry L Casari</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AUDIT AND RELATED FEES</w:t>
      </w:r>
    </w:p>
    <w:p>
      <w:pPr>
        <w:spacing w:after="0" w:line="225" w:lineRule="exact"/>
        <w:rPr>
          <w:sz w:val="20"/>
          <w:szCs w:val="20"/>
          <w:color w:val="auto"/>
        </w:rPr>
      </w:pPr>
    </w:p>
    <w:p>
      <w:pPr>
        <w:ind w:right="220" w:firstLine="2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The aggregate fees billed by Ernst &amp; Young LLP for professional services for the audit of Cohu’s annual consolidated financial statements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2001 and the review of the consolidated financial statements included in Cohu’s Forms 10-Q for 2001 were $238,000.</w:t>
      </w:r>
    </w:p>
    <w:p>
      <w:pPr>
        <w:spacing w:after="0" w:line="170" w:lineRule="exact"/>
        <w:rPr>
          <w:sz w:val="20"/>
          <w:szCs w:val="20"/>
          <w:color w:val="auto"/>
        </w:rPr>
      </w:pPr>
    </w:p>
    <w:p>
      <w:pPr>
        <w:ind w:right="360" w:firstLine="2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Financial Information Systems Design and Implementation Fees. </w:t>
      </w:r>
      <w:r>
        <w:rPr>
          <w:rFonts w:ascii="Times New Roman" w:cs="Times New Roman" w:eastAsia="Times New Roman" w:hAnsi="Times New Roman"/>
          <w:sz w:val="18"/>
          <w:szCs w:val="18"/>
          <w:color w:val="auto"/>
        </w:rPr>
        <w:t>There were no fees billed by Ernst &amp; Young LLP to Cohu for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design and implementation for 2001.</w:t>
      </w:r>
    </w:p>
    <w:p>
      <w:pPr>
        <w:spacing w:after="0" w:line="170" w:lineRule="exact"/>
        <w:rPr>
          <w:sz w:val="20"/>
          <w:szCs w:val="20"/>
          <w:color w:val="auto"/>
        </w:rPr>
      </w:pPr>
    </w:p>
    <w:p>
      <w:pPr>
        <w:ind w:firstLine="2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The aggregate fees billed to Cohu for all other services rendered by Ernst &amp; Young LLP for 2001, primarily for tax assistance and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preparation and including fees for statutorily required audits in certain locations outside the U.S. where Cohu has operations, accounting consultations and audits of Cohu’s employee benefit plans, were $557,000.</w:t>
      </w:r>
    </w:p>
    <w:p>
      <w:pPr>
        <w:spacing w:after="0" w:line="183" w:lineRule="exact"/>
        <w:rPr>
          <w:sz w:val="20"/>
          <w:szCs w:val="20"/>
          <w:color w:val="auto"/>
        </w:rPr>
      </w:pPr>
    </w:p>
    <w:p>
      <w:pPr>
        <w:ind w:right="360" w:firstLine="216"/>
        <w:spacing w:after="0" w:line="275" w:lineRule="auto"/>
        <w:rPr>
          <w:sz w:val="20"/>
          <w:szCs w:val="20"/>
          <w:color w:val="auto"/>
        </w:rPr>
      </w:pPr>
      <w:r>
        <w:rPr>
          <w:rFonts w:ascii="Times New Roman" w:cs="Times New Roman" w:eastAsia="Times New Roman" w:hAnsi="Times New Roman"/>
          <w:sz w:val="18"/>
          <w:szCs w:val="18"/>
          <w:color w:val="auto"/>
        </w:rPr>
        <w:t>The Audit Committee has determined that the nonaudit services rendered by Ernst &amp; Young LLP, are compatible with maintaining Ernst &amp; Young LLP’s independence.</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5" w:lineRule="exact"/>
        <w:rPr>
          <w:sz w:val="20"/>
          <w:szCs w:val="20"/>
          <w:color w:val="auto"/>
        </w:rPr>
      </w:pPr>
    </w:p>
    <w:p>
      <w:pPr>
        <w:ind w:right="140" w:firstLine="220"/>
        <w:spacing w:after="0" w:line="277"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Cohu’s previous or future filings with the Securities and Exchange Commission, this Report and the Stock Performance Graph on page 9 shall not be incorporated by reference into any such filings.</w:t>
      </w:r>
    </w:p>
    <w:p>
      <w:pPr>
        <w:spacing w:after="0" w:line="172" w:lineRule="exact"/>
        <w:rPr>
          <w:sz w:val="20"/>
          <w:szCs w:val="20"/>
          <w:color w:val="auto"/>
        </w:rPr>
      </w:pPr>
    </w:p>
    <w:p>
      <w:pPr>
        <w:ind w:right="260" w:firstLine="216"/>
        <w:spacing w:after="0" w:line="275" w:lineRule="auto"/>
        <w:rPr>
          <w:sz w:val="20"/>
          <w:szCs w:val="20"/>
          <w:color w:val="auto"/>
        </w:rPr>
      </w:pPr>
      <w:r>
        <w:rPr>
          <w:rFonts w:ascii="Times New Roman" w:cs="Times New Roman" w:eastAsia="Times New Roman" w:hAnsi="Times New Roman"/>
          <w:sz w:val="18"/>
          <w:szCs w:val="18"/>
          <w:color w:val="auto"/>
        </w:rPr>
        <w:t>The Compensation Committee (the “Committee”) of the Board of Directors, comprised of the non-employee directors, determines and administers Cohu’s executive compensation policies and programs.</w:t>
      </w:r>
    </w:p>
    <w:p>
      <w:pPr>
        <w:spacing w:after="0" w:line="172" w:lineRule="exact"/>
        <w:rPr>
          <w:sz w:val="20"/>
          <w:szCs w:val="20"/>
          <w:color w:val="auto"/>
        </w:rPr>
      </w:pPr>
    </w:p>
    <w:p>
      <w:pPr>
        <w:ind w:right="60" w:firstLine="2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Compensation Philosophy. </w:t>
      </w:r>
      <w:r>
        <w:rPr>
          <w:rFonts w:ascii="Times New Roman" w:cs="Times New Roman" w:eastAsia="Times New Roman" w:hAnsi="Times New Roman"/>
          <w:sz w:val="18"/>
          <w:szCs w:val="18"/>
          <w:color w:val="auto"/>
        </w:rPr>
        <w:t>One of the Committee’s primary objectives in establishing compensation policies is to maintain competitive programs to attract,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 and motivate high caliber executives and maximize the long-term success of Cohu by appropriately rewarding such individuals for their achievements. Another objective is to provide an incentive to executives to focus their efforts on long-term goals for Cohu by closely</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184" w:lineRule="exact"/>
        <w:rPr>
          <w:sz w:val="20"/>
          <w:szCs w:val="20"/>
          <w:color w:val="auto"/>
        </w:rPr>
      </w:pPr>
    </w:p>
    <w:p>
      <w:pPr>
        <w:ind w:right="480" w:firstLine="2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The Committee generally determines base salary levels for executive level positions prior to the annual stockholders’ meeting in May.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involved in the determination of executive base salaries for fiscal 2001 is summarized below.</w:t>
      </w:r>
    </w:p>
    <w:p>
      <w:pPr>
        <w:spacing w:after="0" w:line="172" w:lineRule="exact"/>
        <w:rPr>
          <w:sz w:val="20"/>
          <w:szCs w:val="20"/>
          <w:color w:val="auto"/>
        </w:rPr>
      </w:pPr>
    </w:p>
    <w:p>
      <w:pPr>
        <w:ind w:right="160" w:firstLine="220"/>
        <w:spacing w:after="0" w:line="256" w:lineRule="auto"/>
        <w:rPr>
          <w:sz w:val="20"/>
          <w:szCs w:val="20"/>
          <w:color w:val="auto"/>
        </w:rPr>
      </w:pPr>
      <w:r>
        <w:rPr>
          <w:rFonts w:ascii="Times New Roman" w:cs="Times New Roman" w:eastAsia="Times New Roman" w:hAnsi="Times New Roman"/>
          <w:sz w:val="18"/>
          <w:szCs w:val="18"/>
          <w:color w:val="auto"/>
        </w:rPr>
        <w:t>Cohu’s 2001 financial results were adversely impacted as a result of the worldwide downturn experienced by the semiconductor equipment industry in particular and electronics and high technology companies in general. In early 2001, Cohu’s executive officers’ base compensation levels were decreased ten percent (10%). The ten percent base salary reduction remained in effect for the balance of 2001. In May 2001, Cohu’s Chief Executive Officer recommended to the Committee that any increases in Cohu executive base salary levels be deferred until industry conditions improved. Salary increases for Cohu executives will be reassessed in 2002.</w:t>
      </w:r>
    </w:p>
    <w:p>
      <w:pPr>
        <w:spacing w:after="0" w:line="191" w:lineRule="exact"/>
        <w:rPr>
          <w:sz w:val="20"/>
          <w:szCs w:val="20"/>
          <w:color w:val="auto"/>
        </w:rPr>
      </w:pPr>
    </w:p>
    <w:p>
      <w:pPr>
        <w:ind w:right="60" w:firstLine="2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Annual Incentives. </w:t>
      </w:r>
      <w:r>
        <w:rPr>
          <w:rFonts w:ascii="Times New Roman" w:cs="Times New Roman" w:eastAsia="Times New Roman" w:hAnsi="Times New Roman"/>
          <w:sz w:val="18"/>
          <w:szCs w:val="18"/>
          <w:color w:val="auto"/>
        </w:rPr>
        <w:t>Bonuses are designed to be a significant component of cash compensation. Incentives for executive level positions are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Cohu’s Incentive Bonus Plan (the “Incentive Plan”), based upon company performance. In general, the Incentive Plan performance target objectives must be achieved before any bonuses may be paid to participants.</w:t>
      </w:r>
    </w:p>
    <w:p>
      <w:pPr>
        <w:spacing w:after="0" w:line="183" w:lineRule="exact"/>
        <w:rPr>
          <w:sz w:val="20"/>
          <w:szCs w:val="20"/>
          <w:color w:val="auto"/>
        </w:rPr>
      </w:pPr>
    </w:p>
    <w:p>
      <w:pPr>
        <w:ind w:firstLine="220"/>
        <w:spacing w:after="0" w:line="262" w:lineRule="auto"/>
        <w:rPr>
          <w:sz w:val="20"/>
          <w:szCs w:val="20"/>
          <w:color w:val="auto"/>
        </w:rPr>
      </w:pPr>
      <w:r>
        <w:rPr>
          <w:rFonts w:ascii="Times New Roman" w:cs="Times New Roman" w:eastAsia="Times New Roman" w:hAnsi="Times New Roman"/>
          <w:sz w:val="18"/>
          <w:szCs w:val="18"/>
          <w:color w:val="auto"/>
        </w:rPr>
        <w:t>In January 2002, the Committee reviewed and approved incentive awards for certain participants in Cohu’s Incentive Plan. Due to the failure to achieve certain financial targets set forth in the Incentive Plan, bonuses generally were not paid under this plan for 2001. The bonuses that were paid were based on various factors the Committee deemed relevant including the participant’s contributions during the last year and the achievement of strategic initiatives</w:t>
      </w:r>
    </w:p>
    <w:p>
      <w:pPr>
        <w:spacing w:after="0" w:line="184" w:lineRule="exact"/>
        <w:rPr>
          <w:sz w:val="20"/>
          <w:szCs w:val="20"/>
          <w:color w:val="auto"/>
        </w:rPr>
      </w:pPr>
    </w:p>
    <w:p>
      <w:pPr>
        <w:ind w:right="20" w:firstLine="220"/>
        <w:spacing w:after="0" w:line="293" w:lineRule="auto"/>
        <w:rPr>
          <w:sz w:val="20"/>
          <w:szCs w:val="20"/>
          <w:color w:val="auto"/>
        </w:rPr>
      </w:pPr>
      <w:r>
        <w:rPr>
          <w:rFonts w:ascii="Times New Roman" w:cs="Times New Roman" w:eastAsia="Times New Roman" w:hAnsi="Times New Roman"/>
          <w:sz w:val="16"/>
          <w:szCs w:val="16"/>
          <w:b w:val="1"/>
          <w:bCs w:val="1"/>
          <w:color w:val="auto"/>
        </w:rPr>
        <w:t>Stock Options</w:t>
      </w:r>
      <w:r>
        <w:rPr>
          <w:rFonts w:ascii="Times New Roman" w:cs="Times New Roman" w:eastAsia="Times New Roman" w:hAnsi="Times New Roman"/>
          <w:sz w:val="16"/>
          <w:szCs w:val="16"/>
          <w:color w:val="auto"/>
        </w:rPr>
        <w:t>. The Committee grants stock options to focus the executive on the long-term performance of Cohu and on maximizing stockholder value.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Committee believes stock options serve to align the interests of executive officers with those of other stockholders. There were no grants of stock options to the Named Executive Officers in 2001.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COMPENSATION COMMITTEE OF COHU’S BOARD OF DIRECTORS:</w:t>
      </w:r>
    </w:p>
    <w:p>
      <w:pPr>
        <w:spacing w:after="0" w:line="200" w:lineRule="exact"/>
        <w:rPr>
          <w:sz w:val="20"/>
          <w:szCs w:val="20"/>
          <w:color w:val="auto"/>
        </w:rPr>
      </w:pPr>
    </w:p>
    <w:p>
      <w:pPr>
        <w:spacing w:after="0" w:line="268" w:lineRule="exact"/>
        <w:rPr>
          <w:sz w:val="20"/>
          <w:szCs w:val="20"/>
          <w:color w:val="auto"/>
        </w:rPr>
      </w:pPr>
    </w:p>
    <w:p>
      <w:pPr>
        <w:ind w:left="740"/>
        <w:spacing w:after="0"/>
        <w:tabs>
          <w:tab w:leader="none" w:pos="5100" w:val="left"/>
          <w:tab w:leader="none" w:pos="9080" w:val="left"/>
        </w:tabs>
        <w:rPr>
          <w:sz w:val="20"/>
          <w:szCs w:val="20"/>
          <w:color w:val="auto"/>
        </w:rPr>
      </w:pPr>
      <w:r>
        <w:rPr>
          <w:rFonts w:ascii="Times New Roman" w:cs="Times New Roman" w:eastAsia="Times New Roman" w:hAnsi="Times New Roman"/>
          <w:sz w:val="18"/>
          <w:szCs w:val="18"/>
          <w:color w:val="auto"/>
        </w:rPr>
        <w:t>Harry L. Casari (Chairman)</w:t>
      </w:r>
      <w:r>
        <w:rPr>
          <w:sz w:val="20"/>
          <w:szCs w:val="20"/>
          <w:color w:val="auto"/>
        </w:rPr>
        <w:tab/>
      </w:r>
      <w:r>
        <w:rPr>
          <w:rFonts w:ascii="Times New Roman" w:cs="Times New Roman" w:eastAsia="Times New Roman" w:hAnsi="Times New Roman"/>
          <w:sz w:val="18"/>
          <w:szCs w:val="18"/>
          <w:color w:val="auto"/>
        </w:rPr>
        <w:t>James W. Barnes</w:t>
      </w:r>
      <w:r>
        <w:rPr>
          <w:sz w:val="20"/>
          <w:szCs w:val="20"/>
          <w:color w:val="auto"/>
        </w:rPr>
        <w:tab/>
      </w:r>
      <w:r>
        <w:rPr>
          <w:rFonts w:ascii="Times New Roman" w:cs="Times New Roman" w:eastAsia="Times New Roman" w:hAnsi="Times New Roman"/>
          <w:sz w:val="16"/>
          <w:szCs w:val="16"/>
          <w:color w:val="auto"/>
        </w:rPr>
        <w:t>Harold Harrigian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ind w:right="220" w:firstLine="220"/>
        <w:spacing w:after="0" w:line="339" w:lineRule="auto"/>
        <w:rPr>
          <w:sz w:val="20"/>
          <w:szCs w:val="20"/>
          <w:color w:val="auto"/>
        </w:rPr>
      </w:pPr>
      <w:r>
        <w:rPr>
          <w:rFonts w:ascii="Times New Roman" w:cs="Times New Roman" w:eastAsia="Times New Roman" w:hAnsi="Times New Roman"/>
          <w:sz w:val="16"/>
          <w:szCs w:val="16"/>
          <w:color w:val="auto"/>
        </w:rPr>
        <w:t>During 2001, Messrs. Casari, Barnes and Harrigian and former board members Frank W. Davis and Gene E. Leary served as members of the Compensation Committee. None of the Compensation Committee members or Named Executive Officers have any relationships which must be disclosed under this caption.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27" w:lineRule="exact"/>
        <w:rPr>
          <w:sz w:val="20"/>
          <w:szCs w:val="20"/>
          <w:color w:val="auto"/>
        </w:rPr>
      </w:pPr>
    </w:p>
    <w:p>
      <w:pPr>
        <w:ind w:firstLine="216"/>
        <w:spacing w:after="0" w:line="296" w:lineRule="auto"/>
        <w:rPr>
          <w:sz w:val="20"/>
          <w:szCs w:val="20"/>
          <w:color w:val="auto"/>
        </w:rPr>
      </w:pPr>
      <w:r>
        <w:rPr>
          <w:rFonts w:ascii="Times New Roman" w:cs="Times New Roman" w:eastAsia="Times New Roman" w:hAnsi="Times New Roman"/>
          <w:sz w:val="16"/>
          <w:szCs w:val="16"/>
          <w:color w:val="auto"/>
        </w:rPr>
        <w:t>The graph below compares the cumulative total stockholder return on the Common Stock of Cohu for the last five fiscal years with the cumulative total return on a Peer Group Index and the Nasdaq Market Index over the same period (assuming the investment of $100 in Cohu’s Common Stock, Peer Group Index and Nasdaq Market Index on December 31, 1996 and reinvestment of all dividends). The Peer Group Index set forth on the Performance Graph is the index for Media General Financial Services, Inc. Industry Group 834, “Semiconductor Equipment/Material”. Industry Group 834 is comprised of approximately 50 publicly-held semiconductor equipment companies.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111760</wp:posOffset>
            </wp:positionV>
            <wp:extent cx="5265420" cy="2341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542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6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1998</w:t>
            </w:r>
          </w:p>
        </w:tc>
        <w:tc>
          <w:tcPr>
            <w:tcW w:w="14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1999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2001</w:t>
            </w:r>
          </w:p>
        </w:tc>
        <w:tc>
          <w:tcPr>
            <w:tcW w:w="160" w:type="dxa"/>
            <w:vAlign w:val="bottom"/>
          </w:tcPr>
          <w:p>
            <w:pPr>
              <w:spacing w:after="0"/>
              <w:rPr>
                <w:sz w:val="15"/>
                <w:szCs w:val="15"/>
                <w:color w:val="auto"/>
              </w:rPr>
            </w:pPr>
          </w:p>
        </w:tc>
      </w:tr>
      <w:tr>
        <w:trPr>
          <w:trHeight w:val="95"/>
        </w:trPr>
        <w:tc>
          <w:tcPr>
            <w:tcW w:w="2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Cohu</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24"/>
                <w:szCs w:val="24"/>
                <w:color w:val="auto"/>
              </w:rPr>
            </w:pPr>
          </w:p>
        </w:tc>
      </w:tr>
      <w:tr>
        <w:trPr>
          <w:trHeight w:val="110"/>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Peer Group</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24"/>
                <w:szCs w:val="24"/>
                <w:color w:val="auto"/>
              </w:rPr>
            </w:pPr>
          </w:p>
        </w:tc>
      </w:tr>
      <w:tr>
        <w:trPr>
          <w:trHeight w:val="110"/>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4"/>
                <w:szCs w:val="24"/>
                <w:color w:val="auto"/>
              </w:rPr>
            </w:pPr>
          </w:p>
        </w:tc>
      </w:tr>
      <w:tr>
        <w:trPr>
          <w:trHeight w:val="110"/>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TO THE COHU 1998 STOCK OPTION PLAN</w:t>
      </w:r>
    </w:p>
    <w:p>
      <w:pPr>
        <w:spacing w:after="0" w:line="227"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8"/>
          <w:szCs w:val="18"/>
          <w:color w:val="auto"/>
        </w:rPr>
        <w:t>The Cohu Board of Directors has approved and recommended for adoption an amendment to the Cohu 1998 Stock Option Plan (the “1998 Plan”). The amendment, if approved by Cohu’s stockholders, would increase the shares of stock available for issuance under the 1998 Plan by 1,000,000 to 2,850,000. The 1998 Plan is otherwise unchanged since Cohu stockholders approved an amendment to the 1998 Plan at the 2000 Annual Meeting of Stockholders. We believe strongly that approval of the amendment to the 1998 Plan is essential to our continued success. Our employees are our most valuable assets. Stock options are vital to our ability to attract and retain outstanding and highly skilled individuals in the extremely competitive labor markets in which we must compete. Options are also crucial to our ability to motivate employees to achieve Cohu’s long-term goals. The affirmative vote of the holders of a majority of shares voting in person or by proxy at the Meeting (provided a quorum is present) will be required to approve the amendment to the 1998 Plan. Any discrepancy between the language of the 1998 Plan and the summary provided herein shall be resolved in favor of the plan language.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ind w:right="280" w:firstLine="216"/>
        <w:spacing w:after="0" w:line="310" w:lineRule="auto"/>
        <w:rPr>
          <w:sz w:val="20"/>
          <w:szCs w:val="20"/>
          <w:color w:val="auto"/>
        </w:rPr>
      </w:pPr>
      <w:r>
        <w:rPr>
          <w:rFonts w:ascii="Times New Roman" w:cs="Times New Roman" w:eastAsia="Times New Roman" w:hAnsi="Times New Roman"/>
          <w:sz w:val="16"/>
          <w:szCs w:val="16"/>
          <w:color w:val="auto"/>
        </w:rPr>
        <w:t>The 1998 Plan is intended to make available shares of stock to enable selected officers and employees to purchase Common Stock of Cohu. This will assist Cohu in retaining the services of employees holding key positions with Cohu and attracting new employees capable of filling key positions, providing an incentive for such employees and encouraging stock ownership by participants thereby aligning their interests with those of Cohu’s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7"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8"/>
          <w:szCs w:val="18"/>
          <w:color w:val="auto"/>
        </w:rPr>
        <w:t>The 1998 Plan is administered by the Cohu Compensation Committee (the “Committee”). The members of the Committee must qualify as “non-employee directors” under Rule 16b-3 of the Securities Exchange Act of 1934 and as “outside directors” under Section 162(m) of the Internal Revenue Code. The Committee will have final power to construe and interpret the 1998 Plan and to grant options thereunder and to determine all questions that may arise in the administration of the 1998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1998 Plan. The Board may also appoint an “Employee Option Committee” consisting of one or more directors which is authorized to grant options to employees (other than executive officers) subject to such limitations as may be established by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Amendment and Termination</w:t>
      </w:r>
    </w:p>
    <w:p>
      <w:pPr>
        <w:spacing w:after="0" w:line="227" w:lineRule="exact"/>
        <w:rPr>
          <w:sz w:val="20"/>
          <w:szCs w:val="20"/>
          <w:color w:val="auto"/>
        </w:rPr>
      </w:pPr>
    </w:p>
    <w:p>
      <w:pPr>
        <w:ind w:right="80" w:firstLine="216"/>
        <w:spacing w:after="0" w:line="287" w:lineRule="auto"/>
        <w:rPr>
          <w:sz w:val="20"/>
          <w:szCs w:val="20"/>
          <w:color w:val="auto"/>
        </w:rPr>
      </w:pPr>
      <w:r>
        <w:rPr>
          <w:rFonts w:ascii="Times New Roman" w:cs="Times New Roman" w:eastAsia="Times New Roman" w:hAnsi="Times New Roman"/>
          <w:sz w:val="16"/>
          <w:szCs w:val="16"/>
          <w:color w:val="auto"/>
        </w:rPr>
        <w:t>The Board or the Committee may suspend or terminate the 1998 Plan at any time. Unless sooner terminated by the Committee, the term of the 1998 Plan shall be for ten (10) years from the commencement date. Termination of the 1998 Plan shall not affect any rights previously granted thereunder. The Committee may terminate, modify or amend the 1998 Plan from time to time, provided that stockholder approval would be required with respect to any amendment which would</w:t>
      </w:r>
    </w:p>
    <w:p>
      <w:pPr>
        <w:spacing w:after="0" w:line="1" w:lineRule="exact"/>
        <w:rPr>
          <w:sz w:val="20"/>
          <w:szCs w:val="20"/>
          <w:color w:val="auto"/>
        </w:rPr>
      </w:pPr>
    </w:p>
    <w:p>
      <w:pPr>
        <w:ind w:right="60" w:firstLine="8"/>
        <w:spacing w:after="0" w:line="261" w:lineRule="auto"/>
        <w:tabs>
          <w:tab w:leader="none" w:pos="2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of Common Stock reserved for issuance upon exercise of options pursuant to the 1998 Plan or (ii) modify the requirements as to eligibility to receive incentive stock options under the 1998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7" w:lineRule="exact"/>
        <w:rPr>
          <w:sz w:val="20"/>
          <w:szCs w:val="20"/>
          <w:color w:val="auto"/>
        </w:rPr>
      </w:pPr>
    </w:p>
    <w:p>
      <w:pPr>
        <w:ind w:firstLine="220"/>
        <w:spacing w:after="0" w:line="339" w:lineRule="auto"/>
        <w:rPr>
          <w:sz w:val="20"/>
          <w:szCs w:val="20"/>
          <w:color w:val="auto"/>
        </w:rPr>
      </w:pPr>
      <w:r>
        <w:rPr>
          <w:rFonts w:ascii="Times New Roman" w:cs="Times New Roman" w:eastAsia="Times New Roman" w:hAnsi="Times New Roman"/>
          <w:sz w:val="16"/>
          <w:szCs w:val="16"/>
          <w:color w:val="auto"/>
        </w:rPr>
        <w:t>Stock options may be granted only to employees (including officers and directors who are also employees) and non-employee directors of Cohu or its parent or subsidiaries or to individuals who are rendering services as consultants, advisors, or other independent contractors to Cohu or its parent or subsidiaries.</w:t>
      </w:r>
    </w:p>
    <w:p>
      <w:pPr>
        <w:spacing w:after="0" w:line="128" w:lineRule="exact"/>
        <w:rPr>
          <w:sz w:val="20"/>
          <w:szCs w:val="20"/>
          <w:color w:val="auto"/>
        </w:rPr>
      </w:pPr>
    </w:p>
    <w:p>
      <w:pPr>
        <w:ind w:right="60" w:firstLine="220"/>
        <w:spacing w:after="0" w:line="258" w:lineRule="auto"/>
        <w:rPr>
          <w:sz w:val="20"/>
          <w:szCs w:val="20"/>
          <w:color w:val="auto"/>
        </w:rPr>
      </w:pPr>
      <w:r>
        <w:rPr>
          <w:rFonts w:ascii="Times New Roman" w:cs="Times New Roman" w:eastAsia="Times New Roman" w:hAnsi="Times New Roman"/>
          <w:sz w:val="18"/>
          <w:szCs w:val="18"/>
          <w:color w:val="auto"/>
        </w:rPr>
        <w:t>No incentive stock option may be granted to a person who, at the time of the grant, owns, directly or indirectly, stock constituting more than ten percent (10%) of the total combined voting power of all classes of stock of Cohu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Reserved for Issuance</w:t>
      </w:r>
    </w:p>
    <w:p>
      <w:pPr>
        <w:spacing w:after="0" w:line="227" w:lineRule="exact"/>
        <w:rPr>
          <w:sz w:val="20"/>
          <w:szCs w:val="20"/>
          <w:color w:val="auto"/>
        </w:rPr>
      </w:pPr>
    </w:p>
    <w:p>
      <w:pPr>
        <w:ind w:right="220" w:firstLine="220"/>
        <w:spacing w:after="0" w:line="262" w:lineRule="auto"/>
        <w:rPr>
          <w:sz w:val="20"/>
          <w:szCs w:val="20"/>
          <w:color w:val="auto"/>
        </w:rPr>
      </w:pPr>
      <w:r>
        <w:rPr>
          <w:rFonts w:ascii="Times New Roman" w:cs="Times New Roman" w:eastAsia="Times New Roman" w:hAnsi="Times New Roman"/>
          <w:sz w:val="18"/>
          <w:szCs w:val="18"/>
          <w:color w:val="auto"/>
        </w:rPr>
        <w:t>If approved by Cohu’s stockholders, a total of 2,850,000 shares of the $1.00 par value Common Stock of Cohu shall be reserved for issuance pursuant to the 1998 Plan, subject to adjustment in the event of stock dividends, splits, subdivisions or combinations. At March 14, 2002 Cohu had approximately 2,295,000 options outstanding under all existing employee stock option plans and approximately 240,000 shares available for grant under such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Options</w:t>
      </w:r>
    </w:p>
    <w:p>
      <w:pPr>
        <w:spacing w:after="0" w:line="227" w:lineRule="exact"/>
        <w:rPr>
          <w:sz w:val="20"/>
          <w:szCs w:val="20"/>
          <w:color w:val="auto"/>
        </w:rPr>
      </w:pPr>
    </w:p>
    <w:p>
      <w:pPr>
        <w:ind w:right="200" w:firstLine="220"/>
        <w:spacing w:after="0" w:line="262" w:lineRule="auto"/>
        <w:rPr>
          <w:sz w:val="20"/>
          <w:szCs w:val="20"/>
          <w:color w:val="auto"/>
        </w:rPr>
      </w:pPr>
      <w:r>
        <w:rPr>
          <w:rFonts w:ascii="Times New Roman" w:cs="Times New Roman" w:eastAsia="Times New Roman" w:hAnsi="Times New Roman"/>
          <w:sz w:val="18"/>
          <w:szCs w:val="18"/>
          <w:color w:val="auto"/>
        </w:rPr>
        <w:t>Set forth below is a description of terms of options granted pursuant to the 1998 Plan, provided, however, that individual option grants in any particular case may be more restrictive as to any or all of the terms described below. The Committee may grant nonqualified stock options, incentive stock options or a combination thereof. During any calendar year no participant may be granted options for more than 200,000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firstLine="2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 Price. </w:t>
      </w:r>
      <w:r>
        <w:rPr>
          <w:rFonts w:ascii="Times New Roman" w:cs="Times New Roman" w:eastAsia="Times New Roman" w:hAnsi="Times New Roman"/>
          <w:sz w:val="18"/>
          <w:szCs w:val="18"/>
          <w:color w:val="auto"/>
        </w:rPr>
        <w:t>The purchase price per share deliverable upon the exercise of an incentive stock option shall not be less than the fair market value of a share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Cohu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1998 Plan can be determined by the Committee in its sole discretion. The exercise price of options granted under the 1998 Plan may be paid either (i) in cash at the time the option is exercised, or (ii) at the discretion of the Committee, by delivery to Cohu of other Common Stock of Cohu owned by the optionee.</w:t>
      </w:r>
    </w:p>
    <w:p>
      <w:pPr>
        <w:spacing w:after="0" w:line="192" w:lineRule="exact"/>
        <w:rPr>
          <w:sz w:val="20"/>
          <w:szCs w:val="20"/>
          <w:color w:val="auto"/>
        </w:rPr>
      </w:pPr>
    </w:p>
    <w:p>
      <w:pPr>
        <w:ind w:right="20" w:firstLine="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Option Exercise. </w:t>
      </w:r>
      <w:r>
        <w:rPr>
          <w:rFonts w:ascii="Times New Roman" w:cs="Times New Roman" w:eastAsia="Times New Roman" w:hAnsi="Times New Roman"/>
          <w:sz w:val="18"/>
          <w:szCs w:val="18"/>
          <w:color w:val="auto"/>
        </w:rPr>
        <w:t>A stock option may be exercisable, in part or in full, at any time and from time to time twelve months after the date of grant (and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 The Committee may accelerate the times at which a stock option may be exercised.</w:t>
      </w:r>
    </w:p>
    <w:p>
      <w:pPr>
        <w:spacing w:after="0" w:line="188" w:lineRule="exact"/>
        <w:rPr>
          <w:sz w:val="20"/>
          <w:szCs w:val="20"/>
          <w:color w:val="auto"/>
        </w:rPr>
      </w:pPr>
    </w:p>
    <w:p>
      <w:pPr>
        <w:ind w:right="360" w:firstLine="2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 Nonassignability. </w:t>
      </w:r>
      <w:r>
        <w:rPr>
          <w:rFonts w:ascii="Times New Roman" w:cs="Times New Roman" w:eastAsia="Times New Roman" w:hAnsi="Times New Roman"/>
          <w:sz w:val="18"/>
          <w:szCs w:val="18"/>
          <w:color w:val="auto"/>
        </w:rPr>
        <w:t>No incentive stock option may be transferred by an optionee other than by will or by the laws of descent and distribution.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lifetime of an optionee, an option may be exercised only by the optionee.</w:t>
      </w:r>
    </w:p>
    <w:p>
      <w:pPr>
        <w:spacing w:after="0" w:line="170" w:lineRule="exact"/>
        <w:rPr>
          <w:sz w:val="20"/>
          <w:szCs w:val="20"/>
          <w:color w:val="auto"/>
        </w:rPr>
      </w:pPr>
    </w:p>
    <w:p>
      <w:pPr>
        <w:ind w:firstLine="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 Expiration Following Termination of Employment. </w:t>
      </w:r>
      <w:r>
        <w:rPr>
          <w:rFonts w:ascii="Times New Roman" w:cs="Times New Roman" w:eastAsia="Times New Roman" w:hAnsi="Times New Roman"/>
          <w:sz w:val="18"/>
          <w:szCs w:val="18"/>
          <w:color w:val="auto"/>
        </w:rPr>
        <w:t>Under the 1998 Plan, an option will terminate immediately upon the optionee ceasing to be employed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Cohu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to the extent the option was exercisable on the date of termination. If termination is due to the death of the optionee, his or her legal representatives will have no more than one (1) year from the date of death to exercise the option, to the extent such option was exercisable on the date of death.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Provisions</w:t>
      </w:r>
    </w:p>
    <w:p>
      <w:pPr>
        <w:spacing w:after="0" w:line="227" w:lineRule="exact"/>
        <w:rPr>
          <w:sz w:val="20"/>
          <w:szCs w:val="20"/>
          <w:color w:val="auto"/>
        </w:rPr>
      </w:pPr>
    </w:p>
    <w:p>
      <w:pPr>
        <w:jc w:val="both"/>
        <w:ind w:right="100" w:firstLine="220"/>
        <w:spacing w:after="0" w:line="262" w:lineRule="auto"/>
        <w:rPr>
          <w:sz w:val="20"/>
          <w:szCs w:val="20"/>
          <w:color w:val="auto"/>
        </w:rPr>
      </w:pPr>
      <w:r>
        <w:rPr>
          <w:rFonts w:ascii="Times New Roman" w:cs="Times New Roman" w:eastAsia="Times New Roman" w:hAnsi="Times New Roman"/>
          <w:sz w:val="18"/>
          <w:szCs w:val="18"/>
          <w:color w:val="auto"/>
        </w:rPr>
        <w:t>If there is a change in the Common Stock subject to the 1998 Plan through recapitalization, stock dividend, stock split, combination or otherwise, appropriate adjustments shall be made to the maximum number of shares subject to the 1998 Plan, the annual limit on stock options that may be granted to an individual and to the number and exercise price of any outstanding options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7" w:lineRule="exact"/>
        <w:rPr>
          <w:sz w:val="20"/>
          <w:szCs w:val="20"/>
          <w:color w:val="auto"/>
        </w:rPr>
      </w:pPr>
    </w:p>
    <w:p>
      <w:pPr>
        <w:ind w:firstLine="210"/>
        <w:spacing w:after="0" w:line="254" w:lineRule="auto"/>
        <w:rPr>
          <w:sz w:val="20"/>
          <w:szCs w:val="20"/>
          <w:color w:val="auto"/>
        </w:rPr>
      </w:pPr>
      <w:r>
        <w:rPr>
          <w:rFonts w:ascii="Times New Roman" w:cs="Times New Roman" w:eastAsia="Times New Roman" w:hAnsi="Times New Roman"/>
          <w:sz w:val="18"/>
          <w:szCs w:val="18"/>
          <w:color w:val="auto"/>
        </w:rPr>
        <w:t>A “Reorganization” shall be deemed to have occurred when Cohu and/or its stockholders enter into an agreement to dispose of all or substantially all the assets of Cohu or an amount of the outstanding stock of Cohu sufficient to constitute effective control of Cohu by means of a sale, merger, reorganization, separation, liquidation or any other transaction. In the event of a Reorganization, the “Acquiring Corporation” may assume Cohu’s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2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8"/>
          <w:szCs w:val="18"/>
          <w:color w:val="auto"/>
        </w:rPr>
        <w:t>The following summary of the U.S. federal income tax consequences to participants and Cohu of the acquisition and disposition of shares under the 1998 Plan does not purport to be complete and participants in the 1998 Plan should refer to the applicable provisions of the Internal Revenue Code (“the Code”), or consult their own tax advisor.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some variation of the described rules applies.</w:t>
      </w:r>
    </w:p>
    <w:p>
      <w:pPr>
        <w:spacing w:after="0" w:line="225" w:lineRule="exact"/>
        <w:rPr>
          <w:sz w:val="20"/>
          <w:szCs w:val="20"/>
          <w:color w:val="auto"/>
        </w:rPr>
      </w:pPr>
    </w:p>
    <w:p>
      <w:pPr>
        <w:ind w:right="120" w:firstLine="220"/>
        <w:spacing w:after="0" w:line="258" w:lineRule="auto"/>
        <w:rPr>
          <w:sz w:val="20"/>
          <w:szCs w:val="20"/>
          <w:color w:val="auto"/>
        </w:rPr>
      </w:pPr>
      <w:r>
        <w:rPr>
          <w:rFonts w:ascii="Times New Roman" w:cs="Times New Roman" w:eastAsia="Times New Roman" w:hAnsi="Times New Roman"/>
          <w:sz w:val="18"/>
          <w:szCs w:val="18"/>
          <w:color w:val="auto"/>
        </w:rPr>
        <w:t>Cohu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1998 Plan is not qualified under Code Section 401(a) and is not subject to the provisions of the Employee Retirement Income Security Act of 1974.</w:t>
      </w:r>
    </w:p>
    <w:p>
      <w:pPr>
        <w:spacing w:after="0" w:line="190"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8"/>
          <w:szCs w:val="18"/>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Cohu will be entitled to a deduction from income for federal income tax purposes in an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193" w:lineRule="exact"/>
        <w:rPr>
          <w:sz w:val="20"/>
          <w:szCs w:val="20"/>
          <w:color w:val="auto"/>
        </w:rPr>
      </w:pPr>
    </w:p>
    <w:p>
      <w:pPr>
        <w:ind w:right="100" w:firstLine="216"/>
        <w:spacing w:after="0" w:line="254" w:lineRule="auto"/>
        <w:rPr>
          <w:sz w:val="20"/>
          <w:szCs w:val="20"/>
          <w:color w:val="auto"/>
        </w:rPr>
      </w:pPr>
      <w:r>
        <w:rPr>
          <w:rFonts w:ascii="Times New Roman" w:cs="Times New Roman" w:eastAsia="Times New Roman" w:hAnsi="Times New Roman"/>
          <w:sz w:val="18"/>
          <w:szCs w:val="18"/>
          <w:color w:val="auto"/>
        </w:rPr>
        <w:t>With respect to incentive stock options, the excess of the fair market value of stock received upon exercise over the exercise price is taken into account for purposes of the alternative minimum tax described under Section 55 of the Code. Otherwise, there are generally no tax consequences to either Cohu or an optionee connected with the grant or the exercise of an incentive stock option. If the stock acquired under an incentive stock option is not disposed of within two years from the date of grant nor within one year from the date of exercise, any gain on the sale thereof will generally be treated as capital gain to the optionee, with no tax consequences to Cohu.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treated as capital gain. Cohu may have a tax deduction equal to the ordinary income recognized by the optionee.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Recommends Approval</w:t>
      </w:r>
    </w:p>
    <w:p>
      <w:pPr>
        <w:spacing w:after="0" w:line="225" w:lineRule="exact"/>
        <w:rPr>
          <w:sz w:val="20"/>
          <w:szCs w:val="20"/>
          <w:color w:val="auto"/>
        </w:rPr>
      </w:pPr>
    </w:p>
    <w:p>
      <w:pPr>
        <w:ind w:right="380" w:firstLine="220"/>
        <w:spacing w:after="0" w:line="277"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stockholders approve the amendment to the 1998 Plan. The affirmative vote of a majority of shares present, in person or by proxy, at the Meeting (provided a quorum is present) is required to approve the amendment to the 1998 Plan.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227" w:lineRule="exact"/>
        <w:rPr>
          <w:sz w:val="20"/>
          <w:szCs w:val="20"/>
          <w:color w:val="auto"/>
        </w:rPr>
      </w:pPr>
    </w:p>
    <w:p>
      <w:pPr>
        <w:ind w:right="120" w:firstLine="220"/>
        <w:spacing w:after="0" w:line="262" w:lineRule="auto"/>
        <w:rPr>
          <w:sz w:val="20"/>
          <w:szCs w:val="20"/>
          <w:color w:val="auto"/>
        </w:rPr>
      </w:pPr>
      <w:r>
        <w:rPr>
          <w:rFonts w:ascii="Times New Roman" w:cs="Times New Roman" w:eastAsia="Times New Roman" w:hAnsi="Times New Roman"/>
          <w:sz w:val="18"/>
          <w:szCs w:val="18"/>
          <w:color w:val="auto"/>
        </w:rPr>
        <w:t>Ernst &amp; Young LLP has served as Cohu’s independent auditors continuously since 1957 and Cohu’s Audit Committee has recommended and the Board of Directors has selected this firm to serve as independent auditors for 2002. Representatives of Ernst &amp; Young LLP will be present at the Meeting and be available to respond to appropriate questions and may make a statement if they desire to do so.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ind w:firstLine="220"/>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that Cohu’s executive officers and directors and persons who own more than 10% of a registered class of Cohu’s equity securities, file an initial report of ownership on Form 3 and changes in ownership on Form 4 or 5 with the Securities and Exchange Commission (“SEC”). Such officers, directors and 10% stockholders are also required by SEC rules to furnish Cohu with copies of all Section 16(a) forms they file.</w:t>
      </w:r>
    </w:p>
    <w:p>
      <w:pPr>
        <w:spacing w:after="0" w:line="190" w:lineRule="exact"/>
        <w:rPr>
          <w:sz w:val="20"/>
          <w:szCs w:val="20"/>
          <w:color w:val="auto"/>
        </w:rPr>
      </w:pPr>
    </w:p>
    <w:p>
      <w:pPr>
        <w:ind w:right="180" w:firstLine="220"/>
        <w:spacing w:after="0" w:line="262" w:lineRule="auto"/>
        <w:rPr>
          <w:sz w:val="20"/>
          <w:szCs w:val="20"/>
          <w:color w:val="auto"/>
        </w:rPr>
      </w:pPr>
      <w:r>
        <w:rPr>
          <w:rFonts w:ascii="Times New Roman" w:cs="Times New Roman" w:eastAsia="Times New Roman" w:hAnsi="Times New Roman"/>
          <w:sz w:val="18"/>
          <w:szCs w:val="18"/>
          <w:color w:val="auto"/>
        </w:rPr>
        <w:t>Based solely on its review of the copies of such forms received by it, or written representations from certain reporting persons that no Forms 5 were required for such persons, Cohu believes that during the year ended December 31, 2001 its executive officers, directors and 10% stockholders complied with all Section 16(a) filing requirements applicable to them.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right="20" w:firstLine="216"/>
        <w:spacing w:after="0" w:line="262" w:lineRule="auto"/>
        <w:rPr>
          <w:sz w:val="20"/>
          <w:szCs w:val="20"/>
          <w:color w:val="auto"/>
        </w:rPr>
      </w:pPr>
      <w:r>
        <w:rPr>
          <w:rFonts w:ascii="Times New Roman" w:cs="Times New Roman" w:eastAsia="Times New Roman" w:hAnsi="Times New Roman"/>
          <w:sz w:val="18"/>
          <w:szCs w:val="18"/>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 — 2003 ANNUAL MEETING</w:t>
      </w:r>
    </w:p>
    <w:p>
      <w:pPr>
        <w:spacing w:after="0" w:line="227" w:lineRule="exact"/>
        <w:rPr>
          <w:sz w:val="20"/>
          <w:szCs w:val="20"/>
          <w:color w:val="auto"/>
        </w:rPr>
      </w:pPr>
    </w:p>
    <w:p>
      <w:pPr>
        <w:jc w:val="both"/>
        <w:ind w:right="200" w:firstLine="220"/>
        <w:spacing w:after="0" w:line="262" w:lineRule="auto"/>
        <w:rPr>
          <w:sz w:val="20"/>
          <w:szCs w:val="20"/>
          <w:color w:val="auto"/>
        </w:rPr>
      </w:pPr>
      <w:r>
        <w:rPr>
          <w:rFonts w:ascii="Times New Roman" w:cs="Times New Roman" w:eastAsia="Times New Roman" w:hAnsi="Times New Roman"/>
          <w:sz w:val="18"/>
          <w:szCs w:val="18"/>
          <w:color w:val="auto"/>
        </w:rPr>
        <w:t>Stockholders are entitled to present proposals for action at a forthcoming stockholders’ meeting if they comply with the requirements of the proxy rules and Cohu’s Bylaws. Any proposals intended to be presented at the 2003 Annual Meeting of Stockholders of Cohu must be received at Cohu’s offices on or before December 1, 2002 in order to be considered for inclusion in Cohu’s proxy statement and form of proxy relating to such meeting.</w:t>
      </w:r>
    </w:p>
    <w:p>
      <w:pPr>
        <w:spacing w:after="0" w:line="186" w:lineRule="exact"/>
        <w:rPr>
          <w:sz w:val="20"/>
          <w:szCs w:val="20"/>
          <w:color w:val="auto"/>
        </w:rPr>
      </w:pPr>
    </w:p>
    <w:p>
      <w:pPr>
        <w:ind w:firstLine="220"/>
        <w:spacing w:after="0" w:line="256" w:lineRule="auto"/>
        <w:rPr>
          <w:sz w:val="20"/>
          <w:szCs w:val="20"/>
          <w:color w:val="auto"/>
        </w:rPr>
      </w:pPr>
      <w:r>
        <w:rPr>
          <w:rFonts w:ascii="Times New Roman" w:cs="Times New Roman" w:eastAsia="Times New Roman" w:hAnsi="Times New Roman"/>
          <w:sz w:val="18"/>
          <w:szCs w:val="18"/>
          <w:color w:val="auto"/>
        </w:rPr>
        <w:t>If a stockholder intends to submit a proposal at the 2003 Annual Meeting of Stockholders of Cohu, which proposal is not intended to be included in Cohu’s proxy statement and form of proxy relating to such meeting, the stockholder should provide Cohu with appropriate notice no later than December 1, 2002.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2003 Annual Meeting of Stockholders of Cohu.</w:t>
      </w:r>
    </w:p>
    <w:p>
      <w:pPr>
        <w:spacing w:after="0" w:line="200" w:lineRule="exact"/>
        <w:rPr>
          <w:sz w:val="20"/>
          <w:szCs w:val="20"/>
          <w:color w:val="auto"/>
        </w:rPr>
      </w:pPr>
    </w:p>
    <w:p>
      <w:pPr>
        <w:spacing w:after="0" w:line="2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595120" cy="523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51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John H. Allen</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Secretary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2002</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 COHU, INC.</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MAY 14, 2002</w:t>
      </w:r>
    </w:p>
    <w:p>
      <w:pPr>
        <w:spacing w:after="0" w:line="213"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8"/>
          <w:szCs w:val="18"/>
          <w:color w:val="auto"/>
        </w:rPr>
        <w:t>The undersigned hereby (i) acknowledge(s) receipt of the Notice and Proxy Statement dated April 1, 2002 relating to the Annual Meeting of Stockholders of Cohu, Inc. (“Cohu”) to be held May 14, 2002 and (ii) appoint(s) CHARLES A. SCHWAN, JAMES A. DONAHUE and JOHN H. ALLEN as proxies, with full power of substitution, and authorizes them, or any of them, to vote all the shares of Common Stock of Cohu standing in the name of the undersigned at said meeting or any adjournment thereof upon the matters specified below and upon such other matters as may be properly brought before the meeting, or any adjournment thereof, conferring discretionary authority upon such proxies as to such other matters.</w:t>
      </w:r>
    </w:p>
    <w:p>
      <w:pPr>
        <w:spacing w:after="0" w:line="193" w:lineRule="exact"/>
        <w:rPr>
          <w:sz w:val="20"/>
          <w:szCs w:val="20"/>
          <w:color w:val="auto"/>
        </w:rPr>
      </w:pPr>
    </w:p>
    <w:p>
      <w:pPr>
        <w:ind w:right="1080" w:firstLine="216"/>
        <w:spacing w:after="0" w:line="275"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STOCKHOLDER. IF NO DIRECTION IS MADE, THIS PROXY WILL BE VOTED FOR PROPOSALS 1 and 2.</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(Please sign and date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Please mark</w:t>
      </w:r>
    </w:p>
    <w:p>
      <w:pPr>
        <w:ind w:left="9920"/>
        <w:spacing w:after="0" w:line="204" w:lineRule="auto"/>
        <w:tabs>
          <w:tab w:leader="none" w:pos="11060" w:val="left"/>
        </w:tabs>
        <w:rPr>
          <w:sz w:val="20"/>
          <w:szCs w:val="20"/>
          <w:color w:val="auto"/>
        </w:rPr>
      </w:pPr>
      <w:r>
        <w:rPr>
          <w:rFonts w:ascii="Times New Roman" w:cs="Times New Roman" w:eastAsia="Times New Roman" w:hAnsi="Times New Roman"/>
          <w:sz w:val="18"/>
          <w:szCs w:val="18"/>
          <w:color w:val="auto"/>
        </w:rPr>
        <w:t>your votes as</w:t>
      </w:r>
      <w:r>
        <w:rPr>
          <w:sz w:val="20"/>
          <w:szCs w:val="20"/>
          <w:color w:val="auto"/>
        </w:rPr>
        <w:tab/>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25"/>
          <w:szCs w:val="25"/>
          <w:b w:val="1"/>
          <w:bCs w:val="1"/>
          <w:color w:val="auto"/>
          <w:vertAlign w:val="subscript"/>
        </w:rPr>
        <w:t>X</w:t>
      </w:r>
      <w:r>
        <w:rPr>
          <w:rFonts w:ascii="Times New Roman" w:cs="Times New Roman" w:eastAsia="Times New Roman" w:hAnsi="Times New Roman"/>
          <w:sz w:val="25"/>
          <w:szCs w:val="25"/>
          <w:color w:val="auto"/>
          <w:vertAlign w:val="subscript"/>
        </w:rPr>
        <w:t>]</w:t>
      </w:r>
    </w:p>
    <w:p>
      <w:pPr>
        <w:spacing w:after="0" w:line="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indicated in</w:t>
      </w:r>
    </w:p>
    <w:p>
      <w:pPr>
        <w:spacing w:after="0" w:line="1"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8"/>
          <w:szCs w:val="18"/>
          <w:color w:val="auto"/>
        </w:rPr>
        <w:t>this example.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4420" w:type="dxa"/>
            <w:vAlign w:val="bottom"/>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rPr>
              <w:t>FOR</w:t>
            </w: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6"/>
              </w:rPr>
              <w:t>WITHHOLD</w:t>
            </w:r>
          </w:p>
        </w:tc>
      </w:tr>
      <w:tr>
        <w:trPr>
          <w:trHeight w:val="153"/>
        </w:trPr>
        <w:tc>
          <w:tcPr>
            <w:tcW w:w="5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4420" w:type="dxa"/>
            <w:vAlign w:val="bottom"/>
          </w:tcPr>
          <w:p>
            <w:pPr>
              <w:jc w:val="center"/>
              <w:ind w:left="2488"/>
              <w:spacing w:after="0" w:line="153" w:lineRule="exact"/>
              <w:rPr>
                <w:sz w:val="20"/>
                <w:szCs w:val="20"/>
                <w:color w:val="auto"/>
              </w:rPr>
            </w:pPr>
            <w:r>
              <w:rPr>
                <w:rFonts w:ascii="Times New Roman" w:cs="Times New Roman" w:eastAsia="Times New Roman" w:hAnsi="Times New Roman"/>
                <w:sz w:val="14"/>
                <w:szCs w:val="14"/>
                <w:color w:val="auto"/>
                <w:w w:val="95"/>
              </w:rPr>
              <w:t>the nominee listed below</w:t>
            </w:r>
          </w:p>
        </w:tc>
        <w:tc>
          <w:tcPr>
            <w:tcW w:w="1100" w:type="dxa"/>
            <w:vAlign w:val="bottom"/>
          </w:tcPr>
          <w:p>
            <w:pPr>
              <w:jc w:val="center"/>
              <w:ind w:left="188"/>
              <w:spacing w:after="0" w:line="153" w:lineRule="exact"/>
              <w:rPr>
                <w:sz w:val="20"/>
                <w:szCs w:val="20"/>
                <w:color w:val="auto"/>
              </w:rPr>
            </w:pPr>
            <w:r>
              <w:rPr>
                <w:rFonts w:ascii="Times New Roman" w:cs="Times New Roman" w:eastAsia="Times New Roman" w:hAnsi="Times New Roman"/>
                <w:sz w:val="14"/>
                <w:szCs w:val="14"/>
                <w:b w:val="1"/>
                <w:bCs w:val="1"/>
                <w:color w:val="auto"/>
                <w:w w:val="97"/>
              </w:rPr>
              <w:t>AUTHORITY</w:t>
            </w:r>
          </w:p>
        </w:tc>
      </w:tr>
      <w:tr>
        <w:trPr>
          <w:trHeight w:val="149"/>
        </w:trPr>
        <w:tc>
          <w:tcPr>
            <w:tcW w:w="5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420" w:type="dxa"/>
            <w:vAlign w:val="bottom"/>
          </w:tcPr>
          <w:p>
            <w:pPr>
              <w:jc w:val="center"/>
              <w:ind w:left="2468"/>
              <w:spacing w:after="0" w:line="149" w:lineRule="exact"/>
              <w:rPr>
                <w:sz w:val="20"/>
                <w:szCs w:val="20"/>
                <w:color w:val="auto"/>
              </w:rPr>
            </w:pPr>
            <w:r>
              <w:rPr>
                <w:rFonts w:ascii="Times New Roman" w:cs="Times New Roman" w:eastAsia="Times New Roman" w:hAnsi="Times New Roman"/>
                <w:sz w:val="14"/>
                <w:szCs w:val="14"/>
                <w:color w:val="auto"/>
                <w:w w:val="96"/>
              </w:rPr>
              <w:t>(except as marked to</w:t>
            </w:r>
          </w:p>
        </w:tc>
        <w:tc>
          <w:tcPr>
            <w:tcW w:w="11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w w:val="96"/>
              </w:rPr>
              <w:t>to vote for the</w:t>
            </w:r>
          </w:p>
        </w:tc>
      </w:tr>
      <w:tr>
        <w:trPr>
          <w:trHeight w:val="147"/>
        </w:trPr>
        <w:tc>
          <w:tcPr>
            <w:tcW w:w="5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420" w:type="dxa"/>
            <w:vAlign w:val="bottom"/>
          </w:tcPr>
          <w:p>
            <w:pPr>
              <w:jc w:val="center"/>
              <w:ind w:left="2488"/>
              <w:spacing w:after="0" w:line="147" w:lineRule="exact"/>
              <w:rPr>
                <w:sz w:val="20"/>
                <w:szCs w:val="20"/>
                <w:color w:val="auto"/>
              </w:rPr>
            </w:pPr>
            <w:r>
              <w:rPr>
                <w:rFonts w:ascii="Times New Roman" w:cs="Times New Roman" w:eastAsia="Times New Roman" w:hAnsi="Times New Roman"/>
                <w:sz w:val="14"/>
                <w:szCs w:val="14"/>
                <w:color w:val="auto"/>
                <w:w w:val="96"/>
              </w:rPr>
              <w:t>the contrary below)</w:t>
            </w:r>
          </w:p>
        </w:tc>
        <w:tc>
          <w:tcPr>
            <w:tcW w:w="1100" w:type="dxa"/>
            <w:vAlign w:val="bottom"/>
          </w:tcPr>
          <w:p>
            <w:pPr>
              <w:jc w:val="center"/>
              <w:ind w:left="188"/>
              <w:spacing w:after="0" w:line="147" w:lineRule="exact"/>
              <w:rPr>
                <w:sz w:val="20"/>
                <w:szCs w:val="20"/>
                <w:color w:val="auto"/>
              </w:rPr>
            </w:pPr>
            <w:r>
              <w:rPr>
                <w:rFonts w:ascii="Times New Roman" w:cs="Times New Roman" w:eastAsia="Times New Roman" w:hAnsi="Times New Roman"/>
                <w:sz w:val="14"/>
                <w:szCs w:val="14"/>
                <w:color w:val="auto"/>
                <w:w w:val="97"/>
              </w:rPr>
              <w:t>nominee listed</w:t>
            </w:r>
          </w:p>
        </w:tc>
      </w:tr>
      <w:tr>
        <w:trPr>
          <w:trHeight w:val="228"/>
        </w:trPr>
        <w:tc>
          <w:tcPr>
            <w:tcW w:w="5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1.</w:t>
            </w:r>
          </w:p>
        </w:tc>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ELECTION OF DIRECTOR</w:t>
            </w:r>
          </w:p>
        </w:tc>
        <w:tc>
          <w:tcPr>
            <w:tcW w:w="4420" w:type="dxa"/>
            <w:vAlign w:val="bottom"/>
          </w:tcPr>
          <w:p>
            <w:pPr>
              <w:jc w:val="center"/>
              <w:ind w:left="2488"/>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ind w:left="188"/>
              <w:spacing w:after="0"/>
              <w:rPr>
                <w:sz w:val="20"/>
                <w:szCs w:val="20"/>
                <w:color w:val="auto"/>
              </w:rPr>
            </w:pPr>
            <w:r>
              <w:rPr>
                <w:rFonts w:ascii="Times New Roman" w:cs="Times New Roman" w:eastAsia="Times New Roman" w:hAnsi="Times New Roman"/>
                <w:sz w:val="18"/>
                <w:szCs w:val="18"/>
                <w:color w:val="auto"/>
              </w:rPr>
              <w:t>[  ]</w:t>
            </w:r>
          </w:p>
        </w:tc>
      </w:tr>
    </w:tbl>
    <w:p>
      <w:pPr>
        <w:spacing w:after="0" w:line="2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01 CHARLES A. SCHWAN</w:t>
      </w:r>
    </w:p>
    <w:p>
      <w:pPr>
        <w:spacing w:after="0" w:line="2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(INSTRUCTION: To withhold authority to vote for any</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individual nominee, write that nominee’s name on the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341630</wp:posOffset>
            </wp:positionV>
            <wp:extent cx="274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4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3"/>
              </w:rPr>
              <w:t>AGAINST</w:t>
            </w:r>
          </w:p>
        </w:tc>
        <w:tc>
          <w:tcPr>
            <w:tcW w:w="10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3"/>
              </w:rPr>
              <w:t>ABSTAIN</w:t>
            </w:r>
          </w:p>
        </w:tc>
      </w:tr>
      <w:tr>
        <w:trPr>
          <w:trHeight w:val="228"/>
        </w:trPr>
        <w:tc>
          <w:tcPr>
            <w:tcW w:w="4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2.</w:t>
            </w:r>
          </w:p>
        </w:tc>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APPROVE AN AMENDMENT TO THE COHU 1998 STOCK OPTION PLAN</w:t>
            </w:r>
          </w:p>
        </w:tc>
        <w:tc>
          <w:tcPr>
            <w:tcW w:w="1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  ]</w:t>
            </w:r>
          </w:p>
        </w:tc>
      </w:tr>
    </w:tbl>
    <w:p>
      <w:pPr>
        <w:ind w:left="720"/>
        <w:spacing w:after="0"/>
        <w:rPr>
          <w:sz w:val="20"/>
          <w:szCs w:val="20"/>
          <w:color w:val="auto"/>
        </w:rPr>
      </w:pPr>
      <w:r>
        <w:rPr>
          <w:rFonts w:ascii="Times New Roman" w:cs="Times New Roman" w:eastAsia="Times New Roman" w:hAnsi="Times New Roman"/>
          <w:sz w:val="18"/>
          <w:szCs w:val="18"/>
          <w:color w:val="auto"/>
        </w:rPr>
        <w:t>INCREASING THE SHARES OF STOCK SUBJECT TO THE PLAN BY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1,000,000</w:t>
      </w:r>
    </w:p>
    <w:p>
      <w:pPr>
        <w:spacing w:after="0" w:line="240" w:lineRule="exact"/>
        <w:rPr>
          <w:sz w:val="20"/>
          <w:szCs w:val="20"/>
          <w:color w:val="auto"/>
        </w:rPr>
      </w:pPr>
    </w:p>
    <w:p>
      <w:pPr>
        <w:ind w:left="720" w:right="4700" w:hanging="712"/>
        <w:spacing w:after="0" w:line="27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DISCRETION, UPON SUCH OTHER MATTERS AS MAY PROPERLY COME BEFORE THE MEETING.</w:t>
      </w:r>
    </w:p>
    <w:p>
      <w:pPr>
        <w:spacing w:after="0" w:line="198" w:lineRule="exact"/>
        <w:rPr>
          <w:rFonts w:ascii="Times New Roman" w:cs="Times New Roman" w:eastAsia="Times New Roman" w:hAnsi="Times New Roman"/>
          <w:sz w:val="18"/>
          <w:szCs w:val="18"/>
          <w:color w:val="auto"/>
        </w:rPr>
      </w:pPr>
    </w:p>
    <w:p>
      <w:pPr>
        <w:ind w:left="720" w:right="4700"/>
        <w:spacing w:after="0" w:line="3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STOCKHOLDERS WHO ATTEND THE MEETING MAY VOTE IN PERSON EVEN THOUGH THEY HAVE PREVIOUSLY MAILED THIS PROXY</w:t>
      </w:r>
    </w:p>
    <w:p>
      <w:pPr>
        <w:spacing w:after="0" w:line="1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DATE, SIGN AND MAIL THIS PROXY CARD IN THE ENVELOPE.</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POSTAGE IS REQUIRED FOR MAILING IN THE U.S.A.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_________________________________________________________________ Dated: ________________________, 2002</w:t>
      </w:r>
    </w:p>
    <w:p>
      <w:pPr>
        <w:spacing w:after="0" w:line="22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IMPORTANT: Please date this Proxy and sign exactly as your name(s) appears hereon. When signing as a fiduciary, please give your full title. If shares are held by joint tenants,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FOLD AND DETACH HERE *</w:t>
      </w:r>
    </w:p>
    <w:sectPr>
      <w:pgSz w:w="11900" w:h="16838" w:orient="portrait"/>
      <w:cols w:equalWidth="0" w:num="1">
        <w:col w:w="11420"/>
      </w:cols>
      <w:pgMar w:left="240" w:top="4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decimal"/>
      <w:start w:val="1"/>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2019-12-12T22:42:18Z</dcterms:created>
  <dcterms:modified xsi:type="dcterms:W3CDTF">2019-12-12T22:42:18Z</dcterms:modified>
</cp:coreProperties>
</file>