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color w:val="auto"/>
        </w:rPr>
        <w:t>UNITED STATES</w:t>
      </w:r>
    </w:p>
    <w:p>
      <w:pPr>
        <w:spacing w:after="0" w:line="32" w:lineRule="exact"/>
        <w:rPr>
          <w:sz w:val="24"/>
          <w:szCs w:val="24"/>
          <w:color w:val="auto"/>
        </w:rPr>
      </w:pPr>
    </w:p>
    <w:p>
      <w:pPr>
        <w:jc w:val="center"/>
        <w:ind w:right="-119"/>
        <w:spacing w:after="0"/>
        <w:rPr>
          <w:sz w:val="20"/>
          <w:szCs w:val="20"/>
          <w:color w:val="auto"/>
        </w:rPr>
      </w:pPr>
      <w:r>
        <w:rPr>
          <w:rFonts w:ascii="Arial" w:cs="Arial" w:eastAsia="Arial" w:hAnsi="Arial"/>
          <w:sz w:val="25"/>
          <w:szCs w:val="25"/>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CURRENT REPORT</w:t>
      </w:r>
    </w:p>
    <w:p>
      <w:pPr>
        <w:spacing w:after="0" w:line="213" w:lineRule="exact"/>
        <w:rPr>
          <w:sz w:val="24"/>
          <w:szCs w:val="24"/>
          <w:color w:val="auto"/>
        </w:rPr>
      </w:pPr>
    </w:p>
    <w:p>
      <w:pPr>
        <w:ind w:left="314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52" w:lineRule="exact"/>
        <w:rPr>
          <w:sz w:val="24"/>
          <w:szCs w:val="24"/>
          <w:color w:val="auto"/>
        </w:rPr>
      </w:pPr>
    </w:p>
    <w:p>
      <w:pPr>
        <w:spacing w:after="0"/>
        <w:tabs>
          <w:tab w:leader="none" w:pos="586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color w:val="auto"/>
        </w:rPr>
        <w:t>July 30, 2014</w:t>
      </w:r>
    </w:p>
    <w:p>
      <w:pPr>
        <w:spacing w:after="0" w:line="200" w:lineRule="exact"/>
        <w:rPr>
          <w:sz w:val="24"/>
          <w:szCs w:val="24"/>
          <w:color w:val="auto"/>
        </w:rPr>
      </w:pPr>
    </w:p>
    <w:p>
      <w:pPr>
        <w:spacing w:after="0" w:line="224" w:lineRule="exact"/>
        <w:rPr>
          <w:sz w:val="24"/>
          <w:szCs w:val="24"/>
          <w:color w:val="auto"/>
        </w:rPr>
      </w:pPr>
    </w:p>
    <w:p>
      <w:pPr>
        <w:jc w:val="center"/>
        <w:ind w:right="-119"/>
        <w:spacing w:after="0"/>
        <w:rPr>
          <w:sz w:val="20"/>
          <w:szCs w:val="20"/>
          <w:color w:val="auto"/>
        </w:rPr>
      </w:pPr>
      <w:r>
        <w:rPr>
          <w:rFonts w:ascii="Arial" w:cs="Arial" w:eastAsia="Arial" w:hAnsi="Arial"/>
          <w:sz w:val="43"/>
          <w:szCs w:val="43"/>
          <w:color w:val="auto"/>
        </w:rPr>
        <w:t>Cohu,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134620</wp:posOffset>
            </wp:positionV>
            <wp:extent cx="2571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21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3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gridSpan w:val="4"/>
          </w:tcPr>
          <w:p>
            <w:pPr>
              <w:jc w:val="center"/>
              <w:ind w:right="1410"/>
              <w:spacing w:after="0"/>
              <w:rPr>
                <w:sz w:val="20"/>
                <w:szCs w:val="20"/>
                <w:color w:val="auto"/>
              </w:rPr>
            </w:pPr>
            <w:r>
              <w:rPr>
                <w:rFonts w:ascii="Arial" w:cs="Arial" w:eastAsia="Arial" w:hAnsi="Arial"/>
                <w:sz w:val="18"/>
                <w:szCs w:val="18"/>
                <w:color w:val="auto"/>
                <w:w w:val="92"/>
              </w:rPr>
              <w:t>Delaware</w:t>
            </w:r>
          </w:p>
        </w:tc>
        <w:tc>
          <w:tcPr>
            <w:tcW w:w="2040" w:type="dxa"/>
            <w:vAlign w:val="bottom"/>
            <w:gridSpan w:val="2"/>
          </w:tcPr>
          <w:p>
            <w:pPr>
              <w:jc w:val="center"/>
              <w:ind w:left="650"/>
              <w:spacing w:after="0"/>
              <w:rPr>
                <w:sz w:val="20"/>
                <w:szCs w:val="20"/>
                <w:color w:val="auto"/>
              </w:rPr>
            </w:pPr>
            <w:r>
              <w:rPr>
                <w:rFonts w:ascii="Arial" w:cs="Arial" w:eastAsia="Arial" w:hAnsi="Arial"/>
                <w:sz w:val="18"/>
                <w:szCs w:val="18"/>
                <w:color w:val="auto"/>
                <w:w w:val="90"/>
              </w:rPr>
              <w:t>001-04298</w:t>
            </w:r>
          </w:p>
        </w:tc>
        <w:tc>
          <w:tcPr>
            <w:tcW w:w="1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0" w:type="dxa"/>
            <w:vAlign w:val="bottom"/>
            <w:gridSpan w:val="2"/>
          </w:tcPr>
          <w:p>
            <w:pPr>
              <w:jc w:val="right"/>
              <w:ind w:right="50"/>
              <w:spacing w:after="0"/>
              <w:rPr>
                <w:sz w:val="20"/>
                <w:szCs w:val="20"/>
                <w:color w:val="auto"/>
              </w:rPr>
            </w:pPr>
            <w:r>
              <w:rPr>
                <w:rFonts w:ascii="Arial" w:cs="Arial" w:eastAsia="Arial" w:hAnsi="Arial"/>
                <w:sz w:val="18"/>
                <w:szCs w:val="18"/>
                <w:color w:val="auto"/>
              </w:rPr>
              <w:t>95-1934119</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2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gridSpan w:val="4"/>
          </w:tcPr>
          <w:p>
            <w:pPr>
              <w:jc w:val="center"/>
              <w:ind w:right="1410"/>
              <w:spacing w:after="0"/>
              <w:rPr>
                <w:sz w:val="20"/>
                <w:szCs w:val="20"/>
                <w:color w:val="auto"/>
              </w:rPr>
            </w:pPr>
            <w:r>
              <w:rPr>
                <w:rFonts w:ascii="Arial" w:cs="Arial" w:eastAsia="Arial" w:hAnsi="Arial"/>
                <w:sz w:val="18"/>
                <w:szCs w:val="18"/>
                <w:color w:val="auto"/>
                <w:w w:val="92"/>
              </w:rPr>
              <w:t>(State or other jurisdiction</w:t>
            </w:r>
          </w:p>
        </w:tc>
        <w:tc>
          <w:tcPr>
            <w:tcW w:w="720" w:type="dxa"/>
            <w:vAlign w:val="bottom"/>
          </w:tcPr>
          <w:p>
            <w:pPr>
              <w:spacing w:after="0"/>
              <w:rPr>
                <w:sz w:val="20"/>
                <w:szCs w:val="20"/>
                <w:color w:val="auto"/>
              </w:rPr>
            </w:pPr>
          </w:p>
        </w:tc>
        <w:tc>
          <w:tcPr>
            <w:tcW w:w="3580" w:type="dxa"/>
            <w:vAlign w:val="bottom"/>
            <w:gridSpan w:val="3"/>
          </w:tcPr>
          <w:p>
            <w:pPr>
              <w:jc w:val="center"/>
              <w:ind w:right="2260"/>
              <w:spacing w:after="0"/>
              <w:rPr>
                <w:sz w:val="20"/>
                <w:szCs w:val="20"/>
                <w:color w:val="auto"/>
              </w:rPr>
            </w:pPr>
            <w:r>
              <w:rPr>
                <w:rFonts w:ascii="Arial" w:cs="Arial" w:eastAsia="Arial" w:hAnsi="Arial"/>
                <w:sz w:val="18"/>
                <w:szCs w:val="18"/>
                <w:color w:val="auto"/>
                <w:w w:val="91"/>
              </w:rPr>
              <w:t>(Commission</w:t>
            </w:r>
          </w:p>
        </w:tc>
        <w:tc>
          <w:tcPr>
            <w:tcW w:w="1660" w:type="dxa"/>
            <w:vAlign w:val="bottom"/>
            <w:gridSpan w:val="3"/>
          </w:tcPr>
          <w:p>
            <w:pPr>
              <w:jc w:val="center"/>
              <w:spacing w:after="0"/>
              <w:rPr>
                <w:sz w:val="20"/>
                <w:szCs w:val="20"/>
                <w:color w:val="auto"/>
              </w:rPr>
            </w:pPr>
            <w:r>
              <w:rPr>
                <w:rFonts w:ascii="Arial" w:cs="Arial" w:eastAsia="Arial" w:hAnsi="Arial"/>
                <w:sz w:val="18"/>
                <w:szCs w:val="18"/>
                <w:color w:val="auto"/>
                <w:w w:val="93"/>
              </w:rPr>
              <w:t>(I.R.S. Employer</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gridSpan w:val="4"/>
          </w:tcPr>
          <w:p>
            <w:pPr>
              <w:jc w:val="center"/>
              <w:ind w:right="1410"/>
              <w:spacing w:after="0"/>
              <w:rPr>
                <w:sz w:val="20"/>
                <w:szCs w:val="20"/>
                <w:color w:val="auto"/>
              </w:rPr>
            </w:pPr>
            <w:r>
              <w:rPr>
                <w:rFonts w:ascii="Arial" w:cs="Arial" w:eastAsia="Arial" w:hAnsi="Arial"/>
                <w:sz w:val="18"/>
                <w:szCs w:val="18"/>
                <w:color w:val="auto"/>
                <w:w w:val="93"/>
              </w:rPr>
              <w:t>of incorporation)</w:t>
            </w:r>
          </w:p>
        </w:tc>
        <w:tc>
          <w:tcPr>
            <w:tcW w:w="720" w:type="dxa"/>
            <w:vAlign w:val="bottom"/>
          </w:tcPr>
          <w:p>
            <w:pPr>
              <w:spacing w:after="0"/>
              <w:rPr>
                <w:sz w:val="20"/>
                <w:szCs w:val="20"/>
                <w:color w:val="auto"/>
              </w:rPr>
            </w:pPr>
          </w:p>
        </w:tc>
        <w:tc>
          <w:tcPr>
            <w:tcW w:w="3580" w:type="dxa"/>
            <w:vAlign w:val="bottom"/>
            <w:gridSpan w:val="3"/>
          </w:tcPr>
          <w:p>
            <w:pPr>
              <w:jc w:val="center"/>
              <w:ind w:right="2260"/>
              <w:spacing w:after="0"/>
              <w:rPr>
                <w:sz w:val="20"/>
                <w:szCs w:val="20"/>
                <w:color w:val="auto"/>
              </w:rPr>
            </w:pPr>
            <w:r>
              <w:rPr>
                <w:rFonts w:ascii="Arial" w:cs="Arial" w:eastAsia="Arial" w:hAnsi="Arial"/>
                <w:sz w:val="18"/>
                <w:szCs w:val="18"/>
                <w:color w:val="auto"/>
                <w:w w:val="92"/>
              </w:rPr>
              <w:t>File Number)</w:t>
            </w:r>
          </w:p>
        </w:tc>
        <w:tc>
          <w:tcPr>
            <w:tcW w:w="1660" w:type="dxa"/>
            <w:vAlign w:val="bottom"/>
            <w:gridSpan w:val="3"/>
          </w:tcPr>
          <w:p>
            <w:pPr>
              <w:jc w:val="center"/>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391"/>
        </w:trPr>
        <w:tc>
          <w:tcPr>
            <w:tcW w:w="480" w:type="dxa"/>
            <w:vAlign w:val="bottom"/>
          </w:tcPr>
          <w:p>
            <w:pPr>
              <w:spacing w:after="0"/>
              <w:rPr>
                <w:sz w:val="24"/>
                <w:szCs w:val="24"/>
                <w:color w:val="auto"/>
              </w:rPr>
            </w:pPr>
          </w:p>
        </w:tc>
        <w:tc>
          <w:tcPr>
            <w:tcW w:w="3980" w:type="dxa"/>
            <w:vAlign w:val="bottom"/>
            <w:gridSpan w:val="5"/>
          </w:tcPr>
          <w:p>
            <w:pPr>
              <w:jc w:val="center"/>
              <w:ind w:right="950"/>
              <w:spacing w:after="0"/>
              <w:rPr>
                <w:sz w:val="20"/>
                <w:szCs w:val="20"/>
                <w:color w:val="auto"/>
              </w:rPr>
            </w:pPr>
            <w:r>
              <w:rPr>
                <w:rFonts w:ascii="Arial" w:cs="Arial" w:eastAsia="Arial" w:hAnsi="Arial"/>
                <w:sz w:val="18"/>
                <w:szCs w:val="18"/>
                <w:color w:val="auto"/>
                <w:w w:val="91"/>
              </w:rPr>
              <w:t>12367 Crosthwaite Circle, Poway,</w:t>
            </w:r>
          </w:p>
        </w:tc>
        <w:tc>
          <w:tcPr>
            <w:tcW w:w="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0" w:type="dxa"/>
            <w:vAlign w:val="bottom"/>
            <w:gridSpan w:val="2"/>
            <w:vMerge w:val="restart"/>
          </w:tcPr>
          <w:p>
            <w:pPr>
              <w:jc w:val="right"/>
              <w:ind w:right="250"/>
              <w:spacing w:after="0"/>
              <w:rPr>
                <w:sz w:val="20"/>
                <w:szCs w:val="20"/>
                <w:color w:val="auto"/>
              </w:rPr>
            </w:pPr>
            <w:r>
              <w:rPr>
                <w:rFonts w:ascii="Arial" w:cs="Arial" w:eastAsia="Arial" w:hAnsi="Arial"/>
                <w:sz w:val="18"/>
                <w:szCs w:val="18"/>
                <w:color w:val="auto"/>
              </w:rPr>
              <w:t>92064</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520" w:type="dxa"/>
            <w:vAlign w:val="bottom"/>
            <w:gridSpan w:val="4"/>
            <w:vMerge w:val="restart"/>
          </w:tcPr>
          <w:p>
            <w:pPr>
              <w:jc w:val="center"/>
              <w:ind w:right="1410"/>
              <w:spacing w:after="0"/>
              <w:rPr>
                <w:sz w:val="20"/>
                <w:szCs w:val="20"/>
                <w:color w:val="auto"/>
              </w:rPr>
            </w:pPr>
            <w:r>
              <w:rPr>
                <w:rFonts w:ascii="Arial" w:cs="Arial" w:eastAsia="Arial" w:hAnsi="Arial"/>
                <w:sz w:val="18"/>
                <w:szCs w:val="18"/>
                <w:color w:val="auto"/>
                <w:w w:val="97"/>
              </w:rPr>
              <w:t>California</w:t>
            </w:r>
          </w:p>
        </w:tc>
        <w:tc>
          <w:tcPr>
            <w:tcW w:w="7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520" w:type="dxa"/>
            <w:vAlign w:val="bottom"/>
            <w:gridSpan w:val="4"/>
            <w:vMerge w:val="continue"/>
          </w:tcPr>
          <w:p>
            <w:pPr>
              <w:spacing w:after="0"/>
              <w:rPr>
                <w:sz w:val="12"/>
                <w:szCs w:val="12"/>
                <w:color w:val="auto"/>
              </w:rPr>
            </w:pPr>
          </w:p>
        </w:tc>
        <w:tc>
          <w:tcPr>
            <w:tcW w:w="7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2920" w:type="dxa"/>
            <w:vAlign w:val="bottom"/>
            <w:tcBorders>
              <w:bottom w:val="single" w:sz="8" w:color="auto"/>
            </w:tcBorders>
            <w:gridSpan w:val="3"/>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80" w:type="dxa"/>
            <w:vAlign w:val="bottom"/>
          </w:tcPr>
          <w:p>
            <w:pPr>
              <w:spacing w:after="0"/>
              <w:rPr>
                <w:sz w:val="21"/>
                <w:szCs w:val="21"/>
                <w:color w:val="auto"/>
              </w:rPr>
            </w:pPr>
          </w:p>
        </w:tc>
        <w:tc>
          <w:tcPr>
            <w:tcW w:w="3980" w:type="dxa"/>
            <w:vAlign w:val="bottom"/>
            <w:gridSpan w:val="5"/>
          </w:tcPr>
          <w:p>
            <w:pPr>
              <w:jc w:val="center"/>
              <w:ind w:right="950"/>
              <w:spacing w:after="0"/>
              <w:rPr>
                <w:sz w:val="20"/>
                <w:szCs w:val="20"/>
                <w:color w:val="auto"/>
              </w:rPr>
            </w:pPr>
            <w:r>
              <w:rPr>
                <w:rFonts w:ascii="Arial" w:cs="Arial" w:eastAsia="Arial" w:hAnsi="Arial"/>
                <w:sz w:val="18"/>
                <w:szCs w:val="18"/>
                <w:color w:val="auto"/>
                <w:w w:val="92"/>
              </w:rPr>
              <w:t>(Address of principal executive offices)</w:t>
            </w:r>
          </w:p>
        </w:tc>
        <w:tc>
          <w:tcPr>
            <w:tcW w:w="7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r>
        <w:trPr>
          <w:trHeight w:val="459"/>
        </w:trPr>
        <w:tc>
          <w:tcPr>
            <w:tcW w:w="4460" w:type="dxa"/>
            <w:vAlign w:val="bottom"/>
            <w:gridSpan w:val="6"/>
          </w:tcPr>
          <w:p>
            <w:pPr>
              <w:spacing w:after="0"/>
              <w:rPr>
                <w:sz w:val="20"/>
                <w:szCs w:val="20"/>
                <w:color w:val="auto"/>
              </w:rPr>
            </w:pPr>
            <w:r>
              <w:rPr>
                <w:rFonts w:ascii="Arial" w:cs="Arial" w:eastAsia="Arial" w:hAnsi="Arial"/>
                <w:sz w:val="18"/>
                <w:szCs w:val="18"/>
                <w:color w:val="auto"/>
              </w:rPr>
              <w:t>Registrant’s telephone number, including area code:</w:t>
            </w:r>
          </w:p>
        </w:tc>
        <w:tc>
          <w:tcPr>
            <w:tcW w:w="3460" w:type="dxa"/>
            <w:vAlign w:val="bottom"/>
            <w:gridSpan w:val="3"/>
          </w:tcPr>
          <w:p>
            <w:pPr>
              <w:jc w:val="right"/>
              <w:ind w:right="1020"/>
              <w:spacing w:after="0"/>
              <w:rPr>
                <w:sz w:val="20"/>
                <w:szCs w:val="20"/>
                <w:color w:val="auto"/>
              </w:rPr>
            </w:pPr>
            <w:r>
              <w:rPr>
                <w:rFonts w:ascii="Arial" w:cs="Arial" w:eastAsia="Arial" w:hAnsi="Arial"/>
                <w:sz w:val="18"/>
                <w:szCs w:val="18"/>
                <w:color w:val="auto"/>
              </w:rPr>
              <w:t>858-848-8100</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300" w:type="dxa"/>
            <w:vAlign w:val="bottom"/>
            <w:gridSpan w:val="4"/>
          </w:tcPr>
          <w:p>
            <w:pPr>
              <w:jc w:val="center"/>
              <w:ind w:right="1800"/>
              <w:spacing w:after="0"/>
              <w:rPr>
                <w:sz w:val="20"/>
                <w:szCs w:val="20"/>
                <w:color w:val="auto"/>
              </w:rPr>
            </w:pPr>
            <w:r>
              <w:rPr>
                <w:rFonts w:ascii="Arial" w:cs="Arial" w:eastAsia="Arial" w:hAnsi="Arial"/>
                <w:sz w:val="18"/>
                <w:szCs w:val="18"/>
                <w:color w:val="auto"/>
                <w:w w:val="94"/>
              </w:rPr>
              <w:t>Not Applicable</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20" w:type="dxa"/>
            <w:vAlign w:val="bottom"/>
            <w:tcBorders>
              <w:bottom w:val="single" w:sz="8" w:color="auto"/>
            </w:tcBorders>
            <w:gridSpan w:val="4"/>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60" w:type="dxa"/>
            <w:vAlign w:val="bottom"/>
            <w:gridSpan w:val="5"/>
          </w:tcPr>
          <w:p>
            <w:pPr>
              <w:jc w:val="center"/>
              <w:ind w:right="84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3"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231"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229"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On July 30, 2014, Cohu, Inc. (the “Company”) issued a press release regarding its financial results for the second quarter ended June 28, 2014. The Company’s press release is attached as Exhibit 99.1 to this Current Report on Form 8-K and incorporated by reference herein.</w:t>
      </w:r>
    </w:p>
    <w:p>
      <w:pPr>
        <w:spacing w:after="0" w:line="38"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information in this Item 2.02 of this Current Report on Form 8-K and the Exhibit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spacing w:after="0" w:line="3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to financial results determined in accordance with generally accepted accounting principles (“GAAP”), the earnings press release also contains financial information determined by methods other than in accordance with GAAP. The Company’s management uses these non-GAAP measures in their analysis of the Company’s performance. These non-GAAP financial measures adjust the Company’s actual results prepared under GAAP to exclude charges and the related income tax effect for share-based compensation, the amortization of acquired intangible assets, manufacturing transition costs, other acquisition costs and the purchase accounting inventory step-up included in cost of goods sold. 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believes these non-GAAP measures allow investors to evaluate the Company’s financial performance using some of the same measures as management. These disclosures should not be viewed as a substitute for operating results determined in accordance with GAAP, nor are they necessarily comparable to non-GAAP performance measures that may be presented by other companies.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 listed below is being furnished with this Current Report on Form 8-K.</w:t>
      </w:r>
    </w:p>
    <w:p>
      <w:pPr>
        <w:spacing w:after="0" w:line="117" w:lineRule="exact"/>
        <w:rPr>
          <w:sz w:val="20"/>
          <w:szCs w:val="20"/>
          <w:color w:val="auto"/>
        </w:rPr>
      </w:pPr>
    </w:p>
    <w:p>
      <w:pPr>
        <w:ind w:right="10040" w:firstLine="8"/>
        <w:spacing w:after="0" w:line="397" w:lineRule="auto"/>
        <w:tabs>
          <w:tab w:leader="none" w:pos="255" w:val="left"/>
        </w:tabs>
        <w:numPr>
          <w:ilvl w:val="0"/>
          <w:numId w:val="2"/>
        </w:numPr>
        <w:rPr>
          <w:rFonts w:ascii="Arial" w:cs="Arial" w:eastAsia="Arial" w:hAnsi="Arial"/>
          <w:sz w:val="17"/>
          <w:szCs w:val="17"/>
          <w:color w:val="auto"/>
        </w:rPr>
      </w:pPr>
      <w:r>
        <w:rPr>
          <w:rFonts w:ascii="Arial" w:cs="Arial" w:eastAsia="Arial" w:hAnsi="Arial"/>
          <w:sz w:val="17"/>
          <w:szCs w:val="17"/>
          <w:color w:val="auto"/>
        </w:rPr>
        <w:t>Exhibits Exhibit No. - 99.1</w:t>
      </w:r>
    </w:p>
    <w:p>
      <w:pPr>
        <w:spacing w:after="0" w:line="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Description – Second Quarter 2014 Earnings Release, dated July 30, 2014, of Cohu, Inc.</w:t>
      </w:r>
    </w:p>
    <w:p>
      <w:pPr>
        <w:sectPr>
          <w:pgSz w:w="11900" w:h="16838" w:orient="portrait"/>
          <w:cols w:equalWidth="0" w:num="1">
            <w:col w:w="11360"/>
          </w:cols>
          <w:pgMar w:left="240" w:top="270" w:right="29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54"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Cohu, Inc.</w:t>
      </w:r>
    </w:p>
    <w:p>
      <w:pPr>
        <w:spacing w:after="0" w:line="225" w:lineRule="exact"/>
        <w:rPr>
          <w:sz w:val="20"/>
          <w:szCs w:val="20"/>
          <w:color w:val="auto"/>
        </w:rPr>
      </w:pPr>
    </w:p>
    <w:p>
      <w:pPr>
        <w:spacing w:after="0"/>
        <w:tabs>
          <w:tab w:leader="none" w:pos="6140" w:val="left"/>
          <w:tab w:leader="none" w:pos="6680" w:val="left"/>
        </w:tabs>
        <w:rPr>
          <w:sz w:val="20"/>
          <w:szCs w:val="20"/>
          <w:color w:val="auto"/>
        </w:rPr>
      </w:pPr>
      <w:r>
        <w:rPr>
          <w:rFonts w:ascii="Arial" w:cs="Arial" w:eastAsia="Arial" w:hAnsi="Arial"/>
          <w:sz w:val="18"/>
          <w:szCs w:val="18"/>
          <w:i w:val="1"/>
          <w:iCs w:val="1"/>
          <w:color w:val="auto"/>
        </w:rPr>
        <w:t>July 31, 2014</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6"/>
          <w:szCs w:val="16"/>
          <w:i w:val="1"/>
          <w:iCs w:val="1"/>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152400</wp:posOffset>
            </wp:positionV>
            <wp:extent cx="3112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46" w:lineRule="exact"/>
        <w:rPr>
          <w:sz w:val="20"/>
          <w:szCs w:val="20"/>
          <w:color w:val="auto"/>
        </w:rPr>
      </w:pPr>
    </w:p>
    <w:p>
      <w:pPr>
        <w:ind w:left="6560"/>
        <w:spacing w:after="0"/>
        <w:rPr>
          <w:sz w:val="20"/>
          <w:szCs w:val="20"/>
          <w:color w:val="auto"/>
        </w:rPr>
      </w:pPr>
      <w:r>
        <w:rPr>
          <w:rFonts w:ascii="Arial" w:cs="Arial" w:eastAsia="Arial" w:hAnsi="Arial"/>
          <w:sz w:val="18"/>
          <w:szCs w:val="18"/>
          <w:i w:val="1"/>
          <w:iCs w:val="1"/>
          <w:color w:val="auto"/>
        </w:rPr>
        <w:t>Name: Jeffrey D. Jones</w:t>
      </w:r>
    </w:p>
    <w:p>
      <w:pPr>
        <w:spacing w:after="0" w:line="23" w:lineRule="exact"/>
        <w:rPr>
          <w:sz w:val="20"/>
          <w:szCs w:val="20"/>
          <w:color w:val="auto"/>
        </w:rPr>
      </w:pPr>
    </w:p>
    <w:p>
      <w:pPr>
        <w:ind w:left="6560"/>
        <w:spacing w:after="0"/>
        <w:rPr>
          <w:sz w:val="20"/>
          <w:szCs w:val="20"/>
          <w:color w:val="auto"/>
        </w:rPr>
      </w:pPr>
      <w:r>
        <w:rPr>
          <w:rFonts w:ascii="Arial" w:cs="Arial" w:eastAsia="Arial" w:hAnsi="Arial"/>
          <w:sz w:val="18"/>
          <w:szCs w:val="18"/>
          <w:i w:val="1"/>
          <w:iCs w:val="1"/>
          <w:color w:val="auto"/>
        </w:rPr>
        <w:t>Title: VP Finance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567"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40" w:type="dxa"/>
            <w:vAlign w:val="bottom"/>
          </w:tcPr>
          <w:p>
            <w:pPr>
              <w:ind w:left="3040"/>
              <w:spacing w:after="0"/>
              <w:rPr>
                <w:sz w:val="20"/>
                <w:szCs w:val="20"/>
                <w:color w:val="auto"/>
              </w:rPr>
            </w:pPr>
            <w:r>
              <w:rPr>
                <w:rFonts w:ascii="Arial" w:cs="Arial" w:eastAsia="Arial" w:hAnsi="Arial"/>
                <w:sz w:val="18"/>
                <w:szCs w:val="18"/>
                <w:color w:val="auto"/>
              </w:rPr>
              <w:t>Exhibit Index</w:t>
            </w:r>
          </w:p>
        </w:tc>
      </w:tr>
      <w:tr>
        <w:trPr>
          <w:trHeight w:val="459"/>
        </w:trPr>
        <w:tc>
          <w:tcPr>
            <w:tcW w:w="208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10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2080" w:type="dxa"/>
            <w:vAlign w:val="bottom"/>
            <w:tcBorders>
              <w:bottom w:val="single" w:sz="8" w:color="ACA899"/>
            </w:tcBorders>
          </w:tcPr>
          <w:p>
            <w:pPr>
              <w:spacing w:after="0"/>
              <w:rPr>
                <w:sz w:val="18"/>
                <w:szCs w:val="18"/>
                <w:color w:val="auto"/>
              </w:rPr>
            </w:pPr>
          </w:p>
        </w:tc>
        <w:tc>
          <w:tcPr>
            <w:tcW w:w="100" w:type="dxa"/>
            <w:vAlign w:val="bottom"/>
          </w:tcPr>
          <w:p>
            <w:pPr>
              <w:spacing w:after="0"/>
              <w:rPr>
                <w:sz w:val="18"/>
                <w:szCs w:val="18"/>
                <w:color w:val="auto"/>
              </w:rPr>
            </w:pPr>
          </w:p>
        </w:tc>
        <w:tc>
          <w:tcPr>
            <w:tcW w:w="9240" w:type="dxa"/>
            <w:vAlign w:val="bottom"/>
            <w:tcBorders>
              <w:bottom w:val="single" w:sz="8" w:color="ACA899"/>
            </w:tcBorders>
          </w:tcPr>
          <w:p>
            <w:pPr>
              <w:spacing w:after="0"/>
              <w:rPr>
                <w:sz w:val="18"/>
                <w:szCs w:val="18"/>
                <w:color w:val="auto"/>
              </w:rPr>
            </w:pPr>
          </w:p>
        </w:tc>
      </w:tr>
      <w:tr>
        <w:trPr>
          <w:trHeight w:val="237"/>
        </w:trPr>
        <w:tc>
          <w:tcPr>
            <w:tcW w:w="2080" w:type="dxa"/>
            <w:vAlign w:val="bottom"/>
          </w:tcPr>
          <w:p>
            <w:pPr>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Second Quarter 2014 Earnings Release, dated July 30, 2014, of Cohu, Inc.</w:t>
            </w: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ind w:right="2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165735</wp:posOffset>
            </wp:positionV>
            <wp:extent cx="3302000" cy="14751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2000" cy="147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Cohu Reports Second Quarter 2014 Operating Results</w:t>
      </w:r>
    </w:p>
    <w:p>
      <w:pPr>
        <w:spacing w:after="0" w:line="234"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 xml:space="preserve">POWAY, Calif., July 30, 2014 — Cohu, Inc. (NASDAQ:COHU) today reported fiscal 2014 second quarter net sales of $77.9 million and GAAP income of $0.9 million or $0.04 per share. Net sales for the first six months of 2014 were $142.7 million and GAAP loss was $2.4 million or $0.10 per share. </w:t>
      </w:r>
      <w:r>
        <w:rPr>
          <w:rFonts w:ascii="Arial" w:cs="Arial" w:eastAsia="Arial" w:hAnsi="Arial"/>
          <w:sz w:val="15"/>
          <w:szCs w:val="15"/>
          <w:color w:val="auto"/>
        </w:rPr>
        <w:t>(1)</w:t>
      </w:r>
    </w:p>
    <w:p>
      <w:pPr>
        <w:spacing w:after="0" w:line="203"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 xml:space="preserve">The Company also reported non-GAAP results, with second quarter 2014 income of $4.9 million or $0.19 per share and income of $5.4 million or $0.21 per share for the first six months of 2014. </w:t>
      </w:r>
      <w:r>
        <w:rPr>
          <w:rFonts w:ascii="Arial" w:cs="Arial" w:eastAsia="Arial" w:hAnsi="Arial"/>
          <w:sz w:val="15"/>
          <w:szCs w:val="15"/>
          <w:color w:val="auto"/>
        </w:rPr>
        <w:t>(1)</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 xml:space="preserve">GAAP Results </w:t>
      </w:r>
      <w:r>
        <w:rPr>
          <w:rFonts w:ascii="Arial" w:cs="Arial" w:eastAsia="Arial" w:hAnsi="Arial"/>
          <w:sz w:val="15"/>
          <w:szCs w:val="15"/>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54875" cy="840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4875" cy="84074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98"/>
        </w:trPr>
        <w:tc>
          <w:tcPr>
            <w:tcW w:w="4280" w:type="dxa"/>
            <w:vAlign w:val="bottom"/>
          </w:tcPr>
          <w:p>
            <w:pPr>
              <w:ind w:left="160"/>
              <w:spacing w:after="0"/>
              <w:rPr>
                <w:sz w:val="20"/>
                <w:szCs w:val="20"/>
                <w:color w:val="auto"/>
              </w:rPr>
            </w:pPr>
            <w:r>
              <w:rPr>
                <w:rFonts w:ascii="Arial" w:cs="Arial" w:eastAsia="Arial" w:hAnsi="Arial"/>
                <w:sz w:val="14"/>
                <w:szCs w:val="14"/>
                <w:i w:val="1"/>
                <w:iCs w:val="1"/>
                <w:color w:val="auto"/>
              </w:rPr>
              <w:t>(in millions, except per share amounts)</w:t>
            </w:r>
          </w:p>
        </w:tc>
        <w:tc>
          <w:tcPr>
            <w:tcW w:w="1380" w:type="dxa"/>
            <w:vAlign w:val="bottom"/>
            <w:gridSpan w:val="2"/>
          </w:tcPr>
          <w:p>
            <w:pPr>
              <w:ind w:left="200"/>
              <w:spacing w:after="0" w:line="198" w:lineRule="exact"/>
              <w:rPr>
                <w:sz w:val="20"/>
                <w:szCs w:val="20"/>
                <w:color w:val="auto"/>
              </w:rPr>
            </w:pPr>
            <w:r>
              <w:rPr>
                <w:rFonts w:ascii="Arial" w:cs="Arial" w:eastAsia="Arial" w:hAnsi="Arial"/>
                <w:sz w:val="18"/>
                <w:szCs w:val="18"/>
                <w:b w:val="1"/>
                <w:bCs w:val="1"/>
                <w:color w:val="auto"/>
              </w:rPr>
              <w:t>Q2 FY</w:t>
            </w:r>
          </w:p>
        </w:tc>
        <w:tc>
          <w:tcPr>
            <w:tcW w:w="1380" w:type="dxa"/>
            <w:vAlign w:val="bottom"/>
            <w:gridSpan w:val="2"/>
          </w:tcPr>
          <w:p>
            <w:pPr>
              <w:ind w:left="200"/>
              <w:spacing w:after="0" w:line="198" w:lineRule="exact"/>
              <w:rPr>
                <w:sz w:val="20"/>
                <w:szCs w:val="20"/>
                <w:color w:val="auto"/>
              </w:rPr>
            </w:pPr>
            <w:r>
              <w:rPr>
                <w:rFonts w:ascii="Arial" w:cs="Arial" w:eastAsia="Arial" w:hAnsi="Arial"/>
                <w:sz w:val="18"/>
                <w:szCs w:val="18"/>
                <w:b w:val="1"/>
                <w:bCs w:val="1"/>
                <w:color w:val="auto"/>
              </w:rPr>
              <w:t>Q1 FY</w:t>
            </w:r>
          </w:p>
        </w:tc>
        <w:tc>
          <w:tcPr>
            <w:tcW w:w="1380" w:type="dxa"/>
            <w:vAlign w:val="bottom"/>
            <w:gridSpan w:val="2"/>
          </w:tcPr>
          <w:p>
            <w:pPr>
              <w:ind w:left="200"/>
              <w:spacing w:after="0" w:line="198" w:lineRule="exact"/>
              <w:rPr>
                <w:sz w:val="20"/>
                <w:szCs w:val="20"/>
                <w:color w:val="auto"/>
              </w:rPr>
            </w:pPr>
            <w:r>
              <w:rPr>
                <w:rFonts w:ascii="Arial" w:cs="Arial" w:eastAsia="Arial" w:hAnsi="Arial"/>
                <w:sz w:val="18"/>
                <w:szCs w:val="18"/>
                <w:b w:val="1"/>
                <w:bCs w:val="1"/>
                <w:color w:val="auto"/>
              </w:rPr>
              <w:t>Q2 FY</w:t>
            </w:r>
          </w:p>
        </w:tc>
        <w:tc>
          <w:tcPr>
            <w:tcW w:w="1200" w:type="dxa"/>
            <w:vAlign w:val="bottom"/>
          </w:tcPr>
          <w:p>
            <w:pPr>
              <w:ind w:left="200"/>
              <w:spacing w:after="0" w:line="198" w:lineRule="exact"/>
              <w:rPr>
                <w:sz w:val="20"/>
                <w:szCs w:val="20"/>
                <w:color w:val="auto"/>
              </w:rPr>
            </w:pPr>
            <w:r>
              <w:rPr>
                <w:rFonts w:ascii="Arial" w:cs="Arial" w:eastAsia="Arial" w:hAnsi="Arial"/>
                <w:sz w:val="18"/>
                <w:szCs w:val="18"/>
                <w:b w:val="1"/>
                <w:bCs w:val="1"/>
                <w:color w:val="auto"/>
              </w:rPr>
              <w:t>6 Months</w:t>
            </w:r>
          </w:p>
        </w:tc>
        <w:tc>
          <w:tcPr>
            <w:tcW w:w="560" w:type="dxa"/>
            <w:vAlign w:val="bottom"/>
          </w:tcPr>
          <w:p>
            <w:pPr>
              <w:spacing w:after="0"/>
              <w:rPr>
                <w:sz w:val="17"/>
                <w:szCs w:val="17"/>
                <w:color w:val="auto"/>
              </w:rPr>
            </w:pPr>
          </w:p>
        </w:tc>
        <w:tc>
          <w:tcPr>
            <w:tcW w:w="124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rPr>
              <w:t>6 Months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4280" w:type="dxa"/>
            <w:vAlign w:val="bottom"/>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2014</w:t>
            </w:r>
          </w:p>
        </w:tc>
        <w:tc>
          <w:tcPr>
            <w:tcW w:w="460" w:type="dxa"/>
            <w:vAlign w:val="bottom"/>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2014</w:t>
            </w:r>
          </w:p>
        </w:tc>
        <w:tc>
          <w:tcPr>
            <w:tcW w:w="460" w:type="dxa"/>
            <w:vAlign w:val="bottom"/>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2013</w:t>
            </w:r>
          </w:p>
        </w:tc>
        <w:tc>
          <w:tcPr>
            <w:tcW w:w="460" w:type="dxa"/>
            <w:vAlign w:val="bottom"/>
          </w:tcPr>
          <w:p>
            <w:pPr>
              <w:spacing w:after="0"/>
              <w:rPr>
                <w:sz w:val="21"/>
                <w:szCs w:val="21"/>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2014</w:t>
            </w:r>
          </w:p>
        </w:tc>
        <w:tc>
          <w:tcPr>
            <w:tcW w:w="560" w:type="dxa"/>
            <w:vAlign w:val="bottom"/>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2013</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280" w:type="dxa"/>
            <w:vAlign w:val="bottom"/>
            <w:tcBorders>
              <w:top w:val="single" w:sz="8" w:color="CCEEFF"/>
              <w:left w:val="single" w:sz="8" w:color="CCEEFF"/>
            </w:tcBorders>
            <w:shd w:val="clear" w:color="auto" w:fill="CCEEFF"/>
          </w:tcPr>
          <w:p>
            <w:pPr>
              <w:ind w:left="360"/>
              <w:spacing w:after="0" w:line="183" w:lineRule="exact"/>
              <w:rPr>
                <w:sz w:val="20"/>
                <w:szCs w:val="20"/>
                <w:color w:val="auto"/>
              </w:rPr>
            </w:pPr>
            <w:r>
              <w:rPr>
                <w:rFonts w:ascii="Arial" w:cs="Arial" w:eastAsia="Arial" w:hAnsi="Arial"/>
                <w:sz w:val="18"/>
                <w:szCs w:val="18"/>
                <w:color w:val="auto"/>
              </w:rPr>
              <w:t>Net sales</w:t>
            </w:r>
          </w:p>
        </w:tc>
        <w:tc>
          <w:tcPr>
            <w:tcW w:w="920" w:type="dxa"/>
            <w:vAlign w:val="bottom"/>
            <w:tcBorders>
              <w:top w:val="single" w:sz="8" w:color="auto"/>
            </w:tcBorders>
            <w:shd w:val="clear" w:color="auto" w:fill="CCEEFF"/>
          </w:tcPr>
          <w:p>
            <w:pPr>
              <w:jc w:val="center"/>
              <w:spacing w:after="0" w:line="183" w:lineRule="exact"/>
              <w:rPr>
                <w:sz w:val="20"/>
                <w:szCs w:val="20"/>
                <w:color w:val="auto"/>
              </w:rPr>
            </w:pPr>
            <w:r>
              <w:rPr>
                <w:rFonts w:ascii="Arial" w:cs="Arial" w:eastAsia="Arial" w:hAnsi="Arial"/>
                <w:sz w:val="18"/>
                <w:szCs w:val="18"/>
                <w:color w:val="auto"/>
                <w:w w:val="99"/>
              </w:rPr>
              <w:t>$ 77.9</w:t>
            </w:r>
          </w:p>
        </w:tc>
        <w:tc>
          <w:tcPr>
            <w:tcW w:w="46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center"/>
              <w:spacing w:after="0" w:line="183" w:lineRule="exact"/>
              <w:rPr>
                <w:sz w:val="20"/>
                <w:szCs w:val="20"/>
                <w:color w:val="auto"/>
              </w:rPr>
            </w:pPr>
            <w:r>
              <w:rPr>
                <w:rFonts w:ascii="Arial" w:cs="Arial" w:eastAsia="Arial" w:hAnsi="Arial"/>
                <w:sz w:val="18"/>
                <w:szCs w:val="18"/>
                <w:color w:val="auto"/>
                <w:w w:val="99"/>
              </w:rPr>
              <w:t>$ 64.9</w:t>
            </w:r>
          </w:p>
        </w:tc>
        <w:tc>
          <w:tcPr>
            <w:tcW w:w="46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center"/>
              <w:spacing w:after="0" w:line="183" w:lineRule="exact"/>
              <w:rPr>
                <w:sz w:val="20"/>
                <w:szCs w:val="20"/>
                <w:color w:val="auto"/>
              </w:rPr>
            </w:pPr>
            <w:r>
              <w:rPr>
                <w:rFonts w:ascii="Arial" w:cs="Arial" w:eastAsia="Arial" w:hAnsi="Arial"/>
                <w:sz w:val="18"/>
                <w:szCs w:val="18"/>
                <w:color w:val="auto"/>
                <w:w w:val="99"/>
              </w:rPr>
              <w:t>$ 62.2</w:t>
            </w:r>
          </w:p>
        </w:tc>
        <w:tc>
          <w:tcPr>
            <w:tcW w:w="46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center"/>
              <w:spacing w:after="0" w:line="183" w:lineRule="exact"/>
              <w:rPr>
                <w:sz w:val="20"/>
                <w:szCs w:val="20"/>
                <w:color w:val="auto"/>
              </w:rPr>
            </w:pPr>
            <w:r>
              <w:rPr>
                <w:rFonts w:ascii="Arial" w:cs="Arial" w:eastAsia="Arial" w:hAnsi="Arial"/>
                <w:sz w:val="18"/>
                <w:szCs w:val="18"/>
                <w:color w:val="auto"/>
                <w:w w:val="99"/>
              </w:rPr>
              <w:t>$ 142.7</w:t>
            </w:r>
          </w:p>
        </w:tc>
        <w:tc>
          <w:tcPr>
            <w:tcW w:w="1560" w:type="dxa"/>
            <w:vAlign w:val="bottom"/>
            <w:tcBorders>
              <w:top w:val="single" w:sz="8" w:color="CCEEFF"/>
            </w:tcBorders>
            <w:gridSpan w:val="2"/>
            <w:shd w:val="clear" w:color="auto" w:fill="CCEEFF"/>
          </w:tcPr>
          <w:p>
            <w:pPr>
              <w:jc w:val="center"/>
              <w:ind w:left="630"/>
              <w:spacing w:after="0" w:line="183" w:lineRule="exact"/>
              <w:rPr>
                <w:sz w:val="20"/>
                <w:szCs w:val="20"/>
                <w:color w:val="auto"/>
              </w:rPr>
            </w:pPr>
            <w:r>
              <w:rPr>
                <w:rFonts w:ascii="Arial" w:cs="Arial" w:eastAsia="Arial" w:hAnsi="Arial"/>
                <w:sz w:val="18"/>
                <w:szCs w:val="18"/>
                <w:color w:val="auto"/>
                <w:w w:val="99"/>
              </w:rPr>
              <w:t>$ 114.5</w:t>
            </w:r>
          </w:p>
        </w:tc>
        <w:tc>
          <w:tcPr>
            <w:tcW w:w="240" w:type="dxa"/>
            <w:vAlign w:val="bottom"/>
            <w:tcBorders>
              <w:top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80" w:type="dxa"/>
            <w:vAlign w:val="bottom"/>
          </w:tcPr>
          <w:p>
            <w:pPr>
              <w:ind w:left="360"/>
              <w:spacing w:after="0" w:line="202" w:lineRule="exact"/>
              <w:rPr>
                <w:sz w:val="20"/>
                <w:szCs w:val="20"/>
                <w:color w:val="auto"/>
              </w:rPr>
            </w:pPr>
            <w:r>
              <w:rPr>
                <w:rFonts w:ascii="Arial" w:cs="Arial" w:eastAsia="Arial" w:hAnsi="Arial"/>
                <w:sz w:val="18"/>
                <w:szCs w:val="18"/>
                <w:color w:val="auto"/>
              </w:rPr>
              <w:t>Income (loss)</w:t>
            </w: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9"/>
              </w:rPr>
              <w:t>$ 0.9</w:t>
            </w:r>
          </w:p>
        </w:tc>
        <w:tc>
          <w:tcPr>
            <w:tcW w:w="460" w:type="dxa"/>
            <w:vAlign w:val="bottom"/>
          </w:tcPr>
          <w:p>
            <w:pPr>
              <w:spacing w:after="0"/>
              <w:rPr>
                <w:sz w:val="17"/>
                <w:szCs w:val="17"/>
                <w:color w:val="auto"/>
              </w:rPr>
            </w:pP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9"/>
              </w:rPr>
              <w:t>$ (3.4)</w:t>
            </w:r>
          </w:p>
        </w:tc>
        <w:tc>
          <w:tcPr>
            <w:tcW w:w="460" w:type="dxa"/>
            <w:vAlign w:val="bottom"/>
          </w:tcPr>
          <w:p>
            <w:pPr>
              <w:spacing w:after="0"/>
              <w:rPr>
                <w:sz w:val="17"/>
                <w:szCs w:val="17"/>
                <w:color w:val="auto"/>
              </w:rPr>
            </w:pP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9"/>
              </w:rPr>
              <w:t>$ (4.3)</w:t>
            </w:r>
          </w:p>
        </w:tc>
        <w:tc>
          <w:tcPr>
            <w:tcW w:w="46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9"/>
              </w:rPr>
              <w:t>$ (2.4)</w:t>
            </w:r>
          </w:p>
        </w:tc>
        <w:tc>
          <w:tcPr>
            <w:tcW w:w="1560" w:type="dxa"/>
            <w:vAlign w:val="bottom"/>
            <w:gridSpan w:val="2"/>
          </w:tcPr>
          <w:p>
            <w:pPr>
              <w:jc w:val="center"/>
              <w:ind w:left="610"/>
              <w:spacing w:after="0" w:line="202" w:lineRule="exact"/>
              <w:rPr>
                <w:sz w:val="20"/>
                <w:szCs w:val="20"/>
                <w:color w:val="auto"/>
              </w:rPr>
            </w:pPr>
            <w:r>
              <w:rPr>
                <w:rFonts w:ascii="Arial" w:cs="Arial" w:eastAsia="Arial" w:hAnsi="Arial"/>
                <w:sz w:val="18"/>
                <w:szCs w:val="18"/>
                <w:color w:val="auto"/>
                <w:w w:val="99"/>
              </w:rPr>
              <w:t>$ (16.6)</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280" w:type="dxa"/>
            <w:vAlign w:val="bottom"/>
            <w:tcBorders>
              <w:left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 (loss) per share</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$0.04</w:t>
            </w:r>
          </w:p>
        </w:tc>
        <w:tc>
          <w:tcPr>
            <w:tcW w:w="4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$(0.13)</w:t>
            </w:r>
          </w:p>
        </w:tc>
        <w:tc>
          <w:tcPr>
            <w:tcW w:w="4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$(0.17)</w:t>
            </w:r>
          </w:p>
        </w:tc>
        <w:tc>
          <w:tcPr>
            <w:tcW w:w="4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$(0.10)</w:t>
            </w:r>
          </w:p>
        </w:tc>
        <w:tc>
          <w:tcPr>
            <w:tcW w:w="1560" w:type="dxa"/>
            <w:vAlign w:val="bottom"/>
            <w:tcBorders>
              <w:bottom w:val="single" w:sz="8" w:color="CCEEFF"/>
            </w:tcBorders>
            <w:gridSpan w:val="2"/>
            <w:shd w:val="clear" w:color="auto" w:fill="CCEEFF"/>
          </w:tcPr>
          <w:p>
            <w:pPr>
              <w:jc w:val="center"/>
              <w:ind w:left="610"/>
              <w:spacing w:after="0"/>
              <w:rPr>
                <w:sz w:val="20"/>
                <w:szCs w:val="20"/>
                <w:color w:val="auto"/>
              </w:rPr>
            </w:pPr>
            <w:r>
              <w:rPr>
                <w:rFonts w:ascii="Arial" w:cs="Arial" w:eastAsia="Arial" w:hAnsi="Arial"/>
                <w:sz w:val="18"/>
                <w:szCs w:val="18"/>
                <w:color w:val="auto"/>
              </w:rPr>
              <w:t>$(0.67)</w:t>
            </w:r>
          </w:p>
        </w:tc>
        <w:tc>
          <w:tcPr>
            <w:tcW w:w="24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4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280" w:type="dxa"/>
            <w:vAlign w:val="bottom"/>
            <w:tcBorders>
              <w:left w:val="single" w:sz="8" w:color="auto"/>
            </w:tcBorders>
          </w:tcPr>
          <w:p>
            <w:pPr>
              <w:ind w:left="160"/>
              <w:spacing w:after="0" w:line="187" w:lineRule="exact"/>
              <w:rPr>
                <w:sz w:val="20"/>
                <w:szCs w:val="20"/>
                <w:color w:val="auto"/>
              </w:rPr>
            </w:pPr>
            <w:r>
              <w:rPr>
                <w:rFonts w:ascii="Arial" w:cs="Arial" w:eastAsia="Arial" w:hAnsi="Arial"/>
                <w:sz w:val="18"/>
                <w:szCs w:val="18"/>
                <w:b w:val="1"/>
                <w:bCs w:val="1"/>
                <w:color w:val="auto"/>
              </w:rPr>
              <w:t xml:space="preserve">Non-GAAP Results </w:t>
            </w:r>
            <w:r>
              <w:rPr>
                <w:rFonts w:ascii="Arial" w:cs="Arial" w:eastAsia="Arial" w:hAnsi="Arial"/>
                <w:sz w:val="15"/>
                <w:szCs w:val="15"/>
                <w:b w:val="1"/>
                <w:bCs w:val="1"/>
                <w:color w:val="auto"/>
              </w:rPr>
              <w:t>(1)</w:t>
            </w:r>
          </w:p>
        </w:tc>
        <w:tc>
          <w:tcPr>
            <w:tcW w:w="138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Q2 FY</w:t>
            </w:r>
          </w:p>
        </w:tc>
        <w:tc>
          <w:tcPr>
            <w:tcW w:w="138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Q1 FY</w:t>
            </w:r>
          </w:p>
        </w:tc>
        <w:tc>
          <w:tcPr>
            <w:tcW w:w="138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Q2 FY</w:t>
            </w:r>
          </w:p>
        </w:tc>
        <w:tc>
          <w:tcPr>
            <w:tcW w:w="120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6 Months</w:t>
            </w:r>
          </w:p>
        </w:tc>
        <w:tc>
          <w:tcPr>
            <w:tcW w:w="560" w:type="dxa"/>
            <w:vAlign w:val="bottom"/>
          </w:tcPr>
          <w:p>
            <w:pPr>
              <w:spacing w:after="0"/>
              <w:rPr>
                <w:sz w:val="16"/>
                <w:szCs w:val="16"/>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rPr>
              <w:t>6 Months</w:t>
            </w: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80" w:type="dxa"/>
            <w:vAlign w:val="bottom"/>
            <w:tcBorders>
              <w:left w:val="single" w:sz="8" w:color="auto"/>
            </w:tcBorders>
          </w:tcPr>
          <w:p>
            <w:pPr>
              <w:ind w:left="160"/>
              <w:spacing w:after="0"/>
              <w:rPr>
                <w:sz w:val="20"/>
                <w:szCs w:val="20"/>
                <w:color w:val="auto"/>
              </w:rPr>
            </w:pPr>
            <w:r>
              <w:rPr>
                <w:rFonts w:ascii="Arial" w:cs="Arial" w:eastAsia="Arial" w:hAnsi="Arial"/>
                <w:sz w:val="14"/>
                <w:szCs w:val="14"/>
                <w:i w:val="1"/>
                <w:iCs w:val="1"/>
                <w:color w:val="auto"/>
              </w:rPr>
              <w:t>(in millions, except per share amounts)</w:t>
            </w:r>
          </w:p>
        </w:tc>
        <w:tc>
          <w:tcPr>
            <w:tcW w:w="138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4280" w:type="dxa"/>
            <w:vAlign w:val="bottom"/>
            <w:tcBorders>
              <w:left w:val="single" w:sz="8" w:color="auto"/>
            </w:tcBorders>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2014</w:t>
            </w:r>
          </w:p>
        </w:tc>
        <w:tc>
          <w:tcPr>
            <w:tcW w:w="460" w:type="dxa"/>
            <w:vAlign w:val="bottom"/>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2014</w:t>
            </w:r>
          </w:p>
        </w:tc>
        <w:tc>
          <w:tcPr>
            <w:tcW w:w="460" w:type="dxa"/>
            <w:vAlign w:val="bottom"/>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2013</w:t>
            </w:r>
          </w:p>
        </w:tc>
        <w:tc>
          <w:tcPr>
            <w:tcW w:w="460" w:type="dxa"/>
            <w:vAlign w:val="bottom"/>
          </w:tcPr>
          <w:p>
            <w:pPr>
              <w:spacing w:after="0"/>
              <w:rPr>
                <w:sz w:val="21"/>
                <w:szCs w:val="21"/>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2014</w:t>
            </w:r>
          </w:p>
        </w:tc>
        <w:tc>
          <w:tcPr>
            <w:tcW w:w="560" w:type="dxa"/>
            <w:vAlign w:val="bottom"/>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2013</w:t>
            </w:r>
          </w:p>
        </w:tc>
        <w:tc>
          <w:tcPr>
            <w:tcW w:w="240" w:type="dxa"/>
            <w:vAlign w:val="bottom"/>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280" w:type="dxa"/>
            <w:vAlign w:val="bottom"/>
            <w:tcBorders>
              <w:top w:val="single" w:sz="8" w:color="CCEEFF"/>
              <w:left w:val="single" w:sz="8" w:color="auto"/>
            </w:tcBorders>
            <w:shd w:val="clear" w:color="auto" w:fill="CCEEFF"/>
          </w:tcPr>
          <w:p>
            <w:pPr>
              <w:ind w:left="360"/>
              <w:spacing w:after="0" w:line="183" w:lineRule="exact"/>
              <w:rPr>
                <w:sz w:val="20"/>
                <w:szCs w:val="20"/>
                <w:color w:val="auto"/>
              </w:rPr>
            </w:pPr>
            <w:r>
              <w:rPr>
                <w:rFonts w:ascii="Arial" w:cs="Arial" w:eastAsia="Arial" w:hAnsi="Arial"/>
                <w:sz w:val="18"/>
                <w:szCs w:val="18"/>
                <w:color w:val="auto"/>
              </w:rPr>
              <w:t>Income (loss)</w:t>
            </w:r>
          </w:p>
        </w:tc>
        <w:tc>
          <w:tcPr>
            <w:tcW w:w="920" w:type="dxa"/>
            <w:vAlign w:val="bottom"/>
            <w:tcBorders>
              <w:top w:val="single" w:sz="8" w:color="auto"/>
            </w:tcBorders>
            <w:shd w:val="clear" w:color="auto" w:fill="CCEEFF"/>
          </w:tcPr>
          <w:p>
            <w:pPr>
              <w:jc w:val="center"/>
              <w:spacing w:after="0" w:line="183" w:lineRule="exact"/>
              <w:rPr>
                <w:sz w:val="20"/>
                <w:szCs w:val="20"/>
                <w:color w:val="auto"/>
              </w:rPr>
            </w:pPr>
            <w:r>
              <w:rPr>
                <w:rFonts w:ascii="Arial" w:cs="Arial" w:eastAsia="Arial" w:hAnsi="Arial"/>
                <w:sz w:val="18"/>
                <w:szCs w:val="18"/>
                <w:color w:val="auto"/>
                <w:w w:val="99"/>
              </w:rPr>
              <w:t>$ 4.9</w:t>
            </w:r>
          </w:p>
        </w:tc>
        <w:tc>
          <w:tcPr>
            <w:tcW w:w="46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center"/>
              <w:spacing w:after="0" w:line="183" w:lineRule="exact"/>
              <w:rPr>
                <w:sz w:val="20"/>
                <w:szCs w:val="20"/>
                <w:color w:val="auto"/>
              </w:rPr>
            </w:pPr>
            <w:r>
              <w:rPr>
                <w:rFonts w:ascii="Arial" w:cs="Arial" w:eastAsia="Arial" w:hAnsi="Arial"/>
                <w:sz w:val="18"/>
                <w:szCs w:val="18"/>
                <w:color w:val="auto"/>
                <w:w w:val="99"/>
              </w:rPr>
              <w:t>$ 0.5</w:t>
            </w:r>
          </w:p>
        </w:tc>
        <w:tc>
          <w:tcPr>
            <w:tcW w:w="46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center"/>
              <w:spacing w:after="0" w:line="183" w:lineRule="exact"/>
              <w:rPr>
                <w:sz w:val="20"/>
                <w:szCs w:val="20"/>
                <w:color w:val="auto"/>
              </w:rPr>
            </w:pPr>
            <w:r>
              <w:rPr>
                <w:rFonts w:ascii="Arial" w:cs="Arial" w:eastAsia="Arial" w:hAnsi="Arial"/>
                <w:sz w:val="18"/>
                <w:szCs w:val="18"/>
                <w:color w:val="auto"/>
                <w:w w:val="99"/>
              </w:rPr>
              <w:t>$ (1.6)</w:t>
            </w:r>
          </w:p>
        </w:tc>
        <w:tc>
          <w:tcPr>
            <w:tcW w:w="46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center"/>
              <w:spacing w:after="0" w:line="183" w:lineRule="exact"/>
              <w:rPr>
                <w:sz w:val="20"/>
                <w:szCs w:val="20"/>
                <w:color w:val="auto"/>
              </w:rPr>
            </w:pPr>
            <w:r>
              <w:rPr>
                <w:rFonts w:ascii="Arial" w:cs="Arial" w:eastAsia="Arial" w:hAnsi="Arial"/>
                <w:sz w:val="18"/>
                <w:szCs w:val="18"/>
                <w:color w:val="auto"/>
                <w:w w:val="99"/>
              </w:rPr>
              <w:t>$ 5.4</w:t>
            </w:r>
          </w:p>
        </w:tc>
        <w:tc>
          <w:tcPr>
            <w:tcW w:w="1560" w:type="dxa"/>
            <w:vAlign w:val="bottom"/>
            <w:tcBorders>
              <w:top w:val="single" w:sz="8" w:color="CCEEFF"/>
            </w:tcBorders>
            <w:gridSpan w:val="2"/>
            <w:shd w:val="clear" w:color="auto" w:fill="CCEEFF"/>
          </w:tcPr>
          <w:p>
            <w:pPr>
              <w:jc w:val="center"/>
              <w:ind w:left="630"/>
              <w:spacing w:after="0" w:line="183" w:lineRule="exact"/>
              <w:rPr>
                <w:sz w:val="20"/>
                <w:szCs w:val="20"/>
                <w:color w:val="auto"/>
              </w:rPr>
            </w:pPr>
            <w:r>
              <w:rPr>
                <w:rFonts w:ascii="Arial" w:cs="Arial" w:eastAsia="Arial" w:hAnsi="Arial"/>
                <w:sz w:val="18"/>
                <w:szCs w:val="18"/>
                <w:color w:val="auto"/>
                <w:w w:val="99"/>
              </w:rPr>
              <w:t>$ (9.8)</w:t>
            </w:r>
          </w:p>
        </w:tc>
        <w:tc>
          <w:tcPr>
            <w:tcW w:w="2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280" w:type="dxa"/>
            <w:vAlign w:val="bottom"/>
            <w:tcBorders>
              <w:left w:val="single" w:sz="8" w:color="auto"/>
            </w:tcBorders>
          </w:tcPr>
          <w:p>
            <w:pPr>
              <w:ind w:left="360"/>
              <w:spacing w:after="0"/>
              <w:rPr>
                <w:sz w:val="20"/>
                <w:szCs w:val="20"/>
                <w:color w:val="auto"/>
              </w:rPr>
            </w:pPr>
            <w:r>
              <w:rPr>
                <w:rFonts w:ascii="Arial" w:cs="Arial" w:eastAsia="Arial" w:hAnsi="Arial"/>
                <w:sz w:val="18"/>
                <w:szCs w:val="18"/>
                <w:color w:val="auto"/>
              </w:rPr>
              <w:t>Income (loss) per share</w:t>
            </w:r>
          </w:p>
        </w:tc>
        <w:tc>
          <w:tcPr>
            <w:tcW w:w="920" w:type="dxa"/>
            <w:vAlign w:val="bottom"/>
          </w:tcPr>
          <w:p>
            <w:pPr>
              <w:jc w:val="center"/>
              <w:spacing w:after="0"/>
              <w:rPr>
                <w:sz w:val="20"/>
                <w:szCs w:val="20"/>
                <w:color w:val="auto"/>
              </w:rPr>
            </w:pPr>
            <w:r>
              <w:rPr>
                <w:rFonts w:ascii="Arial" w:cs="Arial" w:eastAsia="Arial" w:hAnsi="Arial"/>
                <w:sz w:val="18"/>
                <w:szCs w:val="18"/>
                <w:color w:val="auto"/>
              </w:rPr>
              <w:t>$0.19</w:t>
            </w:r>
          </w:p>
        </w:tc>
        <w:tc>
          <w:tcPr>
            <w:tcW w:w="4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$0.02</w:t>
            </w:r>
          </w:p>
        </w:tc>
        <w:tc>
          <w:tcPr>
            <w:tcW w:w="4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8"/>
              </w:rPr>
              <w:t>$(0.06)</w:t>
            </w:r>
          </w:p>
        </w:tc>
        <w:tc>
          <w:tcPr>
            <w:tcW w:w="4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7"/>
              </w:rPr>
              <w:t>$0.21</w:t>
            </w:r>
          </w:p>
        </w:tc>
        <w:tc>
          <w:tcPr>
            <w:tcW w:w="1560" w:type="dxa"/>
            <w:vAlign w:val="bottom"/>
            <w:gridSpan w:val="2"/>
          </w:tcPr>
          <w:p>
            <w:pPr>
              <w:jc w:val="center"/>
              <w:ind w:left="610"/>
              <w:spacing w:after="0"/>
              <w:rPr>
                <w:sz w:val="20"/>
                <w:szCs w:val="20"/>
                <w:color w:val="auto"/>
              </w:rPr>
            </w:pPr>
            <w:r>
              <w:rPr>
                <w:rFonts w:ascii="Arial" w:cs="Arial" w:eastAsia="Arial" w:hAnsi="Arial"/>
                <w:sz w:val="18"/>
                <w:szCs w:val="18"/>
                <w:color w:val="auto"/>
              </w:rPr>
              <w:t>$(0.40)</w:t>
            </w:r>
          </w:p>
        </w:tc>
        <w:tc>
          <w:tcPr>
            <w:tcW w:w="2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4280" w:type="dxa"/>
            <w:vAlign w:val="bottom"/>
            <w:tcBorders>
              <w:left w:val="single" w:sz="8" w:color="auto"/>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340" w:right="40" w:hanging="332"/>
        <w:spacing w:after="0" w:line="199" w:lineRule="auto"/>
        <w:tabs>
          <w:tab w:leader="none" w:pos="340" w:val="left"/>
        </w:tabs>
        <w:numPr>
          <w:ilvl w:val="0"/>
          <w:numId w:val="3"/>
        </w:numPr>
        <w:rPr>
          <w:rFonts w:ascii="Arial" w:cs="Arial" w:eastAsia="Arial" w:hAnsi="Arial"/>
          <w:sz w:val="24"/>
          <w:szCs w:val="24"/>
          <w:color w:val="auto"/>
          <w:vertAlign w:val="superscript"/>
        </w:rPr>
      </w:pPr>
      <w:r>
        <w:rPr>
          <w:rFonts w:ascii="Arial" w:cs="Arial" w:eastAsia="Arial" w:hAnsi="Arial"/>
          <w:sz w:val="14"/>
          <w:szCs w:val="14"/>
          <w:color w:val="auto"/>
        </w:rPr>
        <w:t>On June 6, 2014 the Company announced the completion of the sale of substantially all the assets of its video camera segment, Cohu Electronics and, as a result, the operating results of Cohu Electronics have been presented as discontinued operations and all prior period amounts have been reclassified accordingly. All amounts presented are from continuing operations.</w:t>
      </w:r>
    </w:p>
    <w:p>
      <w:pPr>
        <w:spacing w:after="0" w:line="93" w:lineRule="exact"/>
        <w:rPr>
          <w:sz w:val="20"/>
          <w:szCs w:val="20"/>
          <w:color w:val="auto"/>
        </w:rPr>
      </w:pPr>
    </w:p>
    <w:p>
      <w:pPr>
        <w:ind w:right="780"/>
        <w:spacing w:after="0" w:line="246" w:lineRule="auto"/>
        <w:rPr>
          <w:sz w:val="20"/>
          <w:szCs w:val="20"/>
          <w:color w:val="auto"/>
        </w:rPr>
      </w:pPr>
      <w:r>
        <w:rPr>
          <w:rFonts w:ascii="Arial" w:cs="Arial" w:eastAsia="Arial" w:hAnsi="Arial"/>
          <w:sz w:val="18"/>
          <w:szCs w:val="18"/>
          <w:color w:val="auto"/>
        </w:rPr>
        <w:t>Sales of semiconductor equipment accounted for 95% of fiscal 2014 second quarter sales and microwave communications equipment contributed 5%.</w:t>
      </w:r>
    </w:p>
    <w:p>
      <w:pPr>
        <w:spacing w:after="0" w:line="89"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Orders were $98.5 million for the second quarter of 2014 and $77.4 million for the first quarter of 2014. Orders for semiconductor equipment were $95.4 million in the second quarter of 2014 compared to $74.3 million in the first quarter of 2014. Total consolidated backlog was $118.7 million at June 28, 2014 compared to $98.1 million at March 29, 2014. Cohu expects third quarter 2014 sales of $84 million to $91 million.</w:t>
      </w:r>
    </w:p>
    <w:p>
      <w:pPr>
        <w:spacing w:after="0" w:line="94"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James A. Donahue, Chairman, President and Chief Executive Officer stated, “Sales were at the top end of our guidance with orders and backlog establishing new records for Cohu. Financial results reflect continued progress in achieving our new operating model as well as the benefits of higher volume.”</w:t>
      </w:r>
    </w:p>
    <w:p>
      <w:pPr>
        <w:spacing w:after="0" w:line="9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Donahue concluded, “Demand was strong across market segments for our broad product line of IC test handlers and inspection equipment and third quarter orders are off to a strong start. The transition of our volume pick and place handler manufacturing to our Malaysia factory is proceeding as planned and scheduled to be completed by the end of this year.”</w:t>
      </w:r>
    </w:p>
    <w:p>
      <w:pPr>
        <w:spacing w:after="0" w:line="95"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Cohu’s Board of Directors approved a quarterly cash dividend of $0.06 per share payable on October 24, 2014 to shareholders of record on August 29, 2014. Cohu has paid consecutive quarterly cash dividends since 1977.</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Information:</w:t>
      </w:r>
    </w:p>
    <w:p>
      <w:pPr>
        <w:spacing w:after="0" w:line="126"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Included within this press release are non-GAAP financial measures that supplement the Company’s Condensed Consolidated Statements of Operations prepared under generally accepted accounting principles (GAAP). These non-GAAP financial measures adjust the Company’s actual results prepared under GAAP to</w:t>
      </w:r>
    </w:p>
    <w:p>
      <w:pPr>
        <w:sectPr>
          <w:pgSz w:w="11900" w:h="16838" w:orient="portrait"/>
          <w:cols w:equalWidth="0" w:num="1">
            <w:col w:w="11440"/>
          </w:cols>
          <w:pgMar w:left="240" w:top="118" w:right="219" w:bottom="1440" w:gutter="0" w:footer="0" w:header="0"/>
        </w:sectPr>
      </w:pPr>
    </w:p>
    <w:bookmarkStart w:id="5" w:name="page6"/>
    <w:bookmarkEnd w:id="5"/>
    <w:p>
      <w:pPr>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exclude charges and the related income tax effect for share-based compensation, the amortization of acquired intangible assets, manufacturing transition costs, employee severance costs, other acquisition costs and the purchase accounting inventory step-up included in cost of goods sold. Reconciliations of GAAP to non-GAAP amounts for the periods presented herein are provided in schedules accompanying this release and should be considered together with the Condensed Consolidated Statements of Operations.</w:t>
      </w:r>
    </w:p>
    <w:p>
      <w:pPr>
        <w:spacing w:after="0" w:line="94"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believes these non-GAAP measures allow investors to evaluate Cohu’s financial performance using some of the same measures as management. However, the non-GAAP financial measures should not be regarded as a replacement for (or superior to) corresponding, similarly captioned, GAAP measures.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6"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Certain matters discussed in this release, including statements regarding the transition of manufacturing to Malaysia, expectations of business and market conditions, orders, sales, revenues and operating results are forward-looking statements that are subject to risks and uncertainties that could cause actual results to differ materially from those projected or forecasted. Such risks and uncertainties include, but are not limited to, risks associated with acquisitions, inventory, goodwill and other intangible asset write-downs; our ability to convert new products under development into production on a timely basis, support product development and meet customer delivery and acceptance requirements for next generation equipment; our reliance on third-party contract manufacturers; failure to obtain customer acceptance resulting in the inability to recognize revenue and accounts receivable collection problems; customer orders may be canceled or delayed; the concentration of our revenues from a limited number of customers; intense competition in the semiconductor test handler industry; our reliance on patents and intellectual property; compliance with U.S. export regulations; and the cyclical and unpredictable nature of capital expenditures by semiconductor manufacturers. These and other risks and uncertainties are discussed more fully in Cohu’s filings with the Securities and Exchange Commission, including the most recently filed Form 10-K and Form 10-Q. Cohu assumes no obligation to update the information in this release.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Cohu:</w:t>
      </w:r>
    </w:p>
    <w:p>
      <w:pPr>
        <w:spacing w:after="0" w:line="126"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Cohu is a supplier of test handling, burn-in, thermal subsystems and MEMS test solutions used by the global semiconductor industry and microwave communications equipment.</w:t>
      </w:r>
    </w:p>
    <w:p>
      <w:pPr>
        <w:spacing w:after="0" w:line="89"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Cohu will be conducting their conference call on Wednesday, July 30, 2014 at 1:30 p.m. Pacific Time/4:30 p.m. Eastern Time. The call will be webcast at www.cohu.com. Replays of the call can be accessed at www.cohu.com.</w:t>
      </w:r>
    </w:p>
    <w:p>
      <w:pPr>
        <w:spacing w:after="0" w:line="197"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For press releases and other information of interest to investors, please visit Cohu’s website at www.cohu.com. Contact: Jeffrey D. Jones - Investor Relations (858) 848-8106</w:t>
      </w:r>
    </w:p>
    <w:p>
      <w:pPr>
        <w:sectPr>
          <w:pgSz w:w="11900" w:h="16838" w:orient="portrait"/>
          <w:cols w:equalWidth="0" w:num="1">
            <w:col w:w="11420"/>
          </w:cols>
          <w:pgMar w:left="240" w:top="28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COHU, INC.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gridSpan w:val="5"/>
          </w:tcPr>
          <w:p>
            <w:pPr>
              <w:jc w:val="right"/>
              <w:ind w:right="520"/>
              <w:spacing w:after="0"/>
              <w:rPr>
                <w:sz w:val="20"/>
                <w:szCs w:val="20"/>
                <w:color w:val="auto"/>
              </w:rPr>
            </w:pPr>
            <w:r>
              <w:rPr>
                <w:rFonts w:ascii="Arial" w:cs="Arial" w:eastAsia="Arial" w:hAnsi="Arial"/>
                <w:sz w:val="18"/>
                <w:szCs w:val="18"/>
                <w:color w:val="auto"/>
              </w:rPr>
              <w:t xml:space="preserve">Three Months Ended </w:t>
            </w:r>
            <w:r>
              <w:rPr>
                <w:rFonts w:ascii="Arial" w:cs="Arial" w:eastAsia="Arial" w:hAnsi="Arial"/>
                <w:sz w:val="15"/>
                <w:szCs w:val="15"/>
                <w:color w:val="auto"/>
              </w:rPr>
              <w:t>(1)</w:t>
            </w:r>
          </w:p>
        </w:tc>
        <w:tc>
          <w:tcPr>
            <w:tcW w:w="140" w:type="dxa"/>
            <w:vAlign w:val="bottom"/>
          </w:tcPr>
          <w:p>
            <w:pPr>
              <w:spacing w:after="0"/>
              <w:rPr>
                <w:sz w:val="17"/>
                <w:szCs w:val="17"/>
                <w:color w:val="auto"/>
              </w:rPr>
            </w:pPr>
          </w:p>
        </w:tc>
        <w:tc>
          <w:tcPr>
            <w:tcW w:w="2620" w:type="dxa"/>
            <w:vAlign w:val="bottom"/>
            <w:gridSpan w:val="5"/>
          </w:tcPr>
          <w:p>
            <w:pPr>
              <w:ind w:left="340"/>
              <w:spacing w:after="0"/>
              <w:rPr>
                <w:sz w:val="20"/>
                <w:szCs w:val="20"/>
                <w:color w:val="auto"/>
              </w:rPr>
            </w:pPr>
            <w:r>
              <w:rPr>
                <w:rFonts w:ascii="Arial" w:cs="Arial" w:eastAsia="Arial" w:hAnsi="Arial"/>
                <w:sz w:val="18"/>
                <w:szCs w:val="18"/>
                <w:color w:val="auto"/>
              </w:rPr>
              <w:t xml:space="preserve">Six Months Ended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June 28,</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w w:val="98"/>
              </w:rPr>
              <w:t>June 29,</w:t>
            </w:r>
          </w:p>
        </w:tc>
        <w:tc>
          <w:tcPr>
            <w:tcW w:w="140" w:type="dxa"/>
            <w:vAlign w:val="bottom"/>
          </w:tcPr>
          <w:p>
            <w:pPr>
              <w:spacing w:after="0"/>
              <w:rPr>
                <w:sz w:val="17"/>
                <w:szCs w:val="17"/>
                <w:color w:val="auto"/>
              </w:rPr>
            </w:pPr>
          </w:p>
        </w:tc>
        <w:tc>
          <w:tcPr>
            <w:tcW w:w="1400" w:type="dxa"/>
            <w:vAlign w:val="bottom"/>
            <w:gridSpan w:val="2"/>
          </w:tcPr>
          <w:p>
            <w:pPr>
              <w:ind w:left="60"/>
              <w:spacing w:after="0" w:line="202" w:lineRule="exact"/>
              <w:rPr>
                <w:sz w:val="20"/>
                <w:szCs w:val="20"/>
                <w:color w:val="auto"/>
              </w:rPr>
            </w:pPr>
            <w:r>
              <w:rPr>
                <w:rFonts w:ascii="Arial" w:cs="Arial" w:eastAsia="Arial" w:hAnsi="Arial"/>
                <w:sz w:val="18"/>
                <w:szCs w:val="18"/>
                <w:b w:val="1"/>
                <w:bCs w:val="1"/>
                <w:color w:val="auto"/>
              </w:rPr>
              <w:t>June 28,</w:t>
            </w:r>
          </w:p>
        </w:tc>
        <w:tc>
          <w:tcPr>
            <w:tcW w:w="140" w:type="dxa"/>
            <w:vAlign w:val="bottom"/>
          </w:tcPr>
          <w:p>
            <w:pPr>
              <w:spacing w:after="0"/>
              <w:rPr>
                <w:sz w:val="17"/>
                <w:szCs w:val="17"/>
                <w:color w:val="auto"/>
              </w:rPr>
            </w:pPr>
          </w:p>
        </w:tc>
        <w:tc>
          <w:tcPr>
            <w:tcW w:w="108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June 29,</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9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2014</w:t>
            </w:r>
          </w:p>
        </w:tc>
        <w:tc>
          <w:tcPr>
            <w:tcW w:w="3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2013</w:t>
            </w:r>
          </w:p>
        </w:tc>
        <w:tc>
          <w:tcPr>
            <w:tcW w:w="4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4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77,850</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62,234</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142,714</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114,461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spacing w:after="0" w:line="202" w:lineRule="exact"/>
              <w:rPr>
                <w:sz w:val="20"/>
                <w:szCs w:val="20"/>
                <w:color w:val="auto"/>
              </w:rPr>
            </w:pPr>
            <w:r>
              <w:rPr>
                <w:rFonts w:ascii="Arial" w:cs="Arial" w:eastAsia="Arial" w:hAnsi="Arial"/>
                <w:sz w:val="18"/>
                <w:szCs w:val="18"/>
                <w:color w:val="auto"/>
              </w:rPr>
              <w:t>Cost and expenses: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Cost of sales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52,366</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42,720</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95,030</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81,005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ind w:left="220"/>
              <w:spacing w:after="0" w:line="202" w:lineRule="exact"/>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10,180</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11,192</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20,740</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24,065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14,259</w:t>
            </w:r>
          </w:p>
        </w:tc>
        <w:tc>
          <w:tcPr>
            <w:tcW w:w="3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13,218</w:t>
            </w:r>
          </w:p>
        </w:tc>
        <w:tc>
          <w:tcPr>
            <w:tcW w:w="4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29,323</w:t>
            </w:r>
          </w:p>
        </w:tc>
        <w:tc>
          <w:tcPr>
            <w:tcW w:w="4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27,423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76,805</w:t>
            </w: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67,130</w:t>
            </w:r>
          </w:p>
        </w:tc>
        <w:tc>
          <w:tcPr>
            <w:tcW w:w="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145,093</w:t>
            </w:r>
          </w:p>
        </w:tc>
        <w:tc>
          <w:tcPr>
            <w:tcW w:w="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(loss) from operations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1,045</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(4,896)</w:t>
            </w:r>
          </w:p>
        </w:tc>
        <w:tc>
          <w:tcPr>
            <w:tcW w:w="1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b w:val="1"/>
                <w:bCs w:val="1"/>
                <w:color w:val="auto"/>
              </w:rPr>
              <w:t>(2,379)</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(18,032)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Pr>
          <w:p>
            <w:pPr>
              <w:spacing w:after="0" w:line="202" w:lineRule="exact"/>
              <w:rPr>
                <w:sz w:val="20"/>
                <w:szCs w:val="20"/>
                <w:color w:val="auto"/>
              </w:rPr>
            </w:pPr>
            <w:r>
              <w:rPr>
                <w:rFonts w:ascii="Arial" w:cs="Arial" w:eastAsia="Arial" w:hAnsi="Arial"/>
                <w:sz w:val="18"/>
                <w:szCs w:val="18"/>
                <w:color w:val="auto"/>
              </w:rPr>
              <w:t>Interest and other, net</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5</w:t>
            </w: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w:t>
            </w:r>
          </w:p>
        </w:tc>
        <w:tc>
          <w:tcPr>
            <w:tcW w:w="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19</w:t>
            </w:r>
          </w:p>
        </w:tc>
        <w:tc>
          <w:tcPr>
            <w:tcW w:w="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(loss) from continuing operations before taxes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1,050</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(4,880)</w:t>
            </w:r>
          </w:p>
        </w:tc>
        <w:tc>
          <w:tcPr>
            <w:tcW w:w="1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b w:val="1"/>
                <w:bCs w:val="1"/>
                <w:color w:val="auto"/>
              </w:rPr>
              <w:t>(2,360)</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(18,006)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spacing w:after="0" w:line="202" w:lineRule="exact"/>
              <w:rPr>
                <w:sz w:val="20"/>
                <w:szCs w:val="20"/>
                <w:color w:val="auto"/>
              </w:rPr>
            </w:pPr>
            <w:r>
              <w:rPr>
                <w:rFonts w:ascii="Arial" w:cs="Arial" w:eastAsia="Arial" w:hAnsi="Arial"/>
                <w:sz w:val="18"/>
                <w:szCs w:val="18"/>
                <w:color w:val="auto"/>
              </w:rPr>
              <w:t>Income tax provision (benefit)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119</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(546)</w:t>
            </w: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63</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(loss) from continuing operations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931</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(4,334)</w:t>
            </w:r>
          </w:p>
        </w:tc>
        <w:tc>
          <w:tcPr>
            <w:tcW w:w="1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b w:val="1"/>
                <w:bCs w:val="1"/>
                <w:color w:val="auto"/>
              </w:rPr>
              <w:t>(2,423)</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(16,569)</w:t>
            </w:r>
          </w:p>
        </w:tc>
        <w:tc>
          <w:tcPr>
            <w:tcW w:w="0" w:type="dxa"/>
            <w:vAlign w:val="bottom"/>
          </w:tcPr>
          <w:p>
            <w:pPr>
              <w:spacing w:after="0"/>
              <w:rPr>
                <w:sz w:val="1"/>
                <w:szCs w:val="1"/>
                <w:color w:val="auto"/>
              </w:rPr>
            </w:pPr>
          </w:p>
        </w:tc>
      </w:tr>
      <w:tr>
        <w:trPr>
          <w:trHeight w:val="318"/>
        </w:trPr>
        <w:tc>
          <w:tcPr>
            <w:tcW w:w="594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2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Income from operations of discontinued video camera segment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(including gain on sale of $4,248 for the three months ended June 28,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3,885</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3,891</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2014) before income taxes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451</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658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Pr>
          <w:p>
            <w:pPr>
              <w:ind w:left="80"/>
              <w:spacing w:after="0" w:line="202" w:lineRule="exact"/>
              <w:rPr>
                <w:sz w:val="20"/>
                <w:szCs w:val="20"/>
                <w:color w:val="auto"/>
              </w:rPr>
            </w:pPr>
            <w:r>
              <w:rPr>
                <w:rFonts w:ascii="Arial" w:cs="Arial" w:eastAsia="Arial" w:hAnsi="Arial"/>
                <w:sz w:val="18"/>
                <w:szCs w:val="18"/>
                <w:color w:val="auto"/>
              </w:rPr>
              <w:t>Income tax provision</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653</w:t>
            </w: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162</w:t>
            </w:r>
          </w:p>
        </w:tc>
        <w:tc>
          <w:tcPr>
            <w:tcW w:w="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653</w:t>
            </w:r>
          </w:p>
        </w:tc>
        <w:tc>
          <w:tcPr>
            <w:tcW w:w="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Income from discontinued operations</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3,232</w:t>
            </w:r>
          </w:p>
        </w:tc>
        <w:tc>
          <w:tcPr>
            <w:tcW w:w="3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289</w:t>
            </w:r>
          </w:p>
        </w:tc>
        <w:tc>
          <w:tcPr>
            <w:tcW w:w="4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3,238</w:t>
            </w:r>
          </w:p>
        </w:tc>
        <w:tc>
          <w:tcPr>
            <w:tcW w:w="4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4,163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(4,045)</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815</w:t>
            </w:r>
          </w:p>
        </w:tc>
        <w:tc>
          <w:tcPr>
            <w:tcW w:w="4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(16,148)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(loss) per share:</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ind w:left="80"/>
              <w:spacing w:after="0" w:line="202" w:lineRule="exact"/>
              <w:rPr>
                <w:sz w:val="20"/>
                <w:szCs w:val="20"/>
                <w:color w:val="auto"/>
              </w:rPr>
            </w:pPr>
            <w:r>
              <w:rPr>
                <w:rFonts w:ascii="Arial" w:cs="Arial" w:eastAsia="Arial" w:hAnsi="Arial"/>
                <w:sz w:val="18"/>
                <w:szCs w:val="18"/>
                <w:color w:val="auto"/>
              </w:rPr>
              <w:t>Basic:</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Income (loss) from continuing operations</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0.04</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(0.17)</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4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b w:val="1"/>
                <w:bCs w:val="1"/>
                <w:color w:val="auto"/>
              </w:rPr>
              <w:t>(0.10)</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Pr>
          <w:p>
            <w:pPr>
              <w:ind w:left="80"/>
              <w:spacing w:after="0" w:line="202" w:lineRule="exact"/>
              <w:rPr>
                <w:sz w:val="20"/>
                <w:szCs w:val="20"/>
                <w:color w:val="auto"/>
              </w:rPr>
            </w:pPr>
            <w:r>
              <w:rPr>
                <w:rFonts w:ascii="Arial" w:cs="Arial" w:eastAsia="Arial" w:hAnsi="Arial"/>
                <w:sz w:val="18"/>
                <w:szCs w:val="18"/>
                <w:color w:val="auto"/>
              </w:rPr>
              <w:t>Income from discontinued operations</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0.12</w:t>
            </w: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0.01</w:t>
            </w:r>
          </w:p>
        </w:tc>
        <w:tc>
          <w:tcPr>
            <w:tcW w:w="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0.13</w:t>
            </w:r>
          </w:p>
        </w:tc>
        <w:tc>
          <w:tcPr>
            <w:tcW w:w="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Net income (loss)</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0.16</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16)</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0.03</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vMerge w:val="restart"/>
          </w:tcPr>
          <w:p>
            <w:pPr>
              <w:ind w:left="8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59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Income (loss) from continuing operations</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0.04</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(0.17)</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4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b w:val="1"/>
                <w:bCs w:val="1"/>
                <w:color w:val="auto"/>
              </w:rPr>
              <w:t>(0.10)</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Pr>
          <w:p>
            <w:pPr>
              <w:ind w:left="80"/>
              <w:spacing w:after="0" w:line="202" w:lineRule="exact"/>
              <w:rPr>
                <w:sz w:val="20"/>
                <w:szCs w:val="20"/>
                <w:color w:val="auto"/>
              </w:rPr>
            </w:pPr>
            <w:r>
              <w:rPr>
                <w:rFonts w:ascii="Arial" w:cs="Arial" w:eastAsia="Arial" w:hAnsi="Arial"/>
                <w:sz w:val="18"/>
                <w:szCs w:val="18"/>
                <w:color w:val="auto"/>
              </w:rPr>
              <w:t>Income from discontinued operations</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0.12</w:t>
            </w: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0.01</w:t>
            </w:r>
          </w:p>
        </w:tc>
        <w:tc>
          <w:tcPr>
            <w:tcW w:w="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0.13</w:t>
            </w:r>
          </w:p>
        </w:tc>
        <w:tc>
          <w:tcPr>
            <w:tcW w:w="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Net income (loss)</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0.16</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16)</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0.03</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Weighted average shares used in computing income (loss) per share: </w:t>
            </w:r>
            <w:r>
              <w:rPr>
                <w:rFonts w:ascii="Arial" w:cs="Arial" w:eastAsia="Arial" w:hAnsi="Arial"/>
                <w:sz w:val="15"/>
                <w:szCs w:val="15"/>
                <w:color w:val="auto"/>
              </w:rPr>
              <w:t>(2)</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25,324</w:t>
            </w:r>
          </w:p>
        </w:tc>
        <w:tc>
          <w:tcPr>
            <w:tcW w:w="3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24,817</w:t>
            </w:r>
          </w:p>
        </w:tc>
        <w:tc>
          <w:tcPr>
            <w:tcW w:w="4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25,223</w:t>
            </w:r>
          </w:p>
        </w:tc>
        <w:tc>
          <w:tcPr>
            <w:tcW w:w="4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24,737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920" w:type="dxa"/>
            <w:vAlign w:val="bottom"/>
          </w:tcPr>
          <w:p>
            <w:pPr>
              <w:ind w:left="80"/>
              <w:spacing w:after="0" w:line="196" w:lineRule="exact"/>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25,797</w:t>
            </w:r>
          </w:p>
        </w:tc>
        <w:tc>
          <w:tcPr>
            <w:tcW w:w="3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24,817</w:t>
            </w:r>
          </w:p>
        </w:tc>
        <w:tc>
          <w:tcPr>
            <w:tcW w:w="4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25,223</w:t>
            </w:r>
          </w:p>
        </w:tc>
        <w:tc>
          <w:tcPr>
            <w:tcW w:w="4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24,737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59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460" w:right="560" w:hanging="344"/>
        <w:spacing w:after="0" w:line="250" w:lineRule="auto"/>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three- and six-month periods ended June 28, 2014 and June 29, 2013 were comprised of 13 weeks and 26 weeks, respectively. On June 6, 2014 the Company announced the completion of the sale of substantially all the assets of its video camera segment, Cohu Electronics and, as a result, the operating results of Cohu Electronics have been presented as discontinued operations and all prior period amounts have been reclassified accordingly.</w:t>
      </w:r>
    </w:p>
    <w:p>
      <w:pPr>
        <w:spacing w:after="0" w:line="50" w:lineRule="exact"/>
        <w:rPr>
          <w:rFonts w:ascii="Arial" w:cs="Arial" w:eastAsia="Arial" w:hAnsi="Arial"/>
          <w:sz w:val="14"/>
          <w:szCs w:val="14"/>
          <w:color w:val="auto"/>
        </w:rPr>
      </w:pPr>
    </w:p>
    <w:p>
      <w:pPr>
        <w:ind w:left="460" w:right="20" w:hanging="344"/>
        <w:spacing w:after="0" w:line="245" w:lineRule="auto"/>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Company has utilized the “control number” concept in the computation of diluted earnings per share to determine whether a potential common stock instrument is dilutive. The control number used is income/loss from continuing operations. The control number concept requires that the same number of potentially dilutive securities applied in computing diluted earnings per share from continuing operations be applied to all other categories of income or loss, regardless of their anti-dilutive effect on such categories. Therefore, no dilutive effect is recognized in the calculation of income from discontinued operations per share or net income per share for the six months ended June 28, 2014 and of income from discontinued operations per share for the three and six months ended June 29, 2013.</w:t>
      </w:r>
    </w:p>
    <w:p>
      <w:pPr>
        <w:sectPr>
          <w:pgSz w:w="11900" w:h="16838" w:orient="portrait"/>
          <w:cols w:equalWidth="0" w:num="1">
            <w:col w:w="11420"/>
          </w:cols>
          <w:pgMar w:left="240" w:top="26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COHU, INC.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rPr>
          <w:sz w:val="20"/>
          <w:szCs w:val="20"/>
          <w:color w:val="auto"/>
        </w:rPr>
      </w:pPr>
      <w:r>
        <w:rPr>
          <w:rFonts w:ascii="Arial" w:cs="Arial" w:eastAsia="Arial" w:hAnsi="Arial"/>
          <w:sz w:val="18"/>
          <w:szCs w:val="18"/>
          <w:i w:val="1"/>
          <w:iCs w:val="1"/>
          <w:color w:val="auto"/>
        </w:rPr>
        <w:t>(in thousands) (Unaudited)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b w:val="1"/>
                <w:bCs w:val="1"/>
                <w:color w:val="auto"/>
              </w:rPr>
              <w:t>June 28,</w:t>
            </w:r>
          </w:p>
        </w:tc>
        <w:tc>
          <w:tcPr>
            <w:tcW w:w="420" w:type="dxa"/>
            <w:vAlign w:val="bottom"/>
          </w:tcPr>
          <w:p>
            <w:pPr>
              <w:spacing w:after="0"/>
              <w:rPr>
                <w:sz w:val="17"/>
                <w:szCs w:val="17"/>
                <w:color w:val="auto"/>
              </w:rPr>
            </w:pP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December 28,</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620" w:type="dxa"/>
            <w:vAlign w:val="bottom"/>
            <w:tcBorders>
              <w:bottom w:val="single" w:sz="8" w:color="CCEEFF"/>
            </w:tcBorders>
          </w:tcPr>
          <w:p>
            <w:pPr>
              <w:spacing w:after="0"/>
              <w:rPr>
                <w:sz w:val="19"/>
                <w:szCs w:val="19"/>
                <w:color w:val="auto"/>
              </w:rPr>
            </w:pPr>
          </w:p>
        </w:tc>
        <w:tc>
          <w:tcPr>
            <w:tcW w:w="19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xml:space="preserve">2014 </w:t>
            </w:r>
            <w:r>
              <w:rPr>
                <w:rFonts w:ascii="Arial" w:cs="Arial" w:eastAsia="Arial" w:hAnsi="Arial"/>
                <w:sz w:val="15"/>
                <w:szCs w:val="15"/>
                <w:b w:val="1"/>
                <w:bCs w:val="1"/>
                <w:color w:val="auto"/>
              </w:rPr>
              <w:t>(1)</w:t>
            </w:r>
          </w:p>
        </w:tc>
        <w:tc>
          <w:tcPr>
            <w:tcW w:w="4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 xml:space="preserve">2013 </w:t>
            </w:r>
            <w:r>
              <w:rPr>
                <w:rFonts w:ascii="Arial" w:cs="Arial" w:eastAsia="Arial" w:hAnsi="Arial"/>
                <w:sz w:val="15"/>
                <w:szCs w:val="15"/>
                <w:color w:val="auto"/>
              </w:rPr>
              <w:t>(1)</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62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1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tcBorders>
              <w:right w:val="single" w:sz="8" w:color="CCEEFF"/>
            </w:tcBorders>
            <w:shd w:val="clear" w:color="auto" w:fill="CCEEFF"/>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Cash and investments</w:t>
            </w:r>
          </w:p>
        </w:tc>
        <w:tc>
          <w:tcPr>
            <w:tcW w:w="2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58,169</w:t>
            </w: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52,868</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Pr>
          <w:p>
            <w:pPr>
              <w:ind w:left="160"/>
              <w:spacing w:after="0" w:line="202" w:lineRule="exact"/>
              <w:rPr>
                <w:sz w:val="20"/>
                <w:szCs w:val="20"/>
                <w:color w:val="auto"/>
              </w:rPr>
            </w:pPr>
            <w:r>
              <w:rPr>
                <w:rFonts w:ascii="Arial" w:cs="Arial" w:eastAsia="Arial" w:hAnsi="Arial"/>
                <w:sz w:val="18"/>
                <w:szCs w:val="18"/>
                <w:color w:val="auto"/>
              </w:rPr>
              <w:t>Accounts receivable</w:t>
            </w:r>
          </w:p>
        </w:tc>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69,561</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58,164</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Inventories</w:t>
            </w:r>
          </w:p>
        </w:tc>
        <w:tc>
          <w:tcPr>
            <w:tcW w:w="1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61,464</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55,409</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Pr>
          <w:p>
            <w:pPr>
              <w:ind w:left="160"/>
              <w:spacing w:after="0" w:line="202" w:lineRule="exact"/>
              <w:rPr>
                <w:sz w:val="20"/>
                <w:szCs w:val="20"/>
                <w:color w:val="auto"/>
              </w:rPr>
            </w:pPr>
            <w:r>
              <w:rPr>
                <w:rFonts w:ascii="Arial" w:cs="Arial" w:eastAsia="Arial" w:hAnsi="Arial"/>
                <w:sz w:val="18"/>
                <w:szCs w:val="18"/>
                <w:color w:val="auto"/>
              </w:rPr>
              <w:t>Other current assets</w:t>
            </w:r>
          </w:p>
        </w:tc>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14,616</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14,135</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Current assets of discontinued operations</w:t>
            </w:r>
          </w:p>
        </w:tc>
        <w:tc>
          <w:tcPr>
            <w:tcW w:w="19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right w:val="single" w:sz="8" w:color="CCEEFF"/>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6,272</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203,810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186,848</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&amp; equipment, net</w:t>
            </w:r>
          </w:p>
        </w:tc>
        <w:tc>
          <w:tcPr>
            <w:tcW w:w="1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34,289</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35,796</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71,075</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71,313</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Intangible assets, net</w:t>
            </w:r>
          </w:p>
        </w:tc>
        <w:tc>
          <w:tcPr>
            <w:tcW w:w="1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41,101</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45,315</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5,823</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5,720</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Noncurrent assets of discontinued operations</w:t>
            </w:r>
          </w:p>
        </w:tc>
        <w:tc>
          <w:tcPr>
            <w:tcW w:w="19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right w:val="single" w:sz="8" w:color="CCEEFF"/>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431</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9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356,098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345,423</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6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Liabilities &amp; Stockholders’ Equity:</w:t>
            </w:r>
          </w:p>
        </w:tc>
        <w:tc>
          <w:tcPr>
            <w:tcW w:w="1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Deferred profit</w:t>
            </w:r>
          </w:p>
        </w:tc>
        <w:tc>
          <w:tcPr>
            <w:tcW w:w="2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8,858</w:t>
            </w: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6,066</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Pr>
          <w:p>
            <w:pPr>
              <w:ind w:left="160"/>
              <w:spacing w:after="0" w:line="202" w:lineRule="exact"/>
              <w:rPr>
                <w:sz w:val="20"/>
                <w:szCs w:val="20"/>
                <w:color w:val="auto"/>
              </w:rPr>
            </w:pPr>
            <w:r>
              <w:rPr>
                <w:rFonts w:ascii="Arial" w:cs="Arial" w:eastAsia="Arial" w:hAnsi="Arial"/>
                <w:sz w:val="18"/>
                <w:szCs w:val="18"/>
                <w:color w:val="auto"/>
              </w:rPr>
              <w:t>Other current liabilities</w:t>
            </w:r>
          </w:p>
        </w:tc>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62,250</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53,198</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Current liabilities of discontinued operations</w:t>
            </w:r>
          </w:p>
        </w:tc>
        <w:tc>
          <w:tcPr>
            <w:tcW w:w="19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right w:val="single" w:sz="8" w:color="CCEEFF"/>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1,747</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71,108</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61,011</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1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30,722</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31,252</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Pr>
          <w:p>
            <w:pPr>
              <w:spacing w:after="0" w:line="202" w:lineRule="exact"/>
              <w:rPr>
                <w:sz w:val="20"/>
                <w:szCs w:val="20"/>
                <w:color w:val="auto"/>
              </w:rPr>
            </w:pPr>
            <w:r>
              <w:rPr>
                <w:rFonts w:ascii="Arial" w:cs="Arial" w:eastAsia="Arial" w:hAnsi="Arial"/>
                <w:sz w:val="18"/>
                <w:szCs w:val="18"/>
                <w:color w:val="auto"/>
              </w:rPr>
              <w:t>Stockholders’ equity</w:t>
            </w:r>
          </w:p>
        </w:tc>
        <w:tc>
          <w:tcPr>
            <w:tcW w:w="1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254,268</w:t>
            </w:r>
          </w:p>
        </w:tc>
        <w:tc>
          <w:tcPr>
            <w:tcW w:w="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253,160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 liabilities &amp; stockholders’ equity</w:t>
            </w:r>
          </w:p>
        </w:tc>
        <w:tc>
          <w:tcPr>
            <w:tcW w:w="2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356,098</w:t>
            </w: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345,423</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562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460" w:right="400" w:hanging="344"/>
        <w:spacing w:after="0" w:line="258" w:lineRule="auto"/>
        <w:tabs>
          <w:tab w:leader="none" w:pos="460" w:val="left"/>
        </w:tabs>
        <w:numPr>
          <w:ilvl w:val="0"/>
          <w:numId w:val="5"/>
        </w:numPr>
        <w:rPr>
          <w:rFonts w:ascii="Arial" w:cs="Arial" w:eastAsia="Arial" w:hAnsi="Arial"/>
          <w:sz w:val="14"/>
          <w:szCs w:val="14"/>
          <w:color w:val="auto"/>
        </w:rPr>
      </w:pPr>
      <w:r>
        <w:rPr>
          <w:rFonts w:ascii="Arial" w:cs="Arial" w:eastAsia="Arial" w:hAnsi="Arial"/>
          <w:sz w:val="14"/>
          <w:szCs w:val="14"/>
          <w:color w:val="auto"/>
        </w:rPr>
        <w:t>On June 6, 2014 the Company announced the completion of the sale of substantially all the assets of its video camera segment, Cohu Electronics and, as a result, the assets and liabilities of Cohu Electronics have been presented as discontinued operations and all prior period amounts have been reclassified accordingly.</w:t>
      </w:r>
    </w:p>
    <w:p>
      <w:pPr>
        <w:sectPr>
          <w:pgSz w:w="11900" w:h="16838" w:orient="portrait"/>
          <w:cols w:equalWidth="0" w:num="1">
            <w:col w:w="11420"/>
          </w:cols>
          <w:pgMar w:left="240" w:top="26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COHU, INC.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Reconciliation of GAAP Results to Non-GAAP Financial Measures (Unaudited)</w:t>
      </w: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20" w:type="dxa"/>
            <w:vAlign w:val="bottom"/>
            <w:gridSpan w:val="4"/>
          </w:tcPr>
          <w:p>
            <w:pPr>
              <w:jc w:val="right"/>
              <w:ind w:right="60"/>
              <w:spacing w:after="0"/>
              <w:rPr>
                <w:sz w:val="20"/>
                <w:szCs w:val="20"/>
                <w:color w:val="auto"/>
              </w:rPr>
            </w:pPr>
            <w:r>
              <w:rPr>
                <w:rFonts w:ascii="Arial" w:cs="Arial" w:eastAsia="Arial" w:hAnsi="Arial"/>
                <w:sz w:val="16"/>
                <w:szCs w:val="16"/>
                <w:color w:val="auto"/>
              </w:rPr>
              <w:t>Three Months Ended</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Arial" w:cs="Arial" w:eastAsia="Arial" w:hAnsi="Arial"/>
                <w:sz w:val="16"/>
                <w:szCs w:val="16"/>
                <w:color w:val="auto"/>
              </w:rPr>
              <w:t>June 28,</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6"/>
                <w:szCs w:val="16"/>
                <w:color w:val="auto"/>
              </w:rPr>
              <w:t>March 29,</w:t>
            </w:r>
          </w:p>
        </w:tc>
        <w:tc>
          <w:tcPr>
            <w:tcW w:w="160" w:type="dxa"/>
            <w:vAlign w:val="bottom"/>
          </w:tcPr>
          <w:p>
            <w:pPr>
              <w:spacing w:after="0"/>
              <w:rPr>
                <w:sz w:val="16"/>
                <w:szCs w:val="16"/>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6"/>
                <w:szCs w:val="16"/>
                <w:color w:val="auto"/>
              </w:rPr>
              <w:t>June 29,</w:t>
            </w:r>
          </w:p>
        </w:tc>
      </w:tr>
      <w:tr>
        <w:trPr>
          <w:trHeight w:val="187"/>
        </w:trPr>
        <w:tc>
          <w:tcPr>
            <w:tcW w:w="75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2014</w:t>
            </w:r>
          </w:p>
        </w:tc>
        <w:tc>
          <w:tcPr>
            <w:tcW w:w="6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2014</w:t>
            </w:r>
          </w:p>
        </w:tc>
        <w:tc>
          <w:tcPr>
            <w:tcW w:w="3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2013</w:t>
            </w:r>
          </w:p>
        </w:tc>
        <w:tc>
          <w:tcPr>
            <w:tcW w:w="100" w:type="dxa"/>
            <w:vAlign w:val="bottom"/>
            <w:tcBorders>
              <w:bottom w:val="single" w:sz="8" w:color="CCEEFF"/>
            </w:tcBorders>
          </w:tcPr>
          <w:p>
            <w:pPr>
              <w:spacing w:after="0"/>
              <w:rPr>
                <w:sz w:val="16"/>
                <w:szCs w:val="16"/>
                <w:color w:val="auto"/>
              </w:rPr>
            </w:pPr>
          </w:p>
        </w:tc>
      </w:tr>
      <w:tr>
        <w:trPr>
          <w:trHeight w:val="183"/>
        </w:trPr>
        <w:tc>
          <w:tcPr>
            <w:tcW w:w="758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Income (loss) from operations - GAAP basis (a)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1,045</w:t>
            </w:r>
          </w:p>
        </w:tc>
        <w:tc>
          <w:tcPr>
            <w:tcW w:w="6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320"/>
              <w:spacing w:after="0" w:line="183" w:lineRule="exact"/>
              <w:rPr>
                <w:sz w:val="20"/>
                <w:szCs w:val="20"/>
                <w:color w:val="auto"/>
              </w:rPr>
            </w:pPr>
            <w:r>
              <w:rPr>
                <w:rFonts w:ascii="Arial" w:cs="Arial" w:eastAsia="Arial" w:hAnsi="Arial"/>
                <w:sz w:val="16"/>
                <w:szCs w:val="16"/>
                <w:color w:val="auto"/>
              </w:rPr>
              <w:t>(3,424)</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6"/>
                <w:szCs w:val="16"/>
                <w:color w:val="auto"/>
              </w:rPr>
              <w:t>(4,896)</w:t>
            </w:r>
          </w:p>
        </w:tc>
      </w:tr>
      <w:tr>
        <w:trPr>
          <w:trHeight w:val="189"/>
        </w:trPr>
        <w:tc>
          <w:tcPr>
            <w:tcW w:w="7580" w:type="dxa"/>
            <w:vAlign w:val="bottom"/>
          </w:tcPr>
          <w:p>
            <w:pPr>
              <w:spacing w:after="0"/>
              <w:rPr>
                <w:sz w:val="20"/>
                <w:szCs w:val="20"/>
                <w:color w:val="auto"/>
              </w:rPr>
            </w:pPr>
            <w:r>
              <w:rPr>
                <w:rFonts w:ascii="Arial" w:cs="Arial" w:eastAsia="Arial" w:hAnsi="Arial"/>
                <w:sz w:val="16"/>
                <w:szCs w:val="16"/>
                <w:color w:val="auto"/>
              </w:rPr>
              <w:t>Non-GAAP adjustments:</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Share-based compensation included in (b):</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7580" w:type="dxa"/>
            <w:vAlign w:val="bottom"/>
          </w:tcPr>
          <w:p>
            <w:pPr>
              <w:ind w:left="340"/>
              <w:spacing w:after="0"/>
              <w:rPr>
                <w:sz w:val="20"/>
                <w:szCs w:val="20"/>
                <w:color w:val="auto"/>
              </w:rPr>
            </w:pPr>
            <w:r>
              <w:rPr>
                <w:rFonts w:ascii="Arial" w:cs="Arial" w:eastAsia="Arial" w:hAnsi="Arial"/>
                <w:sz w:val="16"/>
                <w:szCs w:val="16"/>
                <w:color w:val="auto"/>
              </w:rPr>
              <w:t>Cost of goods sold</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190</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75</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6"/>
                <w:szCs w:val="16"/>
                <w:color w:val="auto"/>
              </w:rPr>
            </w:pPr>
          </w:p>
        </w:tc>
      </w:tr>
      <w:tr>
        <w:trPr>
          <w:trHeight w:val="189"/>
        </w:trPr>
        <w:tc>
          <w:tcPr>
            <w:tcW w:w="7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Research and development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100" w:type="dxa"/>
            <w:vAlign w:val="bottom"/>
            <w:shd w:val="clear" w:color="auto" w:fill="CCEEFF"/>
          </w:tcPr>
          <w:p>
            <w:pPr>
              <w:spacing w:after="0"/>
              <w:rPr>
                <w:sz w:val="16"/>
                <w:szCs w:val="16"/>
                <w:color w:val="auto"/>
              </w:rPr>
            </w:pPr>
          </w:p>
        </w:tc>
      </w:tr>
      <w:tr>
        <w:trPr>
          <w:trHeight w:val="196"/>
        </w:trPr>
        <w:tc>
          <w:tcPr>
            <w:tcW w:w="7580" w:type="dxa"/>
            <w:vAlign w:val="bottom"/>
          </w:tcPr>
          <w:p>
            <w:pPr>
              <w:ind w:left="340"/>
              <w:spacing w:after="0"/>
              <w:rPr>
                <w:sz w:val="20"/>
                <w:szCs w:val="20"/>
                <w:color w:val="auto"/>
              </w:rPr>
            </w:pPr>
            <w:r>
              <w:rPr>
                <w:rFonts w:ascii="Arial" w:cs="Arial" w:eastAsia="Arial" w:hAnsi="Arial"/>
                <w:sz w:val="16"/>
                <w:szCs w:val="16"/>
                <w:color w:val="auto"/>
              </w:rPr>
              <w:t>Selling, general and administrative</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1,042</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916</w:t>
            </w:r>
          </w:p>
        </w:tc>
        <w:tc>
          <w:tcPr>
            <w:tcW w:w="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831</w:t>
            </w:r>
          </w:p>
        </w:tc>
        <w:tc>
          <w:tcPr>
            <w:tcW w:w="100" w:type="dxa"/>
            <w:vAlign w:val="bottom"/>
          </w:tcPr>
          <w:p>
            <w:pPr>
              <w:spacing w:after="0"/>
              <w:rPr>
                <w:sz w:val="17"/>
                <w:szCs w:val="17"/>
                <w:color w:val="auto"/>
              </w:rPr>
            </w:pPr>
          </w:p>
        </w:tc>
      </w:tr>
      <w:tr>
        <w:trPr>
          <w:trHeight w:val="189"/>
        </w:trPr>
        <w:tc>
          <w:tcPr>
            <w:tcW w:w="7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1,687</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1,481</w:t>
            </w: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1,324</w:t>
            </w:r>
          </w:p>
        </w:tc>
        <w:tc>
          <w:tcPr>
            <w:tcW w:w="100" w:type="dxa"/>
            <w:vAlign w:val="bottom"/>
            <w:shd w:val="clear" w:color="auto" w:fill="CCEEFF"/>
          </w:tcPr>
          <w:p>
            <w:pPr>
              <w:spacing w:after="0"/>
              <w:rPr>
                <w:sz w:val="16"/>
                <w:szCs w:val="16"/>
                <w:color w:val="auto"/>
              </w:rPr>
            </w:pPr>
          </w:p>
        </w:tc>
      </w:tr>
      <w:tr>
        <w:trPr>
          <w:trHeight w:val="189"/>
        </w:trPr>
        <w:tc>
          <w:tcPr>
            <w:tcW w:w="7580" w:type="dxa"/>
            <w:vAlign w:val="bottom"/>
          </w:tcPr>
          <w:p>
            <w:pPr>
              <w:ind w:left="180"/>
              <w:spacing w:after="0"/>
              <w:rPr>
                <w:sz w:val="20"/>
                <w:szCs w:val="20"/>
                <w:color w:val="auto"/>
              </w:rPr>
            </w:pPr>
            <w:r>
              <w:rPr>
                <w:rFonts w:ascii="Arial" w:cs="Arial" w:eastAsia="Arial" w:hAnsi="Arial"/>
                <w:sz w:val="16"/>
                <w:szCs w:val="16"/>
                <w:color w:val="auto"/>
              </w:rPr>
              <w:t>Amortization of intangible assets included in (c):</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Cost of goods sold</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1,642</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1,645</w:t>
            </w: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w:t>
            </w:r>
          </w:p>
        </w:tc>
        <w:tc>
          <w:tcPr>
            <w:tcW w:w="100" w:type="dxa"/>
            <w:vAlign w:val="bottom"/>
            <w:shd w:val="clear" w:color="auto" w:fill="CCEEFF"/>
          </w:tcPr>
          <w:p>
            <w:pPr>
              <w:spacing w:after="0"/>
              <w:rPr>
                <w:sz w:val="16"/>
                <w:szCs w:val="16"/>
                <w:color w:val="auto"/>
              </w:rPr>
            </w:pPr>
          </w:p>
        </w:tc>
      </w:tr>
      <w:tr>
        <w:trPr>
          <w:trHeight w:val="196"/>
        </w:trPr>
        <w:tc>
          <w:tcPr>
            <w:tcW w:w="7580" w:type="dxa"/>
            <w:vAlign w:val="bottom"/>
          </w:tcPr>
          <w:p>
            <w:pPr>
              <w:ind w:left="340"/>
              <w:spacing w:after="0"/>
              <w:rPr>
                <w:sz w:val="20"/>
                <w:szCs w:val="20"/>
                <w:color w:val="auto"/>
              </w:rPr>
            </w:pPr>
            <w:r>
              <w:rPr>
                <w:rFonts w:ascii="Arial" w:cs="Arial" w:eastAsia="Arial" w:hAnsi="Arial"/>
                <w:sz w:val="16"/>
                <w:szCs w:val="16"/>
                <w:color w:val="auto"/>
              </w:rPr>
              <w:t>Selling, general and administrative</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w:t>
            </w:r>
          </w:p>
        </w:tc>
        <w:tc>
          <w:tcPr>
            <w:tcW w:w="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17"/>
                <w:szCs w:val="17"/>
                <w:color w:val="auto"/>
              </w:rPr>
            </w:pPr>
          </w:p>
        </w:tc>
      </w:tr>
      <w:tr>
        <w:trPr>
          <w:trHeight w:val="189"/>
        </w:trPr>
        <w:tc>
          <w:tcPr>
            <w:tcW w:w="7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2,074</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2,075</w:t>
            </w: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w:t>
            </w:r>
          </w:p>
        </w:tc>
        <w:tc>
          <w:tcPr>
            <w:tcW w:w="100" w:type="dxa"/>
            <w:vAlign w:val="bottom"/>
            <w:shd w:val="clear" w:color="auto" w:fill="CCEEFF"/>
          </w:tcPr>
          <w:p>
            <w:pPr>
              <w:spacing w:after="0"/>
              <w:rPr>
                <w:sz w:val="16"/>
                <w:szCs w:val="16"/>
                <w:color w:val="auto"/>
              </w:rPr>
            </w:pPr>
          </w:p>
        </w:tc>
      </w:tr>
      <w:tr>
        <w:trPr>
          <w:trHeight w:val="189"/>
        </w:trPr>
        <w:tc>
          <w:tcPr>
            <w:tcW w:w="7580" w:type="dxa"/>
            <w:vAlign w:val="bottom"/>
          </w:tcPr>
          <w:p>
            <w:pPr>
              <w:ind w:left="180"/>
              <w:spacing w:after="0"/>
              <w:rPr>
                <w:sz w:val="20"/>
                <w:szCs w:val="20"/>
                <w:color w:val="auto"/>
              </w:rPr>
            </w:pPr>
            <w:r>
              <w:rPr>
                <w:rFonts w:ascii="Arial" w:cs="Arial" w:eastAsia="Arial" w:hAnsi="Arial"/>
                <w:sz w:val="16"/>
                <w:szCs w:val="16"/>
                <w:color w:val="auto"/>
              </w:rPr>
              <w:t>Manufacturing transition and severance costs included in (d):</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Cost of goods sold</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r>
      <w:tr>
        <w:trPr>
          <w:trHeight w:val="189"/>
        </w:trPr>
        <w:tc>
          <w:tcPr>
            <w:tcW w:w="7580" w:type="dxa"/>
            <w:vAlign w:val="bottom"/>
          </w:tcPr>
          <w:p>
            <w:pPr>
              <w:ind w:left="340"/>
              <w:spacing w:after="0"/>
              <w:rPr>
                <w:sz w:val="20"/>
                <w:szCs w:val="20"/>
                <w:color w:val="auto"/>
              </w:rPr>
            </w:pPr>
            <w:r>
              <w:rPr>
                <w:rFonts w:ascii="Arial" w:cs="Arial" w:eastAsia="Arial" w:hAnsi="Arial"/>
                <w:sz w:val="16"/>
                <w:szCs w:val="16"/>
                <w:color w:val="auto"/>
              </w:rPr>
              <w:t>Research and development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206</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r>
      <w:tr>
        <w:trPr>
          <w:trHeight w:val="189"/>
        </w:trPr>
        <w:tc>
          <w:tcPr>
            <w:tcW w:w="7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Selling, general and administrative</w:t>
            </w: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846</w:t>
            </w:r>
          </w:p>
        </w:tc>
        <w:tc>
          <w:tcPr>
            <w:tcW w:w="3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r>
      <w:tr>
        <w:trPr>
          <w:trHeight w:val="196"/>
        </w:trPr>
        <w:tc>
          <w:tcPr>
            <w:tcW w:w="7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849</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846</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r>
      <w:tr>
        <w:trPr>
          <w:trHeight w:val="189"/>
        </w:trPr>
        <w:tc>
          <w:tcPr>
            <w:tcW w:w="7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acquisition costs included in selling, general and administrative (e)</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spacing w:after="0"/>
              <w:rPr>
                <w:sz w:val="16"/>
                <w:szCs w:val="16"/>
                <w:color w:val="auto"/>
              </w:rPr>
            </w:pPr>
          </w:p>
        </w:tc>
      </w:tr>
      <w:tr>
        <w:trPr>
          <w:trHeight w:val="196"/>
        </w:trPr>
        <w:tc>
          <w:tcPr>
            <w:tcW w:w="7580" w:type="dxa"/>
            <w:vAlign w:val="bottom"/>
          </w:tcPr>
          <w:p>
            <w:pPr>
              <w:ind w:left="180"/>
              <w:spacing w:after="0"/>
              <w:rPr>
                <w:sz w:val="20"/>
                <w:szCs w:val="20"/>
                <w:color w:val="auto"/>
              </w:rPr>
            </w:pPr>
            <w:r>
              <w:rPr>
                <w:rFonts w:ascii="Arial" w:cs="Arial" w:eastAsia="Arial" w:hAnsi="Arial"/>
                <w:sz w:val="16"/>
                <w:szCs w:val="16"/>
                <w:color w:val="auto"/>
              </w:rPr>
              <w:t>Inventory step-up included in cost of goods sold (f)</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7"/>
                <w:szCs w:val="17"/>
                <w:color w:val="auto"/>
              </w:rPr>
            </w:pPr>
          </w:p>
        </w:tc>
      </w:tr>
      <w:tr>
        <w:trPr>
          <w:trHeight w:val="189"/>
        </w:trPr>
        <w:tc>
          <w:tcPr>
            <w:tcW w:w="7580" w:type="dxa"/>
            <w:vAlign w:val="bottom"/>
            <w:shd w:val="clear" w:color="auto" w:fill="CCEEFF"/>
          </w:tcPr>
          <w:p>
            <w:pPr>
              <w:spacing w:after="0"/>
              <w:rPr>
                <w:sz w:val="20"/>
                <w:szCs w:val="20"/>
                <w:color w:val="auto"/>
              </w:rPr>
            </w:pPr>
            <w:r>
              <w:rPr>
                <w:rFonts w:ascii="Arial" w:cs="Arial" w:eastAsia="Arial" w:hAnsi="Arial"/>
                <w:sz w:val="16"/>
                <w:szCs w:val="16"/>
                <w:color w:val="auto"/>
              </w:rPr>
              <w:t>Income (loss) from operations - non-GAAP basis (g)</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5,655</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978</w:t>
            </w:r>
          </w:p>
        </w:tc>
        <w:tc>
          <w:tcPr>
            <w:tcW w:w="3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(1,688)</w:t>
            </w:r>
          </w:p>
        </w:tc>
        <w:tc>
          <w:tcPr>
            <w:tcW w:w="100" w:type="dxa"/>
            <w:vAlign w:val="bottom"/>
            <w:shd w:val="clear" w:color="auto" w:fill="CCEEFF"/>
          </w:tcPr>
          <w:p>
            <w:pPr>
              <w:spacing w:after="0"/>
              <w:rPr>
                <w:sz w:val="16"/>
                <w:szCs w:val="16"/>
                <w:color w:val="auto"/>
              </w:rPr>
            </w:pPr>
          </w:p>
        </w:tc>
      </w:tr>
      <w:tr>
        <w:trPr>
          <w:trHeight w:val="20"/>
        </w:trPr>
        <w:tc>
          <w:tcPr>
            <w:tcW w:w="7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580" w:type="dxa"/>
            <w:vAlign w:val="bottom"/>
          </w:tcPr>
          <w:p>
            <w:pPr>
              <w:spacing w:after="0"/>
              <w:rPr>
                <w:sz w:val="20"/>
                <w:szCs w:val="20"/>
                <w:color w:val="auto"/>
              </w:rPr>
            </w:pPr>
            <w:r>
              <w:rPr>
                <w:rFonts w:ascii="Arial" w:cs="Arial" w:eastAsia="Arial" w:hAnsi="Arial"/>
                <w:sz w:val="16"/>
                <w:szCs w:val="16"/>
                <w:color w:val="auto"/>
              </w:rPr>
              <w:t>Income (loss) from continuing operations - GAAP basis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931</w:t>
            </w:r>
          </w:p>
        </w:tc>
        <w:tc>
          <w:tcPr>
            <w:tcW w:w="60" w:type="dxa"/>
            <w:vAlign w:val="bottom"/>
          </w:tcPr>
          <w:p>
            <w:pPr>
              <w:spacing w:after="0"/>
              <w:rPr>
                <w:sz w:val="15"/>
                <w:szCs w:val="15"/>
                <w:color w:val="auto"/>
              </w:rPr>
            </w:pP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(3,351)</w:t>
            </w:r>
          </w:p>
        </w:tc>
        <w:tc>
          <w:tcPr>
            <w:tcW w:w="320" w:type="dxa"/>
            <w:vAlign w:val="bottom"/>
          </w:tcPr>
          <w:p>
            <w:pPr>
              <w:spacing w:after="0"/>
              <w:rPr>
                <w:sz w:val="15"/>
                <w:szCs w:val="15"/>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(4,334)</w:t>
            </w:r>
          </w:p>
        </w:tc>
        <w:tc>
          <w:tcPr>
            <w:tcW w:w="100" w:type="dxa"/>
            <w:vAlign w:val="bottom"/>
          </w:tcPr>
          <w:p>
            <w:pPr>
              <w:spacing w:after="0"/>
              <w:rPr>
                <w:sz w:val="15"/>
                <w:szCs w:val="15"/>
                <w:color w:val="auto"/>
              </w:rPr>
            </w:pPr>
          </w:p>
        </w:tc>
      </w:tr>
      <w:tr>
        <w:trPr>
          <w:trHeight w:val="189"/>
        </w:trPr>
        <w:tc>
          <w:tcPr>
            <w:tcW w:w="7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Non-GAAP adjustments (as scheduled above)</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4,610</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4,402</w:t>
            </w: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3,208</w:t>
            </w:r>
          </w:p>
        </w:tc>
        <w:tc>
          <w:tcPr>
            <w:tcW w:w="100" w:type="dxa"/>
            <w:vAlign w:val="bottom"/>
            <w:shd w:val="clear" w:color="auto" w:fill="CCEEFF"/>
          </w:tcPr>
          <w:p>
            <w:pPr>
              <w:spacing w:after="0"/>
              <w:rPr>
                <w:sz w:val="16"/>
                <w:szCs w:val="16"/>
                <w:color w:val="auto"/>
              </w:rPr>
            </w:pPr>
          </w:p>
        </w:tc>
      </w:tr>
      <w:tr>
        <w:trPr>
          <w:trHeight w:val="196"/>
        </w:trPr>
        <w:tc>
          <w:tcPr>
            <w:tcW w:w="7580" w:type="dxa"/>
            <w:vAlign w:val="bottom"/>
          </w:tcPr>
          <w:p>
            <w:pPr>
              <w:ind w:left="180"/>
              <w:spacing w:after="0"/>
              <w:rPr>
                <w:sz w:val="20"/>
                <w:szCs w:val="20"/>
                <w:color w:val="auto"/>
              </w:rPr>
            </w:pPr>
            <w:r>
              <w:rPr>
                <w:rFonts w:ascii="Arial" w:cs="Arial" w:eastAsia="Arial" w:hAnsi="Arial"/>
                <w:sz w:val="16"/>
                <w:szCs w:val="16"/>
                <w:color w:val="auto"/>
              </w:rPr>
              <w:t>Tax effect of non-GAAP adjustments (h)</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(683)</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6"/>
                <w:szCs w:val="16"/>
                <w:color w:val="auto"/>
              </w:rPr>
              <w:t>(554)</w:t>
            </w:r>
          </w:p>
        </w:tc>
        <w:tc>
          <w:tcPr>
            <w:tcW w:w="16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(474)</w:t>
            </w:r>
          </w:p>
        </w:tc>
      </w:tr>
      <w:tr>
        <w:trPr>
          <w:trHeight w:val="189"/>
        </w:trPr>
        <w:tc>
          <w:tcPr>
            <w:tcW w:w="7580" w:type="dxa"/>
            <w:vAlign w:val="bottom"/>
            <w:shd w:val="clear" w:color="auto" w:fill="CCEEFF"/>
          </w:tcPr>
          <w:p>
            <w:pPr>
              <w:spacing w:after="0"/>
              <w:rPr>
                <w:sz w:val="20"/>
                <w:szCs w:val="20"/>
                <w:color w:val="auto"/>
              </w:rPr>
            </w:pPr>
            <w:r>
              <w:rPr>
                <w:rFonts w:ascii="Arial" w:cs="Arial" w:eastAsia="Arial" w:hAnsi="Arial"/>
                <w:sz w:val="16"/>
                <w:szCs w:val="16"/>
                <w:color w:val="auto"/>
              </w:rPr>
              <w:t>Income (loss) from continuing operations - non-GAAP basis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4,858</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320" w:type="dxa"/>
            <w:vAlign w:val="bottom"/>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(1,600)</w:t>
            </w:r>
          </w:p>
        </w:tc>
        <w:tc>
          <w:tcPr>
            <w:tcW w:w="100" w:type="dxa"/>
            <w:vAlign w:val="bottom"/>
            <w:shd w:val="clear" w:color="auto" w:fill="CCEEFF"/>
          </w:tcPr>
          <w:p>
            <w:pPr>
              <w:spacing w:after="0"/>
              <w:rPr>
                <w:sz w:val="16"/>
                <w:szCs w:val="16"/>
                <w:color w:val="auto"/>
              </w:rPr>
            </w:pPr>
          </w:p>
        </w:tc>
      </w:tr>
      <w:tr>
        <w:trPr>
          <w:trHeight w:val="20"/>
        </w:trPr>
        <w:tc>
          <w:tcPr>
            <w:tcW w:w="7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580" w:type="dxa"/>
            <w:vAlign w:val="bottom"/>
          </w:tcPr>
          <w:p>
            <w:pPr>
              <w:spacing w:after="0"/>
              <w:rPr>
                <w:sz w:val="20"/>
                <w:szCs w:val="20"/>
                <w:color w:val="auto"/>
              </w:rPr>
            </w:pPr>
            <w:r>
              <w:rPr>
                <w:rFonts w:ascii="Arial" w:cs="Arial" w:eastAsia="Arial" w:hAnsi="Arial"/>
                <w:sz w:val="16"/>
                <w:szCs w:val="16"/>
                <w:color w:val="auto"/>
              </w:rPr>
              <w:t>GAAP income (loss) from continuing operations per share - diluted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0.04</w:t>
            </w:r>
          </w:p>
        </w:tc>
        <w:tc>
          <w:tcPr>
            <w:tcW w:w="60" w:type="dxa"/>
            <w:vAlign w:val="bottom"/>
          </w:tcPr>
          <w:p>
            <w:pPr>
              <w:spacing w:after="0"/>
              <w:rPr>
                <w:sz w:val="15"/>
                <w:szCs w:val="15"/>
                <w:color w:val="auto"/>
              </w:rPr>
            </w:pP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(0.13)</w:t>
            </w:r>
          </w:p>
        </w:tc>
        <w:tc>
          <w:tcPr>
            <w:tcW w:w="320" w:type="dxa"/>
            <w:vAlign w:val="bottom"/>
          </w:tcPr>
          <w:p>
            <w:pPr>
              <w:spacing w:after="0"/>
              <w:rPr>
                <w:sz w:val="15"/>
                <w:szCs w:val="15"/>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(0.17)</w:t>
            </w:r>
          </w:p>
        </w:tc>
        <w:tc>
          <w:tcPr>
            <w:tcW w:w="100" w:type="dxa"/>
            <w:vAlign w:val="bottom"/>
          </w:tcPr>
          <w:p>
            <w:pPr>
              <w:spacing w:after="0"/>
              <w:rPr>
                <w:sz w:val="15"/>
                <w:szCs w:val="15"/>
                <w:color w:val="auto"/>
              </w:rPr>
            </w:pPr>
          </w:p>
        </w:tc>
      </w:tr>
      <w:tr>
        <w:trPr>
          <w:trHeight w:val="189"/>
        </w:trPr>
        <w:tc>
          <w:tcPr>
            <w:tcW w:w="7580" w:type="dxa"/>
            <w:vAlign w:val="bottom"/>
            <w:shd w:val="clear" w:color="auto" w:fill="CCEEFF"/>
          </w:tcPr>
          <w:p>
            <w:pPr>
              <w:spacing w:after="0"/>
              <w:rPr>
                <w:sz w:val="20"/>
                <w:szCs w:val="20"/>
                <w:color w:val="auto"/>
              </w:rPr>
            </w:pPr>
            <w:r>
              <w:rPr>
                <w:rFonts w:ascii="Arial" w:cs="Arial" w:eastAsia="Arial" w:hAnsi="Arial"/>
                <w:sz w:val="16"/>
                <w:szCs w:val="16"/>
                <w:color w:val="auto"/>
              </w:rPr>
              <w:t>Non-GAAP income (loss) from continuing operations per share - diluted (i)</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6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00" w:type="dxa"/>
            <w:vAlign w:val="bottom"/>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charges provides better comparability of pre and post-acquisition operating results and to results of businesses utilizing internally developed intangible assets. Manufacturing transition costs relate principally to employee severance expenses incurred as a result of moving certain manufacturing activities to Asia as part of our cost reduction efforts and employee severance are costs incurred in conjunction with the termination of certain employees to streamline our operations and reduce costs. Management has excluded these costs primarily because they are not reflective of the ongoing operating results and they are not used to assess ongoing operational performance. Other acquisition costs and inventory step-up have been excluded by management as they are unrelated to the core operating activities of the Company and the frequency and variability in the nature of the charges can vary significantly from period to period. Excluding this data provides investors with a basis to compare Cohu’s performance against the performance of other companies without this variability. However, the non-GAAP financial measures should not be regarded as a replacement for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p>
      <w:pPr>
        <w:spacing w:after="0" w:line="226"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1.3%, (5.3)% and (7.9)% of net sales, respectively.</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eliminate compensation expense for employee stock options, stock units and our employee stock purchase plan.</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eliminate the amortization of acquired intangible assets.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eliminate manufacturing transition and employee severance costs.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eliminate professional fees and other direct incremental expenses incurred related to the acquisition of Ismeca.</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eliminate the inventory step-up costs incurred related to the acquisition of Ismeca.</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7.3%, 1.5% and (2.7)% of net sales, respectively.</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adjust the provision for income taxes related to the adjustments described above based on applicable tax rates.</w:t>
      </w:r>
    </w:p>
    <w:p>
      <w:pPr>
        <w:spacing w:after="0" w:line="68" w:lineRule="exact"/>
        <w:rPr>
          <w:rFonts w:ascii="Arial" w:cs="Arial" w:eastAsia="Arial" w:hAnsi="Arial"/>
          <w:sz w:val="14"/>
          <w:szCs w:val="14"/>
          <w:color w:val="auto"/>
        </w:rPr>
      </w:pPr>
    </w:p>
    <w:p>
      <w:pPr>
        <w:ind w:left="340" w:right="60" w:hanging="332"/>
        <w:spacing w:after="0" w:line="250"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three months ended March 29, 2014 was computed using 25,715 shares outstanding as the effect of dilutive securities was excluded from GAAP diluted common shares due to the reported net loss under GAAP, but are included for non-GAAP diluted common shares since the Company has non-GAAP net income. All other periods presented were computed using number of GAAP diluted shares outstanding for each period.</w:t>
      </w:r>
    </w:p>
    <w:p>
      <w:pPr>
        <w:sectPr>
          <w:pgSz w:w="11900" w:h="16838" w:orient="portrait"/>
          <w:cols w:equalWidth="0" w:num="1">
            <w:col w:w="11420"/>
          </w:cols>
          <w:pgMar w:left="240" w:top="26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COHU, INC.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Reconciliation of GAAP Results to Non-GAAP Financial Measures (Unaudited)</w:t>
      </w: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gridSpan w:val="5"/>
          </w:tcPr>
          <w:p>
            <w:pPr>
              <w:ind w:left="520"/>
              <w:spacing w:after="0"/>
              <w:rPr>
                <w:sz w:val="20"/>
                <w:szCs w:val="20"/>
                <w:color w:val="auto"/>
              </w:rPr>
            </w:pPr>
            <w:r>
              <w:rPr>
                <w:rFonts w:ascii="Arial" w:cs="Arial" w:eastAsia="Arial" w:hAnsi="Arial"/>
                <w:sz w:val="16"/>
                <w:szCs w:val="16"/>
                <w:color w:val="auto"/>
              </w:rPr>
              <w:t>Six Months Ended</w:t>
            </w:r>
          </w:p>
        </w:tc>
      </w:tr>
      <w:tr>
        <w:trPr>
          <w:trHeight w:val="189"/>
        </w:trPr>
        <w:tc>
          <w:tcPr>
            <w:tcW w:w="70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color w:val="auto"/>
              </w:rPr>
              <w:t>June 28,</w:t>
            </w:r>
          </w:p>
        </w:tc>
        <w:tc>
          <w:tcPr>
            <w:tcW w:w="14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Arial" w:cs="Arial" w:eastAsia="Arial" w:hAnsi="Arial"/>
                <w:sz w:val="16"/>
                <w:szCs w:val="16"/>
                <w:color w:val="auto"/>
              </w:rPr>
              <w:t>June 29,</w:t>
            </w:r>
          </w:p>
        </w:tc>
      </w:tr>
      <w:tr>
        <w:trPr>
          <w:trHeight w:val="187"/>
        </w:trPr>
        <w:tc>
          <w:tcPr>
            <w:tcW w:w="7040" w:type="dxa"/>
            <w:vAlign w:val="bottom"/>
            <w:tcBorders>
              <w:bottom w:val="single" w:sz="8" w:color="CCEEFF"/>
            </w:tcBorders>
          </w:tcPr>
          <w:p>
            <w:pPr>
              <w:spacing w:after="0"/>
              <w:rPr>
                <w:sz w:val="16"/>
                <w:szCs w:val="16"/>
                <w:color w:val="auto"/>
              </w:rPr>
            </w:pPr>
          </w:p>
        </w:tc>
        <w:tc>
          <w:tcPr>
            <w:tcW w:w="17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2014</w:t>
            </w:r>
          </w:p>
        </w:tc>
        <w:tc>
          <w:tcPr>
            <w:tcW w:w="6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2013</w:t>
            </w:r>
          </w:p>
        </w:tc>
        <w:tc>
          <w:tcPr>
            <w:tcW w:w="100" w:type="dxa"/>
            <w:vAlign w:val="bottom"/>
            <w:tcBorders>
              <w:bottom w:val="single" w:sz="8" w:color="CCEEFF"/>
            </w:tcBorders>
          </w:tcPr>
          <w:p>
            <w:pPr>
              <w:spacing w:after="0"/>
              <w:rPr>
                <w:sz w:val="16"/>
                <w:szCs w:val="16"/>
                <w:color w:val="auto"/>
              </w:rPr>
            </w:pPr>
          </w:p>
        </w:tc>
      </w:tr>
      <w:tr>
        <w:trPr>
          <w:trHeight w:val="183"/>
        </w:trPr>
        <w:tc>
          <w:tcPr>
            <w:tcW w:w="704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Loss from operations - GAAP basis (a)</w:t>
            </w:r>
          </w:p>
        </w:tc>
        <w:tc>
          <w:tcPr>
            <w:tcW w:w="1820" w:type="dxa"/>
            <w:vAlign w:val="bottom"/>
            <w:gridSpan w:val="2"/>
            <w:shd w:val="clear" w:color="auto" w:fill="CCEEFF"/>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jc w:val="right"/>
              <w:ind w:right="620"/>
              <w:spacing w:after="0" w:line="183" w:lineRule="exact"/>
              <w:rPr>
                <w:sz w:val="20"/>
                <w:szCs w:val="20"/>
                <w:color w:val="auto"/>
              </w:rPr>
            </w:pPr>
            <w:r>
              <w:rPr>
                <w:rFonts w:ascii="Arial" w:cs="Arial" w:eastAsia="Arial" w:hAnsi="Arial"/>
                <w:sz w:val="16"/>
                <w:szCs w:val="16"/>
                <w:color w:val="auto"/>
              </w:rPr>
              <w:t>(2,379)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(18,032)</w:t>
            </w:r>
          </w:p>
        </w:tc>
        <w:tc>
          <w:tcPr>
            <w:tcW w:w="100" w:type="dxa"/>
            <w:vAlign w:val="bottom"/>
            <w:shd w:val="clear" w:color="auto" w:fill="CCEEFF"/>
          </w:tcPr>
          <w:p>
            <w:pPr>
              <w:spacing w:after="0"/>
              <w:rPr>
                <w:sz w:val="15"/>
                <w:szCs w:val="15"/>
                <w:color w:val="auto"/>
              </w:rPr>
            </w:pPr>
          </w:p>
        </w:tc>
      </w:tr>
      <w:tr>
        <w:trPr>
          <w:trHeight w:val="189"/>
        </w:trPr>
        <w:tc>
          <w:tcPr>
            <w:tcW w:w="7040" w:type="dxa"/>
            <w:vAlign w:val="bottom"/>
          </w:tcPr>
          <w:p>
            <w:pPr>
              <w:spacing w:after="0"/>
              <w:rPr>
                <w:sz w:val="20"/>
                <w:szCs w:val="20"/>
                <w:color w:val="auto"/>
              </w:rPr>
            </w:pPr>
            <w:r>
              <w:rPr>
                <w:rFonts w:ascii="Arial" w:cs="Arial" w:eastAsia="Arial" w:hAnsi="Arial"/>
                <w:sz w:val="16"/>
                <w:szCs w:val="16"/>
                <w:color w:val="auto"/>
              </w:rPr>
              <w:t>Non-GAAP adjustments:</w:t>
            </w: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Share-based compensation included in (b):</w:t>
            </w:r>
          </w:p>
        </w:tc>
        <w:tc>
          <w:tcPr>
            <w:tcW w:w="1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7040" w:type="dxa"/>
            <w:vAlign w:val="bottom"/>
          </w:tcPr>
          <w:p>
            <w:pPr>
              <w:ind w:left="340"/>
              <w:spacing w:after="0"/>
              <w:rPr>
                <w:sz w:val="20"/>
                <w:szCs w:val="20"/>
                <w:color w:val="auto"/>
              </w:rPr>
            </w:pPr>
            <w:r>
              <w:rPr>
                <w:rFonts w:ascii="Arial" w:cs="Arial" w:eastAsia="Arial" w:hAnsi="Arial"/>
                <w:sz w:val="16"/>
                <w:szCs w:val="16"/>
                <w:color w:val="auto"/>
              </w:rPr>
              <w:t>Cost of goods sold</w:t>
            </w: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265</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6"/>
                <w:szCs w:val="16"/>
                <w:color w:val="auto"/>
              </w:rPr>
            </w:pPr>
          </w:p>
        </w:tc>
      </w:tr>
      <w:tr>
        <w:trPr>
          <w:trHeight w:val="189"/>
        </w:trPr>
        <w:tc>
          <w:tcPr>
            <w:tcW w:w="7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Research and development</w:t>
            </w:r>
          </w:p>
        </w:tc>
        <w:tc>
          <w:tcPr>
            <w:tcW w:w="1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w:t>
            </w: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w:t>
            </w:r>
          </w:p>
        </w:tc>
        <w:tc>
          <w:tcPr>
            <w:tcW w:w="100" w:type="dxa"/>
            <w:vAlign w:val="bottom"/>
            <w:shd w:val="clear" w:color="auto" w:fill="CCEEFF"/>
          </w:tcPr>
          <w:p>
            <w:pPr>
              <w:spacing w:after="0"/>
              <w:rPr>
                <w:sz w:val="16"/>
                <w:szCs w:val="16"/>
                <w:color w:val="auto"/>
              </w:rPr>
            </w:pPr>
          </w:p>
        </w:tc>
      </w:tr>
      <w:tr>
        <w:trPr>
          <w:trHeight w:val="196"/>
        </w:trPr>
        <w:tc>
          <w:tcPr>
            <w:tcW w:w="7040" w:type="dxa"/>
            <w:vAlign w:val="bottom"/>
          </w:tcPr>
          <w:p>
            <w:pPr>
              <w:ind w:left="340"/>
              <w:spacing w:after="0"/>
              <w:rPr>
                <w:sz w:val="20"/>
                <w:szCs w:val="20"/>
                <w:color w:val="auto"/>
              </w:rPr>
            </w:pPr>
            <w:r>
              <w:rPr>
                <w:rFonts w:ascii="Arial" w:cs="Arial" w:eastAsia="Arial" w:hAnsi="Arial"/>
                <w:sz w:val="16"/>
                <w:szCs w:val="16"/>
                <w:color w:val="auto"/>
              </w:rPr>
              <w:t>Selling, general and administrative</w:t>
            </w:r>
          </w:p>
        </w:tc>
        <w:tc>
          <w:tcPr>
            <w:tcW w:w="17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1,958</w:t>
            </w:r>
          </w:p>
        </w:tc>
        <w:tc>
          <w:tcPr>
            <w:tcW w:w="6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1,641</w:t>
            </w:r>
          </w:p>
        </w:tc>
        <w:tc>
          <w:tcPr>
            <w:tcW w:w="100" w:type="dxa"/>
            <w:vAlign w:val="bottom"/>
          </w:tcPr>
          <w:p>
            <w:pPr>
              <w:spacing w:after="0"/>
              <w:rPr>
                <w:sz w:val="17"/>
                <w:szCs w:val="17"/>
                <w:color w:val="auto"/>
              </w:rPr>
            </w:pPr>
          </w:p>
        </w:tc>
      </w:tr>
      <w:tr>
        <w:trPr>
          <w:trHeight w:val="189"/>
        </w:trPr>
        <w:tc>
          <w:tcPr>
            <w:tcW w:w="70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3,168</w:t>
            </w: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2,711</w:t>
            </w:r>
          </w:p>
        </w:tc>
        <w:tc>
          <w:tcPr>
            <w:tcW w:w="100" w:type="dxa"/>
            <w:vAlign w:val="bottom"/>
            <w:shd w:val="clear" w:color="auto" w:fill="CCEEFF"/>
          </w:tcPr>
          <w:p>
            <w:pPr>
              <w:spacing w:after="0"/>
              <w:rPr>
                <w:sz w:val="16"/>
                <w:szCs w:val="16"/>
                <w:color w:val="auto"/>
              </w:rPr>
            </w:pPr>
          </w:p>
        </w:tc>
      </w:tr>
      <w:tr>
        <w:trPr>
          <w:trHeight w:val="189"/>
        </w:trPr>
        <w:tc>
          <w:tcPr>
            <w:tcW w:w="7040" w:type="dxa"/>
            <w:vAlign w:val="bottom"/>
          </w:tcPr>
          <w:p>
            <w:pPr>
              <w:ind w:left="180"/>
              <w:spacing w:after="0"/>
              <w:rPr>
                <w:sz w:val="20"/>
                <w:szCs w:val="20"/>
                <w:color w:val="auto"/>
              </w:rPr>
            </w:pPr>
            <w:r>
              <w:rPr>
                <w:rFonts w:ascii="Arial" w:cs="Arial" w:eastAsia="Arial" w:hAnsi="Arial"/>
                <w:sz w:val="16"/>
                <w:szCs w:val="16"/>
                <w:color w:val="auto"/>
              </w:rPr>
              <w:t>Amortization of intangible assets included in (c):</w:t>
            </w: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Cost of goods sold</w:t>
            </w:r>
          </w:p>
        </w:tc>
        <w:tc>
          <w:tcPr>
            <w:tcW w:w="1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3,287</w:t>
            </w: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2,863</w:t>
            </w:r>
          </w:p>
        </w:tc>
        <w:tc>
          <w:tcPr>
            <w:tcW w:w="100" w:type="dxa"/>
            <w:vAlign w:val="bottom"/>
            <w:shd w:val="clear" w:color="auto" w:fill="CCEEFF"/>
          </w:tcPr>
          <w:p>
            <w:pPr>
              <w:spacing w:after="0"/>
              <w:rPr>
                <w:sz w:val="16"/>
                <w:szCs w:val="16"/>
                <w:color w:val="auto"/>
              </w:rPr>
            </w:pPr>
          </w:p>
        </w:tc>
      </w:tr>
      <w:tr>
        <w:trPr>
          <w:trHeight w:val="196"/>
        </w:trPr>
        <w:tc>
          <w:tcPr>
            <w:tcW w:w="7040" w:type="dxa"/>
            <w:vAlign w:val="bottom"/>
          </w:tcPr>
          <w:p>
            <w:pPr>
              <w:ind w:left="340"/>
              <w:spacing w:after="0"/>
              <w:rPr>
                <w:sz w:val="20"/>
                <w:szCs w:val="20"/>
                <w:color w:val="auto"/>
              </w:rPr>
            </w:pPr>
            <w:r>
              <w:rPr>
                <w:rFonts w:ascii="Arial" w:cs="Arial" w:eastAsia="Arial" w:hAnsi="Arial"/>
                <w:sz w:val="16"/>
                <w:szCs w:val="16"/>
                <w:color w:val="auto"/>
              </w:rPr>
              <w:t>Selling, general and administrative</w:t>
            </w:r>
          </w:p>
        </w:tc>
        <w:tc>
          <w:tcPr>
            <w:tcW w:w="17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862</w:t>
            </w:r>
          </w:p>
        </w:tc>
        <w:tc>
          <w:tcPr>
            <w:tcW w:w="6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w:t>
            </w:r>
          </w:p>
        </w:tc>
        <w:tc>
          <w:tcPr>
            <w:tcW w:w="100" w:type="dxa"/>
            <w:vAlign w:val="bottom"/>
          </w:tcPr>
          <w:p>
            <w:pPr>
              <w:spacing w:after="0"/>
              <w:rPr>
                <w:sz w:val="17"/>
                <w:szCs w:val="17"/>
                <w:color w:val="auto"/>
              </w:rPr>
            </w:pPr>
          </w:p>
        </w:tc>
      </w:tr>
      <w:tr>
        <w:trPr>
          <w:trHeight w:val="189"/>
        </w:trPr>
        <w:tc>
          <w:tcPr>
            <w:tcW w:w="70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4,149</w:t>
            </w: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3,397</w:t>
            </w:r>
          </w:p>
        </w:tc>
        <w:tc>
          <w:tcPr>
            <w:tcW w:w="100" w:type="dxa"/>
            <w:vAlign w:val="bottom"/>
            <w:shd w:val="clear" w:color="auto" w:fill="CCEEFF"/>
          </w:tcPr>
          <w:p>
            <w:pPr>
              <w:spacing w:after="0"/>
              <w:rPr>
                <w:sz w:val="16"/>
                <w:szCs w:val="16"/>
                <w:color w:val="auto"/>
              </w:rPr>
            </w:pPr>
          </w:p>
        </w:tc>
      </w:tr>
      <w:tr>
        <w:trPr>
          <w:trHeight w:val="189"/>
        </w:trPr>
        <w:tc>
          <w:tcPr>
            <w:tcW w:w="7040" w:type="dxa"/>
            <w:vAlign w:val="bottom"/>
          </w:tcPr>
          <w:p>
            <w:pPr>
              <w:ind w:left="180"/>
              <w:spacing w:after="0"/>
              <w:rPr>
                <w:sz w:val="20"/>
                <w:szCs w:val="20"/>
                <w:color w:val="auto"/>
              </w:rPr>
            </w:pPr>
            <w:r>
              <w:rPr>
                <w:rFonts w:ascii="Arial" w:cs="Arial" w:eastAsia="Arial" w:hAnsi="Arial"/>
                <w:sz w:val="16"/>
                <w:szCs w:val="16"/>
                <w:color w:val="auto"/>
              </w:rPr>
              <w:t>Manufacturing transition and severance costs included in (d):</w:t>
            </w: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Cost of goods sold</w:t>
            </w:r>
          </w:p>
        </w:tc>
        <w:tc>
          <w:tcPr>
            <w:tcW w:w="1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r>
      <w:tr>
        <w:trPr>
          <w:trHeight w:val="189"/>
        </w:trPr>
        <w:tc>
          <w:tcPr>
            <w:tcW w:w="7040" w:type="dxa"/>
            <w:vAlign w:val="bottom"/>
          </w:tcPr>
          <w:p>
            <w:pPr>
              <w:ind w:left="340"/>
              <w:spacing w:after="0"/>
              <w:rPr>
                <w:sz w:val="20"/>
                <w:szCs w:val="20"/>
                <w:color w:val="auto"/>
              </w:rPr>
            </w:pPr>
            <w:r>
              <w:rPr>
                <w:rFonts w:ascii="Arial" w:cs="Arial" w:eastAsia="Arial" w:hAnsi="Arial"/>
                <w:sz w:val="16"/>
                <w:szCs w:val="16"/>
                <w:color w:val="auto"/>
              </w:rPr>
              <w:t>Research and development</w:t>
            </w: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206</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r>
      <w:tr>
        <w:trPr>
          <w:trHeight w:val="189"/>
        </w:trPr>
        <w:tc>
          <w:tcPr>
            <w:tcW w:w="7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Selling, general and administrative</w:t>
            </w:r>
          </w:p>
        </w:tc>
        <w:tc>
          <w:tcPr>
            <w:tcW w:w="17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1,295</w:t>
            </w:r>
          </w:p>
        </w:tc>
        <w:tc>
          <w:tcPr>
            <w:tcW w:w="6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w:t>
            </w:r>
          </w:p>
        </w:tc>
        <w:tc>
          <w:tcPr>
            <w:tcW w:w="100" w:type="dxa"/>
            <w:vAlign w:val="bottom"/>
            <w:shd w:val="clear" w:color="auto" w:fill="CCEEFF"/>
          </w:tcPr>
          <w:p>
            <w:pPr>
              <w:spacing w:after="0"/>
              <w:rPr>
                <w:sz w:val="16"/>
                <w:szCs w:val="16"/>
                <w:color w:val="auto"/>
              </w:rPr>
            </w:pPr>
          </w:p>
        </w:tc>
      </w:tr>
      <w:tr>
        <w:trPr>
          <w:trHeight w:val="196"/>
        </w:trPr>
        <w:tc>
          <w:tcPr>
            <w:tcW w:w="7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1,695</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457</w:t>
            </w:r>
          </w:p>
        </w:tc>
        <w:tc>
          <w:tcPr>
            <w:tcW w:w="100" w:type="dxa"/>
            <w:vAlign w:val="bottom"/>
          </w:tcPr>
          <w:p>
            <w:pPr>
              <w:spacing w:after="0"/>
              <w:rPr>
                <w:sz w:val="17"/>
                <w:szCs w:val="17"/>
                <w:color w:val="auto"/>
              </w:rPr>
            </w:pPr>
          </w:p>
        </w:tc>
      </w:tr>
      <w:tr>
        <w:trPr>
          <w:trHeight w:val="189"/>
        </w:trPr>
        <w:tc>
          <w:tcPr>
            <w:tcW w:w="7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acquisition costs included in selling, general and administrative (e)</w:t>
            </w:r>
          </w:p>
        </w:tc>
        <w:tc>
          <w:tcPr>
            <w:tcW w:w="1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100" w:type="dxa"/>
            <w:vAlign w:val="bottom"/>
            <w:shd w:val="clear" w:color="auto" w:fill="CCEEFF"/>
          </w:tcPr>
          <w:p>
            <w:pPr>
              <w:spacing w:after="0"/>
              <w:rPr>
                <w:sz w:val="16"/>
                <w:szCs w:val="16"/>
                <w:color w:val="auto"/>
              </w:rPr>
            </w:pPr>
          </w:p>
        </w:tc>
      </w:tr>
      <w:tr>
        <w:trPr>
          <w:trHeight w:val="196"/>
        </w:trPr>
        <w:tc>
          <w:tcPr>
            <w:tcW w:w="7040" w:type="dxa"/>
            <w:vAlign w:val="bottom"/>
          </w:tcPr>
          <w:p>
            <w:pPr>
              <w:ind w:left="180"/>
              <w:spacing w:after="0"/>
              <w:rPr>
                <w:sz w:val="20"/>
                <w:szCs w:val="20"/>
                <w:color w:val="auto"/>
              </w:rPr>
            </w:pPr>
            <w:r>
              <w:rPr>
                <w:rFonts w:ascii="Arial" w:cs="Arial" w:eastAsia="Arial" w:hAnsi="Arial"/>
                <w:sz w:val="16"/>
                <w:szCs w:val="16"/>
                <w:color w:val="auto"/>
              </w:rPr>
              <w:t>Inventory step-up included in costs of goods sold (f)</w:t>
            </w:r>
          </w:p>
        </w:tc>
        <w:tc>
          <w:tcPr>
            <w:tcW w:w="17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948</w:t>
            </w:r>
          </w:p>
        </w:tc>
        <w:tc>
          <w:tcPr>
            <w:tcW w:w="100" w:type="dxa"/>
            <w:vAlign w:val="bottom"/>
          </w:tcPr>
          <w:p>
            <w:pPr>
              <w:spacing w:after="0"/>
              <w:rPr>
                <w:sz w:val="17"/>
                <w:szCs w:val="17"/>
                <w:color w:val="auto"/>
              </w:rPr>
            </w:pPr>
          </w:p>
        </w:tc>
      </w:tr>
      <w:tr>
        <w:trPr>
          <w:trHeight w:val="189"/>
        </w:trPr>
        <w:tc>
          <w:tcPr>
            <w:tcW w:w="7040" w:type="dxa"/>
            <w:vAlign w:val="bottom"/>
            <w:shd w:val="clear" w:color="auto" w:fill="CCEEFF"/>
          </w:tcPr>
          <w:p>
            <w:pPr>
              <w:spacing w:after="0"/>
              <w:rPr>
                <w:sz w:val="20"/>
                <w:szCs w:val="20"/>
                <w:color w:val="auto"/>
              </w:rPr>
            </w:pPr>
            <w:r>
              <w:rPr>
                <w:rFonts w:ascii="Arial" w:cs="Arial" w:eastAsia="Arial" w:hAnsi="Arial"/>
                <w:sz w:val="16"/>
                <w:szCs w:val="16"/>
                <w:color w:val="auto"/>
              </w:rPr>
              <w:t>Income (loss) from operations - non-GAAP basis (g)</w:t>
            </w:r>
          </w:p>
        </w:tc>
        <w:tc>
          <w:tcPr>
            <w:tcW w:w="1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6,633</w:t>
            </w: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(10,134)</w:t>
            </w:r>
          </w:p>
        </w:tc>
        <w:tc>
          <w:tcPr>
            <w:tcW w:w="100" w:type="dxa"/>
            <w:vAlign w:val="bottom"/>
            <w:shd w:val="clear" w:color="auto" w:fill="CCEEFF"/>
          </w:tcPr>
          <w:p>
            <w:pPr>
              <w:spacing w:after="0"/>
              <w:rPr>
                <w:sz w:val="16"/>
                <w:szCs w:val="16"/>
                <w:color w:val="auto"/>
              </w:rPr>
            </w:pPr>
          </w:p>
        </w:tc>
      </w:tr>
      <w:tr>
        <w:trPr>
          <w:trHeight w:val="20"/>
        </w:trPr>
        <w:tc>
          <w:tcPr>
            <w:tcW w:w="7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040" w:type="dxa"/>
            <w:vAlign w:val="bottom"/>
          </w:tcPr>
          <w:p>
            <w:pPr>
              <w:spacing w:after="0"/>
              <w:rPr>
                <w:sz w:val="20"/>
                <w:szCs w:val="20"/>
                <w:color w:val="auto"/>
              </w:rPr>
            </w:pPr>
            <w:r>
              <w:rPr>
                <w:rFonts w:ascii="Arial" w:cs="Arial" w:eastAsia="Arial" w:hAnsi="Arial"/>
                <w:sz w:val="16"/>
                <w:szCs w:val="16"/>
                <w:color w:val="auto"/>
              </w:rPr>
              <w:t>Loss from continuing operations - GAAP basis</w:t>
            </w:r>
          </w:p>
        </w:tc>
        <w:tc>
          <w:tcPr>
            <w:tcW w:w="18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620"/>
              <w:spacing w:after="0"/>
              <w:rPr>
                <w:sz w:val="20"/>
                <w:szCs w:val="20"/>
                <w:color w:val="auto"/>
              </w:rPr>
            </w:pPr>
            <w:r>
              <w:rPr>
                <w:rFonts w:ascii="Arial" w:cs="Arial" w:eastAsia="Arial" w:hAnsi="Arial"/>
                <w:sz w:val="16"/>
                <w:szCs w:val="16"/>
                <w:color w:val="auto"/>
              </w:rPr>
              <w:t>(2,423)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(16,569)</w:t>
            </w:r>
          </w:p>
        </w:tc>
        <w:tc>
          <w:tcPr>
            <w:tcW w:w="100" w:type="dxa"/>
            <w:vAlign w:val="bottom"/>
          </w:tcPr>
          <w:p>
            <w:pPr>
              <w:spacing w:after="0"/>
              <w:rPr>
                <w:sz w:val="15"/>
                <w:szCs w:val="15"/>
                <w:color w:val="auto"/>
              </w:rPr>
            </w:pPr>
          </w:p>
        </w:tc>
      </w:tr>
      <w:tr>
        <w:trPr>
          <w:trHeight w:val="189"/>
        </w:trPr>
        <w:tc>
          <w:tcPr>
            <w:tcW w:w="7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Non-GAAP adjustments (as scheduled above)</w:t>
            </w:r>
          </w:p>
        </w:tc>
        <w:tc>
          <w:tcPr>
            <w:tcW w:w="1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9,012</w:t>
            </w: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7,898</w:t>
            </w:r>
          </w:p>
        </w:tc>
        <w:tc>
          <w:tcPr>
            <w:tcW w:w="100" w:type="dxa"/>
            <w:vAlign w:val="bottom"/>
            <w:shd w:val="clear" w:color="auto" w:fill="CCEEFF"/>
          </w:tcPr>
          <w:p>
            <w:pPr>
              <w:spacing w:after="0"/>
              <w:rPr>
                <w:sz w:val="16"/>
                <w:szCs w:val="16"/>
                <w:color w:val="auto"/>
              </w:rPr>
            </w:pPr>
          </w:p>
        </w:tc>
      </w:tr>
      <w:tr>
        <w:trPr>
          <w:trHeight w:val="196"/>
        </w:trPr>
        <w:tc>
          <w:tcPr>
            <w:tcW w:w="7040" w:type="dxa"/>
            <w:vAlign w:val="bottom"/>
          </w:tcPr>
          <w:p>
            <w:pPr>
              <w:ind w:left="180"/>
              <w:spacing w:after="0"/>
              <w:rPr>
                <w:sz w:val="20"/>
                <w:szCs w:val="20"/>
                <w:color w:val="auto"/>
              </w:rPr>
            </w:pPr>
            <w:r>
              <w:rPr>
                <w:rFonts w:ascii="Arial" w:cs="Arial" w:eastAsia="Arial" w:hAnsi="Arial"/>
                <w:sz w:val="16"/>
                <w:szCs w:val="16"/>
                <w:color w:val="auto"/>
              </w:rPr>
              <w:t>Tax effect of non-GAAP adjustments (h)</w:t>
            </w:r>
          </w:p>
        </w:tc>
        <w:tc>
          <w:tcPr>
            <w:tcW w:w="17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(1,237)</w:t>
            </w:r>
          </w:p>
        </w:tc>
        <w:tc>
          <w:tcPr>
            <w:tcW w:w="6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(1,102)</w:t>
            </w:r>
          </w:p>
        </w:tc>
        <w:tc>
          <w:tcPr>
            <w:tcW w:w="100" w:type="dxa"/>
            <w:vAlign w:val="bottom"/>
          </w:tcPr>
          <w:p>
            <w:pPr>
              <w:spacing w:after="0"/>
              <w:rPr>
                <w:sz w:val="17"/>
                <w:szCs w:val="17"/>
                <w:color w:val="auto"/>
              </w:rPr>
            </w:pPr>
          </w:p>
        </w:tc>
      </w:tr>
      <w:tr>
        <w:trPr>
          <w:trHeight w:val="189"/>
        </w:trPr>
        <w:tc>
          <w:tcPr>
            <w:tcW w:w="7040" w:type="dxa"/>
            <w:vAlign w:val="bottom"/>
            <w:shd w:val="clear" w:color="auto" w:fill="CCEEFF"/>
          </w:tcPr>
          <w:p>
            <w:pPr>
              <w:spacing w:after="0"/>
              <w:rPr>
                <w:sz w:val="20"/>
                <w:szCs w:val="20"/>
                <w:color w:val="auto"/>
              </w:rPr>
            </w:pPr>
            <w:r>
              <w:rPr>
                <w:rFonts w:ascii="Arial" w:cs="Arial" w:eastAsia="Arial" w:hAnsi="Arial"/>
                <w:sz w:val="16"/>
                <w:szCs w:val="16"/>
                <w:color w:val="auto"/>
              </w:rPr>
              <w:t>Income (loss) from continuing operations - non-GAAP basis</w:t>
            </w:r>
          </w:p>
        </w:tc>
        <w:tc>
          <w:tcPr>
            <w:tcW w:w="1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5,352</w:t>
            </w: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(9,773)</w:t>
            </w:r>
          </w:p>
        </w:tc>
        <w:tc>
          <w:tcPr>
            <w:tcW w:w="100" w:type="dxa"/>
            <w:vAlign w:val="bottom"/>
            <w:shd w:val="clear" w:color="auto" w:fill="CCEEFF"/>
          </w:tcPr>
          <w:p>
            <w:pPr>
              <w:spacing w:after="0"/>
              <w:rPr>
                <w:sz w:val="16"/>
                <w:szCs w:val="16"/>
                <w:color w:val="auto"/>
              </w:rPr>
            </w:pPr>
          </w:p>
        </w:tc>
      </w:tr>
      <w:tr>
        <w:trPr>
          <w:trHeight w:val="20"/>
        </w:trPr>
        <w:tc>
          <w:tcPr>
            <w:tcW w:w="7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040" w:type="dxa"/>
            <w:vAlign w:val="bottom"/>
          </w:tcPr>
          <w:p>
            <w:pPr>
              <w:spacing w:after="0"/>
              <w:rPr>
                <w:sz w:val="20"/>
                <w:szCs w:val="20"/>
                <w:color w:val="auto"/>
              </w:rPr>
            </w:pPr>
            <w:r>
              <w:rPr>
                <w:rFonts w:ascii="Arial" w:cs="Arial" w:eastAsia="Arial" w:hAnsi="Arial"/>
                <w:sz w:val="16"/>
                <w:szCs w:val="16"/>
                <w:color w:val="auto"/>
              </w:rPr>
              <w:t>GAAP loss from continuing operations per share - diluted</w:t>
            </w:r>
          </w:p>
        </w:tc>
        <w:tc>
          <w:tcPr>
            <w:tcW w:w="18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620"/>
              <w:spacing w:after="0"/>
              <w:rPr>
                <w:sz w:val="20"/>
                <w:szCs w:val="20"/>
                <w:color w:val="auto"/>
              </w:rPr>
            </w:pPr>
            <w:r>
              <w:rPr>
                <w:rFonts w:ascii="Arial" w:cs="Arial" w:eastAsia="Arial" w:hAnsi="Arial"/>
                <w:sz w:val="16"/>
                <w:szCs w:val="16"/>
                <w:color w:val="auto"/>
              </w:rPr>
              <w:t>(0.10)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(0.67)</w:t>
            </w:r>
          </w:p>
        </w:tc>
        <w:tc>
          <w:tcPr>
            <w:tcW w:w="100" w:type="dxa"/>
            <w:vAlign w:val="bottom"/>
          </w:tcPr>
          <w:p>
            <w:pPr>
              <w:spacing w:after="0"/>
              <w:rPr>
                <w:sz w:val="15"/>
                <w:szCs w:val="15"/>
                <w:color w:val="auto"/>
              </w:rPr>
            </w:pPr>
          </w:p>
        </w:tc>
      </w:tr>
      <w:tr>
        <w:trPr>
          <w:trHeight w:val="189"/>
        </w:trPr>
        <w:tc>
          <w:tcPr>
            <w:tcW w:w="7040" w:type="dxa"/>
            <w:vAlign w:val="bottom"/>
            <w:shd w:val="clear" w:color="auto" w:fill="CCEEFF"/>
          </w:tcPr>
          <w:p>
            <w:pPr>
              <w:spacing w:after="0"/>
              <w:rPr>
                <w:sz w:val="20"/>
                <w:szCs w:val="20"/>
                <w:color w:val="auto"/>
              </w:rPr>
            </w:pPr>
            <w:r>
              <w:rPr>
                <w:rFonts w:ascii="Arial" w:cs="Arial" w:eastAsia="Arial" w:hAnsi="Arial"/>
                <w:sz w:val="16"/>
                <w:szCs w:val="16"/>
                <w:color w:val="auto"/>
              </w:rPr>
              <w:t>Non-GAAP income (loss) from continuing operations per share - diluted (i)</w:t>
            </w:r>
          </w:p>
        </w:tc>
        <w:tc>
          <w:tcPr>
            <w:tcW w:w="1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0.21</w:t>
            </w: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100" w:type="dxa"/>
            <w:vAlign w:val="bottom"/>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charges provides better comparability of pre and post-acquisition operating results and to results of businesses utilizing internally developed intangible assets. Manufacturing transition costs relate principally to employee severance expenses incurred as a result of moving certain manufacturing activities to Asia as part of our cost reduction efforts and employee severance are costs incurred in conjunction with the termination of certain employees to streamline our operations and reduce costs. Management has excluded these costs primarily because they are not reflective of the ongoing operating results and they are not used to assess ongoing operational performance. Other acquisition costs and inventory step-up have been excluded by management as they are unrelated to the core operating activities of the Company and the frequency and variability in the nature of the charges can vary significantly from period to period. Excluding this data provides investors with a basis to compare Cohu’s performance against the performance of other companies without this variability. However, the non-GAAP financial measures should not be regarded as a replacement for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p>
      <w:pPr>
        <w:spacing w:after="0" w:line="226"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(1.7)% and (15.8)% of net sales, respectively.</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To eliminate compensation expense for employee stock options, stock units and our employee stock purchase plan.</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To eliminate the amortization of acquired intangible assets.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To eliminate manufacturing transition and employee severance costs.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To eliminate professional fees and other direct incremental expenses incurred related to the acquisition of Ismeca.</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To eliminate the inventory step-up costs incurred related to the acquisition of Ismeca.</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4.6% and (8.9)% of net sales, respectively.</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To adjust the provision for income taxes related to the adjustments described above based on applicable tax rates.</w:t>
      </w:r>
    </w:p>
    <w:p>
      <w:pPr>
        <w:spacing w:after="0" w:line="68" w:lineRule="exact"/>
        <w:rPr>
          <w:rFonts w:ascii="Arial" w:cs="Arial" w:eastAsia="Arial" w:hAnsi="Arial"/>
          <w:sz w:val="14"/>
          <w:szCs w:val="14"/>
          <w:color w:val="auto"/>
        </w:rPr>
      </w:pPr>
    </w:p>
    <w:p>
      <w:pPr>
        <w:ind w:left="340" w:right="20" w:hanging="332"/>
        <w:spacing w:after="0" w:line="250"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six months ended June 28, 2014 was computed using 25,460 shares outstanding as the effect of dilutive securities was excluded from GAAP diluted common shares due to the reported net loss from continuing operations under GAAP, but are included for non-GAAP diluted common shares since the Company has non-GAAP income from continuing. All other periods presented were computed using number of GAAP diluted shares outstanding for each period.</w:t>
      </w:r>
    </w:p>
    <w:sectPr>
      <w:pgSz w:w="11900" w:h="16838" w:orient="portrait"/>
      <w:cols w:equalWidth="0" w:num="1">
        <w:col w:w="11420"/>
      </w:cols>
      <w:pgMar w:left="240" w:top="26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2019-12-05T07:46:57Z</dcterms:created>
  <dcterms:modified xsi:type="dcterms:W3CDTF">2019-12-05T07:46:57Z</dcterms:modified>
</cp:coreProperties>
</file>