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UNITED STATES</w:t>
      </w:r>
    </w:p>
    <w:p>
      <w:pPr>
        <w:ind w:left="3780"/>
        <w:spacing w:after="0" w:line="234"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260"/>
        <w:spacing w:after="0"/>
        <w:rPr>
          <w:sz w:val="20"/>
          <w:szCs w:val="20"/>
          <w:color w:val="auto"/>
        </w:rPr>
      </w:pPr>
      <w:r>
        <w:rPr>
          <w:rFonts w:ascii="Arial" w:cs="Arial" w:eastAsia="Arial" w:hAnsi="Arial"/>
          <w:sz w:val="32"/>
          <w:szCs w:val="32"/>
          <w:b w:val="1"/>
          <w:bCs w:val="1"/>
          <w:color w:val="auto"/>
        </w:rPr>
        <w:t>SCHEDULE 14A</w:t>
      </w:r>
    </w:p>
    <w:p>
      <w:pPr>
        <w:spacing w:after="0" w:line="35"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260"/>
        <w:spacing w:after="0" w:line="234" w:lineRule="auto"/>
        <w:rPr>
          <w:sz w:val="20"/>
          <w:szCs w:val="20"/>
          <w:color w:val="auto"/>
        </w:rPr>
      </w:pPr>
      <w:r>
        <w:rPr>
          <w:rFonts w:ascii="Arial" w:cs="Arial" w:eastAsia="Arial" w:hAnsi="Arial"/>
          <w:sz w:val="18"/>
          <w:szCs w:val="18"/>
          <w:b w:val="1"/>
          <w:bCs w:val="1"/>
          <w:color w:val="auto"/>
        </w:rPr>
        <w:t>Securities Exchange Act of 1934</w:t>
      </w:r>
    </w:p>
    <w:p>
      <w:pPr>
        <w:spacing w:after="0" w:line="1"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line="207" w:lineRule="exact"/>
        <w:tabs>
          <w:tab w:leader="none" w:pos="22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9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8"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8"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38"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COHU, INC.</w:t>
      </w:r>
    </w:p>
    <w:p>
      <w:pPr>
        <w:spacing w:after="0" w:line="39"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143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143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1389380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159448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4485" cy="42037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April [*], 2026</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Cohu Stockholders,</w:t>
      </w:r>
    </w:p>
    <w:p>
      <w:pPr>
        <w:spacing w:after="0" w:line="198" w:lineRule="exact"/>
        <w:rPr>
          <w:sz w:val="20"/>
          <w:szCs w:val="20"/>
          <w:color w:val="auto"/>
        </w:rPr>
      </w:pPr>
    </w:p>
    <w:p>
      <w:pPr>
        <w:ind w:left="660" w:right="20"/>
        <w:spacing w:after="0" w:line="244" w:lineRule="auto"/>
        <w:rPr>
          <w:sz w:val="20"/>
          <w:szCs w:val="20"/>
          <w:color w:val="auto"/>
        </w:rPr>
      </w:pPr>
      <w:r>
        <w:rPr>
          <w:rFonts w:ascii="Arial" w:cs="Arial" w:eastAsia="Arial" w:hAnsi="Arial"/>
          <w:sz w:val="18"/>
          <w:szCs w:val="18"/>
          <w:color w:val="auto"/>
        </w:rPr>
        <w:t xml:space="preserve">We cordially invite you to attend the Cohu, Inc. 2026 Annual Meeting of Stockholders (the “Meeting” or “annual meeting”). The Meeting will be held on Friday, May 15, 2026, at 1:00 p.m. Pacific Time. The Meeting will be a completely ‘‘virtual meeting’’ of stockholders. You will be able to attend the Meeting as well as vote and submit your questions during the live webcast of the Meeting by visiting </w:t>
      </w:r>
      <w:r>
        <w:rPr>
          <w:rFonts w:ascii="Arial" w:cs="Arial" w:eastAsia="Arial" w:hAnsi="Arial"/>
          <w:sz w:val="18"/>
          <w:szCs w:val="18"/>
          <w:u w:val="single" w:color="auto"/>
          <w:color w:val="0B5394"/>
        </w:rPr>
        <w:t>http://www.virtualshareholdermeeting.com/COHU2026</w:t>
      </w:r>
      <w:r>
        <w:rPr>
          <w:rFonts w:ascii="Arial" w:cs="Arial" w:eastAsia="Arial" w:hAnsi="Arial"/>
          <w:sz w:val="18"/>
          <w:szCs w:val="18"/>
          <w:color w:val="auto"/>
        </w:rPr>
        <w:t xml:space="preserve"> and entering the 16-digit control number included in our notice of Internet availability of the proxy materials, on your proxy card or in the instructions that accompanied your proxy materials.</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this year’s Meeting, stockholders will be asked to elect the three (3) Class 1 nominees named in the attached proxy statement as directors each for a three-year term; to cast an advisory vote to approve our named executive officer compensation, or “Say-on-Pay;” to approve an amendment to our Amended and Restated Certificate of Incorporation to increase the number of authorized shares of our common stock; to approve the Cohu, Inc. 2026 Equity Incentive Plan (the “2026 Plan”); to approve the Amended and Restated Cohu, Inc. 1997 Employee Stock Purchase Plan (the “Amended and Restated 1997 ESPP”); and to ratify the appointment of Ernst &amp; Young LLP as our independent registered public accounting firm for fiscal year 2026. The Board of Directors unanimously recommends that you vote in favor of each director nominee, and for each of the other proposals.</w:t>
      </w:r>
    </w:p>
    <w:p>
      <w:pPr>
        <w:spacing w:after="0" w:line="171"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Please refer to the proxy statement for detailed information about the Meeting, each director nominee, and each of the proposals, as well as voting instructions. Your vote is important, and we strongly urge you to cast your vote as soon as possible by internet, telephone, or mail, even if you plan to attend the Meeting.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137795</wp:posOffset>
            </wp:positionV>
            <wp:extent cx="122555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55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Emily R. Lough</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30" w:lineRule="exact"/>
        <w:rPr>
          <w:sz w:val="20"/>
          <w:szCs w:val="20"/>
          <w:color w:val="auto"/>
        </w:rPr>
      </w:pPr>
    </w:p>
    <w:p>
      <w:pPr>
        <w:ind w:left="80"/>
        <w:spacing w:after="0"/>
        <w:rPr>
          <w:sz w:val="20"/>
          <w:szCs w:val="20"/>
          <w:color w:val="auto"/>
        </w:rPr>
      </w:pPr>
      <w:r>
        <w:rPr>
          <w:rFonts w:ascii="Arial" w:cs="Arial" w:eastAsia="Arial" w:hAnsi="Arial"/>
          <w:sz w:val="39"/>
          <w:szCs w:val="39"/>
          <w:b w:val="1"/>
          <w:bCs w:val="1"/>
          <w:color w:val="FFFFFF"/>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199390</wp:posOffset>
            </wp:positionV>
            <wp:extent cx="1594485"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17087 Via Del Campo San Diego, CA 92127 | Telephone: +1-858-848-8000</w:t>
      </w:r>
    </w:p>
    <w:p>
      <w:pPr>
        <w:sectPr>
          <w:pgSz w:w="11900" w:h="16838" w:orient="portrait"/>
          <w:cols w:equalWidth="0" w:num="1">
            <w:col w:w="11240"/>
          </w:cols>
          <w:pgMar w:left="320" w:top="122" w:right="33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2700" w:type="dxa"/>
            <w:vAlign w:val="bottom"/>
            <w:tcBorders>
              <w:bottom w:val="single" w:sz="8" w:color="2D53A6"/>
              <w:right w:val="single" w:sz="8" w:color="2D53A6"/>
            </w:tcBorders>
            <w:shd w:val="clear" w:color="auto" w:fill="2D53A6"/>
          </w:tcPr>
          <w:p>
            <w:pPr>
              <w:ind w:left="80"/>
              <w:spacing w:after="0"/>
              <w:rPr>
                <w:sz w:val="20"/>
                <w:szCs w:val="20"/>
                <w:color w:val="auto"/>
              </w:rPr>
            </w:pPr>
            <w:r>
              <w:rPr>
                <w:rFonts w:ascii="Arial" w:cs="Arial" w:eastAsia="Arial" w:hAnsi="Arial"/>
                <w:sz w:val="18"/>
                <w:szCs w:val="18"/>
                <w:b w:val="1"/>
                <w:bCs w:val="1"/>
                <w:color w:val="FFFFFF"/>
              </w:rPr>
              <w:t>Category</w:t>
            </w:r>
          </w:p>
        </w:tc>
        <w:tc>
          <w:tcPr>
            <w:tcW w:w="2700" w:type="dxa"/>
            <w:vAlign w:val="bottom"/>
            <w:tcBorders>
              <w:bottom w:val="single" w:sz="8" w:color="2D53A6"/>
            </w:tcBorders>
            <w:shd w:val="clear" w:color="auto" w:fill="2D53A6"/>
          </w:tcPr>
          <w:p>
            <w:pPr>
              <w:ind w:left="60"/>
              <w:spacing w:after="0"/>
              <w:rPr>
                <w:sz w:val="20"/>
                <w:szCs w:val="20"/>
                <w:color w:val="auto"/>
              </w:rPr>
            </w:pPr>
            <w:r>
              <w:rPr>
                <w:rFonts w:ascii="Arial" w:cs="Arial" w:eastAsia="Arial" w:hAnsi="Arial"/>
                <w:sz w:val="18"/>
                <w:szCs w:val="18"/>
                <w:b w:val="1"/>
                <w:bCs w:val="1"/>
                <w:color w:val="FFFFFF"/>
              </w:rPr>
              <w:t>Details</w:t>
            </w:r>
          </w:p>
        </w:tc>
        <w:tc>
          <w:tcPr>
            <w:tcW w:w="0" w:type="dxa"/>
            <w:vAlign w:val="bottom"/>
          </w:tcPr>
          <w:p>
            <w:pPr>
              <w:spacing w:after="0"/>
              <w:rPr>
                <w:sz w:val="1"/>
                <w:szCs w:val="1"/>
                <w:color w:val="auto"/>
              </w:rPr>
            </w:pPr>
          </w:p>
        </w:tc>
      </w:tr>
      <w:tr>
        <w:trPr>
          <w:trHeight w:val="251"/>
        </w:trPr>
        <w:tc>
          <w:tcPr>
            <w:tcW w:w="2700" w:type="dxa"/>
            <w:vAlign w:val="bottom"/>
            <w:tcBorders>
              <w:right w:val="single" w:sz="8" w:color="2D53A6"/>
            </w:tcBorders>
          </w:tcPr>
          <w:p>
            <w:pPr>
              <w:ind w:left="80"/>
              <w:spacing w:after="0"/>
              <w:rPr>
                <w:sz w:val="20"/>
                <w:szCs w:val="20"/>
                <w:color w:val="auto"/>
              </w:rPr>
            </w:pPr>
            <w:r>
              <w:rPr>
                <w:rFonts w:ascii="Arial" w:cs="Arial" w:eastAsia="Arial" w:hAnsi="Arial"/>
                <w:sz w:val="18"/>
                <w:szCs w:val="18"/>
                <w:b w:val="1"/>
                <w:bCs w:val="1"/>
                <w:color w:val="auto"/>
              </w:rPr>
              <w:t>Date and</w:t>
            </w:r>
          </w:p>
        </w:tc>
        <w:tc>
          <w:tcPr>
            <w:tcW w:w="2700" w:type="dxa"/>
            <w:vAlign w:val="bottom"/>
          </w:tcPr>
          <w:p>
            <w:pPr>
              <w:ind w:left="60"/>
              <w:spacing w:after="0"/>
              <w:rPr>
                <w:sz w:val="20"/>
                <w:szCs w:val="20"/>
                <w:color w:val="auto"/>
              </w:rPr>
            </w:pPr>
            <w:r>
              <w:rPr>
                <w:rFonts w:ascii="Arial" w:cs="Arial" w:eastAsia="Arial" w:hAnsi="Arial"/>
                <w:sz w:val="18"/>
                <w:szCs w:val="18"/>
                <w:color w:val="auto"/>
              </w:rPr>
              <w:t>Friday, May 15, 2026, 1:00 p.m.</w:t>
            </w:r>
          </w:p>
        </w:tc>
        <w:tc>
          <w:tcPr>
            <w:tcW w:w="0" w:type="dxa"/>
            <w:vAlign w:val="bottom"/>
          </w:tcPr>
          <w:p>
            <w:pPr>
              <w:spacing w:after="0"/>
              <w:rPr>
                <w:sz w:val="1"/>
                <w:szCs w:val="1"/>
                <w:color w:val="auto"/>
              </w:rPr>
            </w:pPr>
          </w:p>
        </w:tc>
      </w:tr>
      <w:tr>
        <w:trPr>
          <w:trHeight w:val="247"/>
        </w:trPr>
        <w:tc>
          <w:tcPr>
            <w:tcW w:w="2700" w:type="dxa"/>
            <w:vAlign w:val="bottom"/>
            <w:tcBorders>
              <w:right w:val="single" w:sz="8" w:color="2D53A6"/>
            </w:tcBorders>
          </w:tcPr>
          <w:p>
            <w:pPr>
              <w:ind w:left="80"/>
              <w:spacing w:after="0"/>
              <w:rPr>
                <w:sz w:val="20"/>
                <w:szCs w:val="20"/>
                <w:color w:val="auto"/>
              </w:rPr>
            </w:pPr>
            <w:r>
              <w:rPr>
                <w:rFonts w:ascii="Arial" w:cs="Arial" w:eastAsia="Arial" w:hAnsi="Arial"/>
                <w:sz w:val="18"/>
                <w:szCs w:val="18"/>
                <w:b w:val="1"/>
                <w:bCs w:val="1"/>
                <w:color w:val="auto"/>
              </w:rPr>
              <w:t>Time</w:t>
            </w:r>
          </w:p>
        </w:tc>
        <w:tc>
          <w:tcPr>
            <w:tcW w:w="2700" w:type="dxa"/>
            <w:vAlign w:val="bottom"/>
          </w:tcPr>
          <w:p>
            <w:pPr>
              <w:ind w:left="60"/>
              <w:spacing w:after="0"/>
              <w:rPr>
                <w:sz w:val="20"/>
                <w:szCs w:val="20"/>
                <w:color w:val="auto"/>
              </w:rPr>
            </w:pPr>
            <w:r>
              <w:rPr>
                <w:rFonts w:ascii="Arial" w:cs="Arial" w:eastAsia="Arial" w:hAnsi="Arial"/>
                <w:sz w:val="18"/>
                <w:szCs w:val="18"/>
                <w:color w:val="auto"/>
              </w:rPr>
              <w:t>Pacific Time</w:t>
            </w:r>
          </w:p>
        </w:tc>
        <w:tc>
          <w:tcPr>
            <w:tcW w:w="0" w:type="dxa"/>
            <w:vAlign w:val="bottom"/>
          </w:tcPr>
          <w:p>
            <w:pPr>
              <w:spacing w:after="0"/>
              <w:rPr>
                <w:sz w:val="1"/>
                <w:szCs w:val="1"/>
                <w:color w:val="auto"/>
              </w:rPr>
            </w:pPr>
          </w:p>
        </w:tc>
      </w:tr>
      <w:tr>
        <w:trPr>
          <w:trHeight w:val="42"/>
        </w:trPr>
        <w:tc>
          <w:tcPr>
            <w:tcW w:w="2700" w:type="dxa"/>
            <w:vAlign w:val="bottom"/>
            <w:tcBorders>
              <w:bottom w:val="single" w:sz="8" w:color="2D53A6"/>
              <w:right w:val="single" w:sz="8" w:color="2D53A6"/>
            </w:tcBorders>
          </w:tcPr>
          <w:p>
            <w:pPr>
              <w:spacing w:after="0"/>
              <w:rPr>
                <w:sz w:val="3"/>
                <w:szCs w:val="3"/>
                <w:color w:val="auto"/>
              </w:rPr>
            </w:pPr>
          </w:p>
        </w:tc>
        <w:tc>
          <w:tcPr>
            <w:tcW w:w="270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270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b w:val="1"/>
                <w:bCs w:val="1"/>
                <w:color w:val="auto"/>
              </w:rPr>
              <w:t>Place</w:t>
            </w:r>
          </w:p>
        </w:tc>
        <w:tc>
          <w:tcPr>
            <w:tcW w:w="2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Meeting will be held virtually</w:t>
            </w:r>
          </w:p>
        </w:tc>
        <w:tc>
          <w:tcPr>
            <w:tcW w:w="0" w:type="dxa"/>
            <w:vAlign w:val="bottom"/>
          </w:tcPr>
          <w:p>
            <w:pPr>
              <w:spacing w:after="0"/>
              <w:rPr>
                <w:sz w:val="1"/>
                <w:szCs w:val="1"/>
                <w:color w:val="auto"/>
              </w:rPr>
            </w:pPr>
          </w:p>
        </w:tc>
      </w:tr>
      <w:tr>
        <w:trPr>
          <w:trHeight w:val="245"/>
        </w:trPr>
        <w:tc>
          <w:tcPr>
            <w:tcW w:w="2700" w:type="dxa"/>
            <w:vAlign w:val="bottom"/>
            <w:tcBorders>
              <w:top w:val="single" w:sz="8" w:color="2D53A6"/>
              <w:right w:val="single" w:sz="8" w:color="2D53A6"/>
            </w:tcBorders>
          </w:tcPr>
          <w:p>
            <w:pPr>
              <w:spacing w:after="0"/>
              <w:rPr>
                <w:sz w:val="21"/>
                <w:szCs w:val="21"/>
                <w:color w:val="auto"/>
              </w:rPr>
            </w:pPr>
          </w:p>
        </w:tc>
        <w:tc>
          <w:tcPr>
            <w:tcW w:w="2700" w:type="dxa"/>
            <w:vAlign w:val="bottom"/>
            <w:tcBorders>
              <w:top w:val="single" w:sz="8" w:color="2D53A6"/>
            </w:tcBorders>
          </w:tcPr>
          <w:p>
            <w:pPr>
              <w:ind w:left="60"/>
              <w:spacing w:after="0"/>
              <w:rPr>
                <w:sz w:val="20"/>
                <w:szCs w:val="20"/>
                <w:color w:val="auto"/>
              </w:rPr>
            </w:pPr>
            <w:r>
              <w:rPr>
                <w:rFonts w:ascii="Arial" w:cs="Arial" w:eastAsia="Arial" w:hAnsi="Arial"/>
                <w:sz w:val="18"/>
                <w:szCs w:val="18"/>
                <w:color w:val="auto"/>
              </w:rPr>
              <w:t>Only stockholders of record at</w:t>
            </w:r>
          </w:p>
        </w:tc>
        <w:tc>
          <w:tcPr>
            <w:tcW w:w="0" w:type="dxa"/>
            <w:vAlign w:val="bottom"/>
          </w:tcPr>
          <w:p>
            <w:pPr>
              <w:spacing w:after="0"/>
              <w:rPr>
                <w:sz w:val="1"/>
                <w:szCs w:val="1"/>
                <w:color w:val="auto"/>
              </w:rPr>
            </w:pPr>
          </w:p>
        </w:tc>
      </w:tr>
      <w:tr>
        <w:trPr>
          <w:trHeight w:val="203"/>
        </w:trPr>
        <w:tc>
          <w:tcPr>
            <w:tcW w:w="2700" w:type="dxa"/>
            <w:vAlign w:val="bottom"/>
            <w:tcBorders>
              <w:right w:val="single" w:sz="8" w:color="2D53A6"/>
            </w:tcBorders>
          </w:tcPr>
          <w:p>
            <w:pPr>
              <w:spacing w:after="0"/>
              <w:rPr>
                <w:sz w:val="17"/>
                <w:szCs w:val="17"/>
                <w:color w:val="auto"/>
              </w:rPr>
            </w:pP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the close of business on March</w:t>
            </w:r>
          </w:p>
        </w:tc>
        <w:tc>
          <w:tcPr>
            <w:tcW w:w="0" w:type="dxa"/>
            <w:vAlign w:val="bottom"/>
          </w:tcPr>
          <w:p>
            <w:pPr>
              <w:spacing w:after="0"/>
              <w:rPr>
                <w:sz w:val="1"/>
                <w:szCs w:val="1"/>
                <w:color w:val="auto"/>
              </w:rPr>
            </w:pPr>
          </w:p>
        </w:tc>
      </w:tr>
      <w:tr>
        <w:trPr>
          <w:trHeight w:val="202"/>
        </w:trPr>
        <w:tc>
          <w:tcPr>
            <w:tcW w:w="2700" w:type="dxa"/>
            <w:vAlign w:val="bottom"/>
            <w:tcBorders>
              <w:right w:val="single" w:sz="8" w:color="2D53A6"/>
            </w:tcBorders>
            <w:vMerge w:val="restart"/>
          </w:tcPr>
          <w:p>
            <w:pPr>
              <w:ind w:left="80"/>
              <w:spacing w:after="0"/>
              <w:rPr>
                <w:sz w:val="20"/>
                <w:szCs w:val="20"/>
                <w:color w:val="auto"/>
              </w:rPr>
            </w:pPr>
            <w:r>
              <w:rPr>
                <w:rFonts w:ascii="Arial" w:cs="Arial" w:eastAsia="Arial" w:hAnsi="Arial"/>
                <w:sz w:val="18"/>
                <w:szCs w:val="18"/>
                <w:b w:val="1"/>
                <w:bCs w:val="1"/>
                <w:color w:val="auto"/>
              </w:rPr>
              <w:t>Record Date</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23, 2026, the “Record</w:t>
            </w:r>
          </w:p>
        </w:tc>
        <w:tc>
          <w:tcPr>
            <w:tcW w:w="0" w:type="dxa"/>
            <w:vAlign w:val="bottom"/>
          </w:tcPr>
          <w:p>
            <w:pPr>
              <w:spacing w:after="0"/>
              <w:rPr>
                <w:sz w:val="1"/>
                <w:szCs w:val="1"/>
                <w:color w:val="auto"/>
              </w:rPr>
            </w:pPr>
          </w:p>
        </w:tc>
      </w:tr>
      <w:tr>
        <w:trPr>
          <w:trHeight w:val="139"/>
        </w:trPr>
        <w:tc>
          <w:tcPr>
            <w:tcW w:w="2700" w:type="dxa"/>
            <w:vAlign w:val="bottom"/>
            <w:tcBorders>
              <w:right w:val="single" w:sz="8" w:color="2D53A6"/>
            </w:tcBorders>
            <w:vMerge w:val="continue"/>
          </w:tcPr>
          <w:p>
            <w:pPr>
              <w:spacing w:after="0"/>
              <w:rPr>
                <w:sz w:val="12"/>
                <w:szCs w:val="12"/>
                <w:color w:val="auto"/>
              </w:rPr>
            </w:pPr>
          </w:p>
        </w:tc>
        <w:tc>
          <w:tcPr>
            <w:tcW w:w="270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Date,” are entitled to notice of,</w:t>
            </w:r>
          </w:p>
        </w:tc>
        <w:tc>
          <w:tcPr>
            <w:tcW w:w="0" w:type="dxa"/>
            <w:vAlign w:val="bottom"/>
          </w:tcPr>
          <w:p>
            <w:pPr>
              <w:spacing w:after="0"/>
              <w:rPr>
                <w:sz w:val="1"/>
                <w:szCs w:val="1"/>
                <w:color w:val="auto"/>
              </w:rPr>
            </w:pPr>
          </w:p>
        </w:tc>
      </w:tr>
      <w:tr>
        <w:trPr>
          <w:trHeight w:val="64"/>
        </w:trPr>
        <w:tc>
          <w:tcPr>
            <w:tcW w:w="2700" w:type="dxa"/>
            <w:vAlign w:val="bottom"/>
            <w:tcBorders>
              <w:right w:val="single" w:sz="8" w:color="2D53A6"/>
            </w:tcBorders>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00" w:type="dxa"/>
            <w:vAlign w:val="bottom"/>
            <w:tcBorders>
              <w:right w:val="single" w:sz="8" w:color="2D53A6"/>
            </w:tcBorders>
          </w:tcPr>
          <w:p>
            <w:pPr>
              <w:spacing w:after="0"/>
              <w:rPr>
                <w:sz w:val="17"/>
                <w:szCs w:val="17"/>
                <w:color w:val="auto"/>
              </w:rPr>
            </w:pP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and to vote at, the annual</w:t>
            </w:r>
          </w:p>
        </w:tc>
        <w:tc>
          <w:tcPr>
            <w:tcW w:w="0" w:type="dxa"/>
            <w:vAlign w:val="bottom"/>
          </w:tcPr>
          <w:p>
            <w:pPr>
              <w:spacing w:after="0"/>
              <w:rPr>
                <w:sz w:val="1"/>
                <w:szCs w:val="1"/>
                <w:color w:val="auto"/>
              </w:rPr>
            </w:pPr>
          </w:p>
        </w:tc>
      </w:tr>
      <w:tr>
        <w:trPr>
          <w:trHeight w:val="239"/>
        </w:trPr>
        <w:tc>
          <w:tcPr>
            <w:tcW w:w="2700" w:type="dxa"/>
            <w:vAlign w:val="bottom"/>
            <w:tcBorders>
              <w:right w:val="single" w:sz="8" w:color="2D53A6"/>
            </w:tcBorders>
          </w:tcPr>
          <w:p>
            <w:pPr>
              <w:spacing w:after="0"/>
              <w:rPr>
                <w:sz w:val="20"/>
                <w:szCs w:val="20"/>
                <w:color w:val="auto"/>
              </w:rPr>
            </w:pPr>
          </w:p>
        </w:tc>
        <w:tc>
          <w:tcPr>
            <w:tcW w:w="2700" w:type="dxa"/>
            <w:vAlign w:val="bottom"/>
          </w:tcPr>
          <w:p>
            <w:pPr>
              <w:ind w:left="60"/>
              <w:spacing w:after="0"/>
              <w:rPr>
                <w:sz w:val="20"/>
                <w:szCs w:val="20"/>
                <w:color w:val="auto"/>
              </w:rPr>
            </w:pPr>
            <w:r>
              <w:rPr>
                <w:rFonts w:ascii="Arial" w:cs="Arial" w:eastAsia="Arial" w:hAnsi="Arial"/>
                <w:sz w:val="18"/>
                <w:szCs w:val="18"/>
                <w:color w:val="auto"/>
              </w:rPr>
              <w:t>meeting</w:t>
            </w:r>
          </w:p>
        </w:tc>
        <w:tc>
          <w:tcPr>
            <w:tcW w:w="0" w:type="dxa"/>
            <w:vAlign w:val="bottom"/>
          </w:tcPr>
          <w:p>
            <w:pPr>
              <w:spacing w:after="0"/>
              <w:rPr>
                <w:sz w:val="1"/>
                <w:szCs w:val="1"/>
                <w:color w:val="auto"/>
              </w:rPr>
            </w:pPr>
          </w:p>
        </w:tc>
      </w:tr>
      <w:tr>
        <w:trPr>
          <w:trHeight w:val="50"/>
        </w:trPr>
        <w:tc>
          <w:tcPr>
            <w:tcW w:w="2700" w:type="dxa"/>
            <w:vAlign w:val="bottom"/>
            <w:tcBorders>
              <w:bottom w:val="single" w:sz="8" w:color="2D53A6"/>
              <w:right w:val="single" w:sz="8" w:color="2D53A6"/>
            </w:tcBorders>
          </w:tcPr>
          <w:p>
            <w:pPr>
              <w:spacing w:after="0"/>
              <w:rPr>
                <w:sz w:val="4"/>
                <w:szCs w:val="4"/>
                <w:color w:val="auto"/>
              </w:rPr>
            </w:pPr>
          </w:p>
        </w:tc>
        <w:tc>
          <w:tcPr>
            <w:tcW w:w="2700" w:type="dxa"/>
            <w:vAlign w:val="bottom"/>
            <w:tcBorders>
              <w:bottom w:val="single" w:sz="8" w:color="2D53A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Annual Report Materials</w:t>
      </w:r>
    </w:p>
    <w:p>
      <w:pPr>
        <w:spacing w:after="0" w:line="198" w:lineRule="exact"/>
        <w:rPr>
          <w:sz w:val="20"/>
          <w:szCs w:val="20"/>
          <w:color w:val="auto"/>
        </w:rPr>
      </w:pPr>
    </w:p>
    <w:p>
      <w:pPr>
        <w:jc w:val="both"/>
        <w:ind w:right="400"/>
        <w:spacing w:after="0" w:line="257" w:lineRule="auto"/>
        <w:rPr>
          <w:sz w:val="20"/>
          <w:szCs w:val="20"/>
          <w:color w:val="auto"/>
        </w:rPr>
      </w:pPr>
      <w:r>
        <w:rPr>
          <w:rFonts w:ascii="Arial" w:cs="Arial" w:eastAsia="Arial" w:hAnsi="Arial"/>
          <w:sz w:val="18"/>
          <w:szCs w:val="18"/>
          <w:b w:val="1"/>
          <w:bCs w:val="1"/>
          <w:color w:val="auto"/>
        </w:rPr>
        <w:t>IMPORTANT NOTICE REGARDING THE AVAILABILITY OF PROXY MATERIALS FOR THE 2026 ANNUAL MEETING OF STOCKHOLDERS TO BE HELD MAY 15, 2026</w:t>
      </w:r>
    </w:p>
    <w:p>
      <w:pPr>
        <w:spacing w:after="0" w:line="145"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 xml:space="preserve">Our notice of 2026 Annual Meeting of Stockholders, proxy statement, and annual report to stockholders are available at </w:t>
      </w:r>
      <w:r>
        <w:rPr>
          <w:rFonts w:ascii="Arial" w:cs="Arial" w:eastAsia="Arial" w:hAnsi="Arial"/>
          <w:sz w:val="18"/>
          <w:szCs w:val="18"/>
          <w:u w:val="single" w:color="auto"/>
          <w:color w:val="0B5394"/>
        </w:rPr>
        <w:t>http://materials.proxyvote.com/192576</w:t>
      </w:r>
      <w:r>
        <w:rPr>
          <w:rFonts w:ascii="Arial" w:cs="Arial" w:eastAsia="Arial" w:hAnsi="Arial"/>
          <w:sz w:val="18"/>
          <w:szCs w:val="18"/>
          <w:color w:val="0B5394"/>
        </w:rPr>
        <w:t xml:space="preserve"> </w:t>
      </w:r>
      <w:r>
        <w:rPr>
          <w:rFonts w:ascii="Arial" w:cs="Arial" w:eastAsia="Arial" w:hAnsi="Arial"/>
          <w:sz w:val="18"/>
          <w:szCs w:val="18"/>
          <w:color w:val="000000"/>
        </w:rPr>
        <w:t>and on Cohu’s website at</w:t>
      </w:r>
      <w:r>
        <w:rPr>
          <w:rFonts w:ascii="Arial" w:cs="Arial" w:eastAsia="Arial" w:hAnsi="Arial"/>
          <w:sz w:val="18"/>
          <w:szCs w:val="18"/>
          <w:color w:val="0B5394"/>
        </w:rPr>
        <w:t xml:space="preserve"> </w:t>
      </w:r>
      <w:r>
        <w:rPr>
          <w:rFonts w:ascii="Arial" w:cs="Arial" w:eastAsia="Arial" w:hAnsi="Arial"/>
          <w:sz w:val="18"/>
          <w:szCs w:val="18"/>
          <w:u w:val="single" w:color="auto"/>
          <w:color w:val="0B5394"/>
        </w:rPr>
        <w:t>www.cohu.com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3420110" cy="1705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0110" cy="1705610"/>
                    </a:xfrm>
                    <a:prstGeom prst="rect">
                      <a:avLst/>
                    </a:prstGeom>
                    <a:noFill/>
                  </pic:spPr>
                </pic:pic>
              </a:graphicData>
            </a:graphic>
          </wp:anchor>
        </w:drawing>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Elect Electronic Delivery</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FFFFFF"/>
        </w:rPr>
        <w:t>Save Time, Money &amp; Trees</w:t>
      </w:r>
    </w:p>
    <w:p>
      <w:pPr>
        <w:spacing w:after="0" w:line="12" w:lineRule="exact"/>
        <w:rPr>
          <w:sz w:val="20"/>
          <w:szCs w:val="20"/>
          <w:color w:val="auto"/>
        </w:rPr>
      </w:pPr>
    </w:p>
    <w:p>
      <w:pPr>
        <w:ind w:left="40" w:right="220"/>
        <w:spacing w:after="0"/>
        <w:rPr>
          <w:sz w:val="20"/>
          <w:szCs w:val="20"/>
          <w:color w:val="auto"/>
        </w:rPr>
      </w:pPr>
      <w:r>
        <w:rPr>
          <w:rFonts w:ascii="Arial" w:cs="Arial" w:eastAsia="Arial" w:hAnsi="Arial"/>
          <w:sz w:val="18"/>
          <w:szCs w:val="18"/>
          <w:color w:val="FFFFFF"/>
        </w:rPr>
        <w:t>As part of our efforts to be an environmentally responsible corporate citizen, we encourage Cohu stockholders to voluntarily elect to receive future proxy and annual report materials electronically.</w:t>
      </w:r>
    </w:p>
    <w:p>
      <w:pPr>
        <w:spacing w:after="0" w:line="167" w:lineRule="exact"/>
        <w:rPr>
          <w:sz w:val="20"/>
          <w:szCs w:val="20"/>
          <w:color w:val="auto"/>
        </w:rPr>
      </w:pPr>
    </w:p>
    <w:p>
      <w:pPr>
        <w:ind w:left="680" w:right="1020" w:hanging="321"/>
        <w:spacing w:after="0" w:line="245" w:lineRule="auto"/>
        <w:tabs>
          <w:tab w:leader="none" w:pos="669" w:val="left"/>
        </w:tabs>
        <w:numPr>
          <w:ilvl w:val="0"/>
          <w:numId w:val="5"/>
        </w:numPr>
        <w:rPr>
          <w:rFonts w:ascii="Arial" w:cs="Arial" w:eastAsia="Arial" w:hAnsi="Arial"/>
          <w:sz w:val="18"/>
          <w:szCs w:val="18"/>
          <w:color w:val="FFFFFF"/>
        </w:rPr>
      </w:pPr>
      <w:r>
        <w:rPr>
          <w:rFonts w:ascii="Arial" w:cs="Arial" w:eastAsia="Arial" w:hAnsi="Arial"/>
          <w:sz w:val="18"/>
          <w:szCs w:val="18"/>
          <w:color w:val="FFFFFF"/>
        </w:rPr>
        <w:t>If you are a registered stockholder, please visit www.proxyvote.com for instructions.</w:t>
      </w:r>
    </w:p>
    <w:p>
      <w:pPr>
        <w:ind w:left="680" w:right="160" w:hanging="321"/>
        <w:spacing w:after="0" w:line="208" w:lineRule="exact"/>
        <w:tabs>
          <w:tab w:leader="none" w:pos="669" w:val="left"/>
        </w:tabs>
        <w:numPr>
          <w:ilvl w:val="0"/>
          <w:numId w:val="5"/>
        </w:numPr>
        <w:rPr>
          <w:rFonts w:ascii="Arial" w:cs="Arial" w:eastAsia="Arial" w:hAnsi="Arial"/>
          <w:sz w:val="18"/>
          <w:szCs w:val="18"/>
          <w:color w:val="FFFFFF"/>
        </w:rPr>
      </w:pPr>
      <w:r>
        <w:rPr>
          <w:rFonts w:ascii="Arial" w:cs="Arial" w:eastAsia="Arial" w:hAnsi="Arial"/>
          <w:sz w:val="18"/>
          <w:szCs w:val="18"/>
          <w:color w:val="FFFFFF"/>
        </w:rPr>
        <w:t>If you are a stockholder who owns stock through a broker or brokerage account, please opt for e</w:t>
      </w:r>
      <w:r>
        <w:rPr>
          <w:rFonts w:ascii="MS PGothic" w:cs="MS PGothic" w:eastAsia="MS PGothic" w:hAnsi="MS PGothic"/>
          <w:sz w:val="18"/>
          <w:szCs w:val="18"/>
          <w:color w:val="FFFFFF"/>
        </w:rPr>
        <w:t>‑</w:t>
      </w:r>
      <w:r>
        <w:rPr>
          <w:rFonts w:ascii="Arial" w:cs="Arial" w:eastAsia="Arial" w:hAnsi="Arial"/>
          <w:sz w:val="18"/>
          <w:szCs w:val="18"/>
          <w:color w:val="FFFFFF"/>
        </w:rPr>
        <w:t>delivery at www.proxyvote.com or by contacting your nominee.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Distribution</w:t>
      </w:r>
    </w:p>
    <w:p>
      <w:pPr>
        <w:spacing w:after="0" w:line="198" w:lineRule="exact"/>
        <w:rPr>
          <w:sz w:val="20"/>
          <w:szCs w:val="20"/>
          <w:color w:val="auto"/>
        </w:rPr>
      </w:pPr>
    </w:p>
    <w:p>
      <w:pPr>
        <w:jc w:val="both"/>
        <w:ind w:right="400"/>
        <w:spacing w:after="0" w:line="275" w:lineRule="auto"/>
        <w:rPr>
          <w:sz w:val="20"/>
          <w:szCs w:val="20"/>
          <w:color w:val="auto"/>
        </w:rPr>
      </w:pPr>
      <w:r>
        <w:rPr>
          <w:rFonts w:ascii="Arial" w:cs="Arial" w:eastAsia="Arial" w:hAnsi="Arial"/>
          <w:sz w:val="17"/>
          <w:szCs w:val="17"/>
          <w:color w:val="auto"/>
        </w:rPr>
        <w:t>This notice, the notice of internet availability of proxy materials, proxy statement and proxy card are first being made available and/or mailed to our stockholders on or about April [*], 2026.</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260" w:type="dxa"/>
            <w:vAlign w:val="bottom"/>
            <w:tcBorders>
              <w:right w:val="single" w:sz="8" w:color="2D53A6"/>
            </w:tcBorders>
            <w:vMerge w:val="restart"/>
            <w:shd w:val="clear" w:color="auto" w:fill="2D53A6"/>
          </w:tcPr>
          <w:p>
            <w:pPr>
              <w:jc w:val="right"/>
              <w:ind w:right="10"/>
              <w:spacing w:after="0"/>
              <w:rPr>
                <w:sz w:val="20"/>
                <w:szCs w:val="20"/>
                <w:color w:val="auto"/>
              </w:rPr>
            </w:pPr>
            <w:r>
              <w:rPr>
                <w:rFonts w:ascii="Arial" w:cs="Arial" w:eastAsia="Arial" w:hAnsi="Arial"/>
                <w:sz w:val="18"/>
                <w:szCs w:val="18"/>
                <w:b w:val="1"/>
                <w:bCs w:val="1"/>
                <w:color w:val="FFFFFF"/>
              </w:rPr>
              <w:t>#</w:t>
            </w:r>
          </w:p>
        </w:tc>
        <w:tc>
          <w:tcPr>
            <w:tcW w:w="3420" w:type="dxa"/>
            <w:vAlign w:val="bottom"/>
            <w:tcBorders>
              <w:right w:val="single" w:sz="8" w:color="2D53A6"/>
            </w:tcBorders>
            <w:vMerge w:val="restart"/>
            <w:shd w:val="clear" w:color="auto" w:fill="2D53A6"/>
          </w:tcPr>
          <w:p>
            <w:pPr>
              <w:ind w:left="60"/>
              <w:spacing w:after="0"/>
              <w:rPr>
                <w:sz w:val="20"/>
                <w:szCs w:val="20"/>
                <w:color w:val="auto"/>
              </w:rPr>
            </w:pPr>
            <w:r>
              <w:rPr>
                <w:rFonts w:ascii="Arial" w:cs="Arial" w:eastAsia="Arial" w:hAnsi="Arial"/>
                <w:sz w:val="18"/>
                <w:szCs w:val="18"/>
                <w:b w:val="1"/>
                <w:bCs w:val="1"/>
                <w:color w:val="FFFFFF"/>
              </w:rPr>
              <w:t>Proposal</w:t>
            </w:r>
          </w:p>
        </w:tc>
        <w:tc>
          <w:tcPr>
            <w:tcW w:w="170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8"/>
              </w:rPr>
              <w:t>Our Board</w:t>
            </w:r>
            <w:r>
              <w:rPr>
                <w:rFonts w:ascii="Arial" w:cs="Arial" w:eastAsia="Arial" w:hAnsi="Arial"/>
                <w:sz w:val="18"/>
                <w:szCs w:val="18"/>
                <w:color w:val="FFFFFF"/>
                <w:w w:val="98"/>
              </w:rPr>
              <w:t>’</w:t>
            </w:r>
            <w:r>
              <w:rPr>
                <w:rFonts w:ascii="Arial" w:cs="Arial" w:eastAsia="Arial" w:hAnsi="Arial"/>
                <w:sz w:val="18"/>
                <w:szCs w:val="18"/>
                <w:b w:val="1"/>
                <w:bCs w:val="1"/>
                <w:color w:val="FFFFFF"/>
                <w:w w:val="98"/>
              </w:rPr>
              <w:t>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 w:type="dxa"/>
            <w:vAlign w:val="bottom"/>
            <w:tcBorders>
              <w:right w:val="single" w:sz="8" w:color="2D53A6"/>
            </w:tcBorders>
            <w:vMerge w:val="continue"/>
            <w:shd w:val="clear" w:color="auto" w:fill="2D53A6"/>
          </w:tcPr>
          <w:p>
            <w:pPr>
              <w:spacing w:after="0"/>
              <w:rPr>
                <w:sz w:val="12"/>
                <w:szCs w:val="12"/>
                <w:color w:val="auto"/>
              </w:rPr>
            </w:pPr>
          </w:p>
        </w:tc>
        <w:tc>
          <w:tcPr>
            <w:tcW w:w="3420" w:type="dxa"/>
            <w:vAlign w:val="bottom"/>
            <w:tcBorders>
              <w:right w:val="single" w:sz="8" w:color="2D53A6"/>
            </w:tcBorders>
            <w:vMerge w:val="continue"/>
            <w:shd w:val="clear" w:color="auto" w:fill="2D53A6"/>
          </w:tcPr>
          <w:p>
            <w:pPr>
              <w:spacing w:after="0"/>
              <w:rPr>
                <w:sz w:val="12"/>
                <w:szCs w:val="12"/>
                <w:color w:val="auto"/>
              </w:rPr>
            </w:pPr>
          </w:p>
        </w:tc>
        <w:tc>
          <w:tcPr>
            <w:tcW w:w="170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Recommendation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60" w:type="dxa"/>
            <w:vAlign w:val="bottom"/>
            <w:tcBorders>
              <w:bottom w:val="single" w:sz="8" w:color="2D53A6"/>
              <w:right w:val="single" w:sz="8" w:color="2D53A6"/>
            </w:tcBorders>
            <w:shd w:val="clear" w:color="auto" w:fill="2D53A6"/>
          </w:tcPr>
          <w:p>
            <w:pPr>
              <w:spacing w:after="0"/>
              <w:rPr>
                <w:sz w:val="12"/>
                <w:szCs w:val="12"/>
                <w:color w:val="auto"/>
              </w:rPr>
            </w:pPr>
          </w:p>
        </w:tc>
        <w:tc>
          <w:tcPr>
            <w:tcW w:w="3420" w:type="dxa"/>
            <w:vAlign w:val="bottom"/>
            <w:tcBorders>
              <w:bottom w:val="single" w:sz="8" w:color="2D53A6"/>
              <w:right w:val="single" w:sz="8" w:color="2D53A6"/>
            </w:tcBorders>
            <w:shd w:val="clear" w:color="auto" w:fill="2D53A6"/>
          </w:tcPr>
          <w:p>
            <w:pPr>
              <w:spacing w:after="0"/>
              <w:rPr>
                <w:sz w:val="12"/>
                <w:szCs w:val="12"/>
                <w:color w:val="auto"/>
              </w:rPr>
            </w:pPr>
          </w:p>
        </w:tc>
        <w:tc>
          <w:tcPr>
            <w:tcW w:w="1700" w:type="dxa"/>
            <w:vAlign w:val="bottom"/>
            <w:tcBorders>
              <w:bottom w:val="single" w:sz="8" w:color="2D53A6"/>
            </w:tcBorders>
            <w:vMerge w:val="continue"/>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80" w:type="dxa"/>
            <w:vAlign w:val="bottom"/>
            <w:tcBorders>
              <w:right w:val="single" w:sz="8" w:color="2D53A6"/>
            </w:tcBorders>
            <w:gridSpan w:val="2"/>
          </w:tcPr>
          <w:p>
            <w:pPr>
              <w:jc w:val="right"/>
              <w:ind w:right="10"/>
              <w:spacing w:after="0"/>
              <w:rPr>
                <w:sz w:val="20"/>
                <w:szCs w:val="20"/>
                <w:color w:val="auto"/>
              </w:rPr>
            </w:pPr>
            <w:r>
              <w:rPr>
                <w:rFonts w:ascii="Arial" w:cs="Arial" w:eastAsia="Arial" w:hAnsi="Arial"/>
                <w:sz w:val="18"/>
                <w:szCs w:val="18"/>
                <w:b w:val="1"/>
                <w:bCs w:val="1"/>
                <w:color w:val="auto"/>
              </w:rPr>
              <w:t>1</w:t>
            </w:r>
          </w:p>
        </w:tc>
        <w:tc>
          <w:tcPr>
            <w:tcW w:w="342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Election of three (3) Class 1 directors, for</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 FOR each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Borders>
              <w:right w:val="single" w:sz="8" w:color="2D53A6"/>
            </w:tcBorders>
          </w:tcPr>
          <w:p>
            <w:pPr>
              <w:spacing w:after="0"/>
              <w:rPr>
                <w:sz w:val="17"/>
                <w:szCs w:val="17"/>
                <w:color w:val="auto"/>
              </w:rPr>
            </w:pPr>
          </w:p>
        </w:tc>
        <w:tc>
          <w:tcPr>
            <w:tcW w:w="3420" w:type="dxa"/>
            <w:vAlign w:val="bottom"/>
            <w:tcBorders>
              <w:right w:val="single" w:sz="8" w:color="2D53A6"/>
            </w:tcBorders>
          </w:tcPr>
          <w:p>
            <w:pPr>
              <w:ind w:left="60"/>
              <w:spacing w:after="0" w:line="202" w:lineRule="exact"/>
              <w:rPr>
                <w:sz w:val="20"/>
                <w:szCs w:val="20"/>
                <w:color w:val="auto"/>
              </w:rPr>
            </w:pPr>
            <w:r>
              <w:rPr>
                <w:rFonts w:ascii="Arial" w:cs="Arial" w:eastAsia="Arial" w:hAnsi="Arial"/>
                <w:sz w:val="18"/>
                <w:szCs w:val="18"/>
                <w:color w:val="auto"/>
              </w:rPr>
              <w:t>a term of three years each</w:t>
            </w: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Director</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0" w:type="dxa"/>
            <w:vAlign w:val="bottom"/>
            <w:tcBorders>
              <w:right w:val="single" w:sz="8" w:color="2D53A6"/>
            </w:tcBorders>
          </w:tcPr>
          <w:p>
            <w:pPr>
              <w:spacing w:after="0"/>
              <w:rPr>
                <w:sz w:val="21"/>
                <w:szCs w:val="21"/>
                <w:color w:val="auto"/>
              </w:rPr>
            </w:pPr>
          </w:p>
        </w:tc>
        <w:tc>
          <w:tcPr>
            <w:tcW w:w="3420" w:type="dxa"/>
            <w:vAlign w:val="bottom"/>
            <w:tcBorders>
              <w:right w:val="single" w:sz="8" w:color="2D53A6"/>
            </w:tcBorders>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Nominee</w:t>
            </w:r>
          </w:p>
        </w:tc>
        <w:tc>
          <w:tcPr>
            <w:tcW w:w="0" w:type="dxa"/>
            <w:vAlign w:val="bottom"/>
          </w:tcPr>
          <w:p>
            <w:pPr>
              <w:spacing w:after="0"/>
              <w:rPr>
                <w:sz w:val="1"/>
                <w:szCs w:val="1"/>
                <w:color w:val="auto"/>
              </w:rPr>
            </w:pPr>
          </w:p>
        </w:tc>
      </w:tr>
      <w:tr>
        <w:trPr>
          <w:trHeight w:val="42"/>
        </w:trPr>
        <w:tc>
          <w:tcPr>
            <w:tcW w:w="280" w:type="dxa"/>
            <w:vAlign w:val="bottom"/>
            <w:tcBorders>
              <w:right w:val="single" w:sz="8" w:color="2D53A6"/>
            </w:tcBorders>
            <w:gridSpan w:val="2"/>
          </w:tcPr>
          <w:p>
            <w:pPr>
              <w:spacing w:after="0"/>
              <w:rPr>
                <w:sz w:val="3"/>
                <w:szCs w:val="3"/>
                <w:color w:val="auto"/>
              </w:rPr>
            </w:pPr>
          </w:p>
        </w:tc>
        <w:tc>
          <w:tcPr>
            <w:tcW w:w="3420" w:type="dxa"/>
            <w:vAlign w:val="bottom"/>
            <w:tcBorders>
              <w:right w:val="single" w:sz="8" w:color="2D53A6"/>
            </w:tcBorders>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Borders>
              <w:top w:val="single" w:sz="8" w:color="2D53A6"/>
              <w:right w:val="single" w:sz="8" w:color="2D53A6"/>
            </w:tcBorders>
            <w:shd w:val="clear" w:color="auto" w:fill="E6E6E6"/>
          </w:tcPr>
          <w:p>
            <w:pPr>
              <w:jc w:val="right"/>
              <w:ind w:right="10"/>
              <w:spacing w:after="0"/>
              <w:rPr>
                <w:sz w:val="20"/>
                <w:szCs w:val="20"/>
                <w:color w:val="auto"/>
              </w:rPr>
            </w:pPr>
            <w:r>
              <w:rPr>
                <w:rFonts w:ascii="Arial" w:cs="Arial" w:eastAsia="Arial" w:hAnsi="Arial"/>
                <w:sz w:val="18"/>
                <w:szCs w:val="18"/>
                <w:b w:val="1"/>
                <w:bCs w:val="1"/>
                <w:color w:val="auto"/>
              </w:rPr>
              <w:t>2</w:t>
            </w:r>
          </w:p>
        </w:tc>
        <w:tc>
          <w:tcPr>
            <w:tcW w:w="3420" w:type="dxa"/>
            <w:vAlign w:val="bottom"/>
            <w:tcBorders>
              <w:top w:val="single" w:sz="8" w:color="2D53A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Advisory vote to approve our Named</w:t>
            </w:r>
          </w:p>
        </w:tc>
        <w:tc>
          <w:tcPr>
            <w:tcW w:w="1700" w:type="dxa"/>
            <w:vAlign w:val="bottom"/>
            <w:tcBorders>
              <w:top w:val="single" w:sz="8" w:color="2D53A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Borders>
              <w:right w:val="single" w:sz="8" w:color="2D53A6"/>
            </w:tcBorders>
            <w:shd w:val="clear" w:color="auto" w:fill="E6E6E6"/>
          </w:tcPr>
          <w:p>
            <w:pPr>
              <w:spacing w:after="0"/>
              <w:rPr>
                <w:sz w:val="17"/>
                <w:szCs w:val="17"/>
                <w:color w:val="auto"/>
              </w:rPr>
            </w:pPr>
          </w:p>
        </w:tc>
        <w:tc>
          <w:tcPr>
            <w:tcW w:w="3420" w:type="dxa"/>
            <w:vAlign w:val="bottom"/>
            <w:tcBorders>
              <w:right w:val="single" w:sz="8" w:color="2D53A6"/>
            </w:tcBorders>
            <w:shd w:val="clear" w:color="auto" w:fill="E6E6E6"/>
          </w:tcPr>
          <w:p>
            <w:pPr>
              <w:ind w:left="60"/>
              <w:spacing w:after="0" w:line="202" w:lineRule="exact"/>
              <w:rPr>
                <w:sz w:val="20"/>
                <w:szCs w:val="20"/>
                <w:color w:val="auto"/>
              </w:rPr>
            </w:pPr>
            <w:r>
              <w:rPr>
                <w:rFonts w:ascii="Arial" w:cs="Arial" w:eastAsia="Arial" w:hAnsi="Arial"/>
                <w:sz w:val="18"/>
                <w:szCs w:val="18"/>
                <w:color w:val="auto"/>
              </w:rPr>
              <w:t>Executive Officer compensation, or “Say-</w:t>
            </w:r>
          </w:p>
        </w:tc>
        <w:tc>
          <w:tcPr>
            <w:tcW w:w="170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60" w:type="dxa"/>
            <w:vAlign w:val="bottom"/>
            <w:tcBorders>
              <w:bottom w:val="single" w:sz="8" w:color="E6E6E6"/>
              <w:right w:val="single" w:sz="8" w:color="2D53A6"/>
            </w:tcBorders>
            <w:shd w:val="clear" w:color="auto" w:fill="E6E6E6"/>
          </w:tcPr>
          <w:p>
            <w:pPr>
              <w:spacing w:after="0"/>
              <w:rPr>
                <w:sz w:val="24"/>
                <w:szCs w:val="24"/>
                <w:color w:val="auto"/>
              </w:rPr>
            </w:pPr>
          </w:p>
        </w:tc>
        <w:tc>
          <w:tcPr>
            <w:tcW w:w="342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on-Pay”</w:t>
            </w:r>
          </w:p>
        </w:tc>
        <w:tc>
          <w:tcPr>
            <w:tcW w:w="170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Borders>
              <w:top w:val="single" w:sz="8" w:color="2D53A6"/>
              <w:right w:val="single" w:sz="8" w:color="2D53A6"/>
            </w:tcBorders>
          </w:tcPr>
          <w:p>
            <w:pPr>
              <w:jc w:val="right"/>
              <w:ind w:right="10"/>
              <w:spacing w:after="0"/>
              <w:rPr>
                <w:sz w:val="20"/>
                <w:szCs w:val="20"/>
                <w:color w:val="auto"/>
              </w:rPr>
            </w:pPr>
            <w:r>
              <w:rPr>
                <w:rFonts w:ascii="Arial" w:cs="Arial" w:eastAsia="Arial" w:hAnsi="Arial"/>
                <w:sz w:val="18"/>
                <w:szCs w:val="18"/>
                <w:b w:val="1"/>
                <w:bCs w:val="1"/>
                <w:color w:val="auto"/>
              </w:rPr>
              <w:t>3</w:t>
            </w:r>
          </w:p>
        </w:tc>
        <w:tc>
          <w:tcPr>
            <w:tcW w:w="342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Approve an amendment to our Amended</w:t>
            </w:r>
          </w:p>
        </w:tc>
        <w:tc>
          <w:tcPr>
            <w:tcW w:w="1700" w:type="dxa"/>
            <w:vAlign w:val="bottom"/>
            <w:tcBorders>
              <w:top w:val="single" w:sz="8" w:color="2D53A6"/>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Borders>
              <w:right w:val="single" w:sz="8" w:color="2D53A6"/>
            </w:tcBorders>
          </w:tcPr>
          <w:p>
            <w:pPr>
              <w:spacing w:after="0"/>
              <w:rPr>
                <w:sz w:val="17"/>
                <w:szCs w:val="17"/>
                <w:color w:val="auto"/>
              </w:rPr>
            </w:pPr>
          </w:p>
        </w:tc>
        <w:tc>
          <w:tcPr>
            <w:tcW w:w="3420" w:type="dxa"/>
            <w:vAlign w:val="bottom"/>
            <w:tcBorders>
              <w:right w:val="single" w:sz="8" w:color="2D53A6"/>
            </w:tcBorders>
          </w:tcPr>
          <w:p>
            <w:pPr>
              <w:ind w:left="60"/>
              <w:spacing w:after="0" w:line="202" w:lineRule="exact"/>
              <w:rPr>
                <w:sz w:val="20"/>
                <w:szCs w:val="20"/>
                <w:color w:val="auto"/>
              </w:rPr>
            </w:pPr>
            <w:r>
              <w:rPr>
                <w:rFonts w:ascii="Arial" w:cs="Arial" w:eastAsia="Arial" w:hAnsi="Arial"/>
                <w:sz w:val="18"/>
                <w:szCs w:val="18"/>
                <w:color w:val="auto"/>
              </w:rPr>
              <w:t>and Restated Certificate of Incorporation</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Borders>
              <w:right w:val="single" w:sz="8" w:color="2D53A6"/>
            </w:tcBorders>
          </w:tcPr>
          <w:p>
            <w:pPr>
              <w:spacing w:after="0"/>
              <w:rPr>
                <w:sz w:val="17"/>
                <w:szCs w:val="17"/>
                <w:color w:val="auto"/>
              </w:rPr>
            </w:pPr>
          </w:p>
        </w:tc>
        <w:tc>
          <w:tcPr>
            <w:tcW w:w="3420" w:type="dxa"/>
            <w:vAlign w:val="bottom"/>
            <w:tcBorders>
              <w:right w:val="single" w:sz="8" w:color="2D53A6"/>
            </w:tcBorders>
          </w:tcPr>
          <w:p>
            <w:pPr>
              <w:ind w:left="60"/>
              <w:spacing w:after="0" w:line="202" w:lineRule="exact"/>
              <w:rPr>
                <w:sz w:val="20"/>
                <w:szCs w:val="20"/>
                <w:color w:val="auto"/>
              </w:rPr>
            </w:pPr>
            <w:r>
              <w:rPr>
                <w:rFonts w:ascii="Arial" w:cs="Arial" w:eastAsia="Arial" w:hAnsi="Arial"/>
                <w:sz w:val="18"/>
                <w:szCs w:val="18"/>
                <w:color w:val="auto"/>
              </w:rPr>
              <w:t>to increase the number of authorized</w:t>
            </w: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Borders>
              <w:right w:val="single" w:sz="8" w:color="2D53A6"/>
            </w:tcBorders>
          </w:tcPr>
          <w:p>
            <w:pPr>
              <w:spacing w:after="0"/>
              <w:rPr>
                <w:sz w:val="17"/>
                <w:szCs w:val="17"/>
                <w:color w:val="auto"/>
              </w:rPr>
            </w:pPr>
          </w:p>
        </w:tc>
        <w:tc>
          <w:tcPr>
            <w:tcW w:w="3420" w:type="dxa"/>
            <w:vAlign w:val="bottom"/>
            <w:tcBorders>
              <w:right w:val="single" w:sz="8" w:color="2D53A6"/>
            </w:tcBorders>
          </w:tcPr>
          <w:p>
            <w:pPr>
              <w:ind w:left="60"/>
              <w:spacing w:after="0" w:line="202" w:lineRule="exact"/>
              <w:rPr>
                <w:sz w:val="20"/>
                <w:szCs w:val="20"/>
                <w:color w:val="auto"/>
              </w:rPr>
            </w:pPr>
            <w:r>
              <w:rPr>
                <w:rFonts w:ascii="Arial" w:cs="Arial" w:eastAsia="Arial" w:hAnsi="Arial"/>
                <w:sz w:val="18"/>
                <w:szCs w:val="18"/>
                <w:color w:val="auto"/>
              </w:rPr>
              <w:t>shares of common stock from</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Borders>
              <w:right w:val="single" w:sz="8" w:color="2D53A6"/>
            </w:tcBorders>
          </w:tcPr>
          <w:p>
            <w:pPr>
              <w:spacing w:after="0"/>
              <w:rPr>
                <w:sz w:val="20"/>
                <w:szCs w:val="20"/>
                <w:color w:val="auto"/>
              </w:rPr>
            </w:pPr>
          </w:p>
        </w:tc>
        <w:tc>
          <w:tcPr>
            <w:tcW w:w="342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90,000,000 to 150,000,000 shares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80" w:type="dxa"/>
            <w:vAlign w:val="bottom"/>
            <w:tcBorders>
              <w:right w:val="single" w:sz="8" w:color="2D53A6"/>
            </w:tcBorders>
            <w:gridSpan w:val="2"/>
          </w:tcPr>
          <w:p>
            <w:pPr>
              <w:spacing w:after="0"/>
              <w:rPr>
                <w:sz w:val="4"/>
                <w:szCs w:val="4"/>
                <w:color w:val="auto"/>
              </w:rPr>
            </w:pPr>
          </w:p>
        </w:tc>
        <w:tc>
          <w:tcPr>
            <w:tcW w:w="3420" w:type="dxa"/>
            <w:vAlign w:val="bottom"/>
            <w:tcBorders>
              <w:right w:val="single" w:sz="8" w:color="2D53A6"/>
            </w:tcBorders>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Borders>
              <w:top w:val="single" w:sz="8" w:color="2D53A6"/>
              <w:right w:val="single" w:sz="8" w:color="2D53A6"/>
            </w:tcBorders>
            <w:shd w:val="clear" w:color="auto" w:fill="E6E6E6"/>
          </w:tcPr>
          <w:p>
            <w:pPr>
              <w:jc w:val="right"/>
              <w:ind w:right="10"/>
              <w:spacing w:after="0"/>
              <w:rPr>
                <w:sz w:val="20"/>
                <w:szCs w:val="20"/>
                <w:color w:val="auto"/>
              </w:rPr>
            </w:pPr>
            <w:r>
              <w:rPr>
                <w:rFonts w:ascii="Arial" w:cs="Arial" w:eastAsia="Arial" w:hAnsi="Arial"/>
                <w:sz w:val="18"/>
                <w:szCs w:val="18"/>
                <w:b w:val="1"/>
                <w:bCs w:val="1"/>
                <w:color w:val="auto"/>
              </w:rPr>
              <w:t>4</w:t>
            </w:r>
          </w:p>
        </w:tc>
        <w:tc>
          <w:tcPr>
            <w:tcW w:w="3420" w:type="dxa"/>
            <w:vAlign w:val="bottom"/>
            <w:tcBorders>
              <w:top w:val="single" w:sz="8" w:color="2D53A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Approve the Cohu, Inc. 2026 Equity</w:t>
            </w:r>
          </w:p>
        </w:tc>
        <w:tc>
          <w:tcPr>
            <w:tcW w:w="1700" w:type="dxa"/>
            <w:vAlign w:val="bottom"/>
            <w:tcBorders>
              <w:top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 w:type="dxa"/>
            <w:vAlign w:val="bottom"/>
            <w:tcBorders>
              <w:right w:val="single" w:sz="8" w:color="2D53A6"/>
            </w:tcBorders>
            <w:shd w:val="clear" w:color="auto" w:fill="E6E6E6"/>
          </w:tcPr>
          <w:p>
            <w:pPr>
              <w:spacing w:after="0"/>
              <w:rPr>
                <w:sz w:val="12"/>
                <w:szCs w:val="12"/>
                <w:color w:val="auto"/>
              </w:rPr>
            </w:pPr>
          </w:p>
        </w:tc>
        <w:tc>
          <w:tcPr>
            <w:tcW w:w="3420" w:type="dxa"/>
            <w:vAlign w:val="bottom"/>
            <w:tcBorders>
              <w:right w:val="single" w:sz="8" w:color="2D53A6"/>
            </w:tcBorders>
            <w:vMerge w:val="restart"/>
            <w:shd w:val="clear" w:color="auto" w:fill="E6E6E6"/>
          </w:tcPr>
          <w:p>
            <w:pPr>
              <w:ind w:left="60"/>
              <w:spacing w:after="0"/>
              <w:rPr>
                <w:sz w:val="20"/>
                <w:szCs w:val="20"/>
                <w:color w:val="auto"/>
              </w:rPr>
            </w:pPr>
            <w:r>
              <w:rPr>
                <w:rFonts w:ascii="Arial" w:cs="Arial" w:eastAsia="Arial" w:hAnsi="Arial"/>
                <w:sz w:val="18"/>
                <w:szCs w:val="18"/>
                <w:color w:val="auto"/>
              </w:rPr>
              <w:t>Incentive Plan</w:t>
            </w:r>
          </w:p>
        </w:tc>
        <w:tc>
          <w:tcPr>
            <w:tcW w:w="170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0" w:type="dxa"/>
            <w:vAlign w:val="bottom"/>
            <w:tcBorders>
              <w:bottom w:val="single" w:sz="8" w:color="E6E6E6"/>
              <w:right w:val="single" w:sz="8" w:color="2D53A6"/>
            </w:tcBorders>
            <w:shd w:val="clear" w:color="auto" w:fill="E6E6E6"/>
          </w:tcPr>
          <w:p>
            <w:pPr>
              <w:spacing w:after="0"/>
              <w:rPr>
                <w:sz w:val="13"/>
                <w:szCs w:val="13"/>
                <w:color w:val="auto"/>
              </w:rPr>
            </w:pPr>
          </w:p>
        </w:tc>
        <w:tc>
          <w:tcPr>
            <w:tcW w:w="3420" w:type="dxa"/>
            <w:vAlign w:val="bottom"/>
            <w:tcBorders>
              <w:bottom w:val="single" w:sz="8" w:color="E6E6E6"/>
              <w:right w:val="single" w:sz="8" w:color="2D53A6"/>
            </w:tcBorders>
            <w:vMerge w:val="continue"/>
            <w:shd w:val="clear" w:color="auto" w:fill="E6E6E6"/>
          </w:tcPr>
          <w:p>
            <w:pPr>
              <w:spacing w:after="0"/>
              <w:rPr>
                <w:sz w:val="13"/>
                <w:szCs w:val="13"/>
                <w:color w:val="auto"/>
              </w:rPr>
            </w:pPr>
          </w:p>
        </w:tc>
        <w:tc>
          <w:tcPr>
            <w:tcW w:w="1700" w:type="dxa"/>
            <w:vAlign w:val="bottom"/>
            <w:tcBorders>
              <w:bottom w:val="single" w:sz="8" w:color="E6E6E6"/>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Borders>
              <w:top w:val="single" w:sz="8" w:color="2D53A6"/>
              <w:right w:val="single" w:sz="8" w:color="2D53A6"/>
            </w:tcBorders>
          </w:tcPr>
          <w:p>
            <w:pPr>
              <w:spacing w:after="0"/>
              <w:rPr>
                <w:sz w:val="21"/>
                <w:szCs w:val="21"/>
                <w:color w:val="auto"/>
              </w:rPr>
            </w:pPr>
          </w:p>
        </w:tc>
        <w:tc>
          <w:tcPr>
            <w:tcW w:w="342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Approve the Amended and Restated</w:t>
            </w:r>
          </w:p>
        </w:tc>
        <w:tc>
          <w:tcPr>
            <w:tcW w:w="1700" w:type="dxa"/>
            <w:vAlign w:val="bottom"/>
            <w:tcBorders>
              <w:top w:val="single" w:sz="8" w:color="2D53A6"/>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0" w:type="dxa"/>
            <w:vAlign w:val="bottom"/>
            <w:tcBorders>
              <w:right w:val="single" w:sz="8" w:color="2D53A6"/>
            </w:tcBorders>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5</w:t>
            </w:r>
          </w:p>
        </w:tc>
        <w:tc>
          <w:tcPr>
            <w:tcW w:w="3420" w:type="dxa"/>
            <w:vAlign w:val="bottom"/>
            <w:tcBorders>
              <w:right w:val="single" w:sz="8" w:color="2D53A6"/>
            </w:tcBorders>
          </w:tcPr>
          <w:p>
            <w:pPr>
              <w:ind w:left="60"/>
              <w:spacing w:after="0" w:line="202" w:lineRule="exact"/>
              <w:rPr>
                <w:sz w:val="20"/>
                <w:szCs w:val="20"/>
                <w:color w:val="auto"/>
              </w:rPr>
            </w:pPr>
            <w:r>
              <w:rPr>
                <w:rFonts w:ascii="Arial" w:cs="Arial" w:eastAsia="Arial" w:hAnsi="Arial"/>
                <w:sz w:val="18"/>
                <w:szCs w:val="18"/>
                <w:color w:val="auto"/>
              </w:rPr>
              <w:t>Cohu, Inc. 1997 Employee Stock</w:t>
            </w: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Borders>
              <w:right w:val="single" w:sz="8" w:color="2D53A6"/>
            </w:tcBorders>
          </w:tcPr>
          <w:p>
            <w:pPr>
              <w:spacing w:after="0"/>
              <w:rPr>
                <w:sz w:val="20"/>
                <w:szCs w:val="20"/>
                <w:color w:val="auto"/>
              </w:rPr>
            </w:pPr>
          </w:p>
        </w:tc>
        <w:tc>
          <w:tcPr>
            <w:tcW w:w="342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Purchase Plan</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80" w:type="dxa"/>
            <w:vAlign w:val="bottom"/>
            <w:tcBorders>
              <w:right w:val="single" w:sz="8" w:color="2D53A6"/>
            </w:tcBorders>
            <w:gridSpan w:val="2"/>
          </w:tcPr>
          <w:p>
            <w:pPr>
              <w:spacing w:after="0"/>
              <w:rPr>
                <w:sz w:val="4"/>
                <w:szCs w:val="4"/>
                <w:color w:val="auto"/>
              </w:rPr>
            </w:pPr>
          </w:p>
        </w:tc>
        <w:tc>
          <w:tcPr>
            <w:tcW w:w="3420" w:type="dxa"/>
            <w:vAlign w:val="bottom"/>
            <w:tcBorders>
              <w:right w:val="single" w:sz="8" w:color="2D53A6"/>
            </w:tcBorders>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Borders>
              <w:top w:val="single" w:sz="8" w:color="2D53A6"/>
              <w:right w:val="single" w:sz="8" w:color="2D53A6"/>
            </w:tcBorders>
            <w:shd w:val="clear" w:color="auto" w:fill="E6E6E6"/>
          </w:tcPr>
          <w:p>
            <w:pPr>
              <w:jc w:val="right"/>
              <w:ind w:right="10"/>
              <w:spacing w:after="0"/>
              <w:rPr>
                <w:sz w:val="20"/>
                <w:szCs w:val="20"/>
                <w:color w:val="auto"/>
              </w:rPr>
            </w:pPr>
            <w:r>
              <w:rPr>
                <w:rFonts w:ascii="Arial" w:cs="Arial" w:eastAsia="Arial" w:hAnsi="Arial"/>
                <w:sz w:val="18"/>
                <w:szCs w:val="18"/>
                <w:b w:val="1"/>
                <w:bCs w:val="1"/>
                <w:color w:val="auto"/>
              </w:rPr>
              <w:t>6</w:t>
            </w:r>
          </w:p>
        </w:tc>
        <w:tc>
          <w:tcPr>
            <w:tcW w:w="3420" w:type="dxa"/>
            <w:vAlign w:val="bottom"/>
            <w:tcBorders>
              <w:top w:val="single" w:sz="8" w:color="2D53A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Ratification of the appointment of Ernst &amp;</w:t>
            </w:r>
          </w:p>
        </w:tc>
        <w:tc>
          <w:tcPr>
            <w:tcW w:w="1700" w:type="dxa"/>
            <w:vAlign w:val="bottom"/>
            <w:tcBorders>
              <w:top w:val="single" w:sz="8" w:color="2D53A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Borders>
              <w:right w:val="single" w:sz="8" w:color="2D53A6"/>
            </w:tcBorders>
            <w:shd w:val="clear" w:color="auto" w:fill="E6E6E6"/>
          </w:tcPr>
          <w:p>
            <w:pPr>
              <w:spacing w:after="0"/>
              <w:rPr>
                <w:sz w:val="17"/>
                <w:szCs w:val="17"/>
                <w:color w:val="auto"/>
              </w:rPr>
            </w:pPr>
          </w:p>
        </w:tc>
        <w:tc>
          <w:tcPr>
            <w:tcW w:w="3420" w:type="dxa"/>
            <w:vAlign w:val="bottom"/>
            <w:tcBorders>
              <w:right w:val="single" w:sz="8" w:color="2D53A6"/>
            </w:tcBorders>
            <w:shd w:val="clear" w:color="auto" w:fill="E6E6E6"/>
          </w:tcPr>
          <w:p>
            <w:pPr>
              <w:ind w:left="60"/>
              <w:spacing w:after="0" w:line="202" w:lineRule="exact"/>
              <w:rPr>
                <w:sz w:val="20"/>
                <w:szCs w:val="20"/>
                <w:color w:val="auto"/>
              </w:rPr>
            </w:pPr>
            <w:r>
              <w:rPr>
                <w:rFonts w:ascii="Arial" w:cs="Arial" w:eastAsia="Arial" w:hAnsi="Arial"/>
                <w:sz w:val="18"/>
                <w:szCs w:val="18"/>
                <w:color w:val="auto"/>
              </w:rPr>
              <w:t>Young LLP as our independent</w:t>
            </w:r>
          </w:p>
        </w:tc>
        <w:tc>
          <w:tcPr>
            <w:tcW w:w="1700" w:type="dxa"/>
            <w:vAlign w:val="bottom"/>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 w:type="dxa"/>
            <w:vAlign w:val="bottom"/>
            <w:tcBorders>
              <w:right w:val="single" w:sz="8" w:color="2D53A6"/>
            </w:tcBorders>
            <w:shd w:val="clear" w:color="auto" w:fill="E6E6E6"/>
          </w:tcPr>
          <w:p>
            <w:pPr>
              <w:spacing w:after="0"/>
              <w:rPr>
                <w:sz w:val="12"/>
                <w:szCs w:val="12"/>
                <w:color w:val="auto"/>
              </w:rPr>
            </w:pPr>
          </w:p>
        </w:tc>
        <w:tc>
          <w:tcPr>
            <w:tcW w:w="3420" w:type="dxa"/>
            <w:vAlign w:val="bottom"/>
            <w:tcBorders>
              <w:right w:val="single" w:sz="8" w:color="2D53A6"/>
            </w:tcBorders>
            <w:vMerge w:val="restart"/>
            <w:shd w:val="clear" w:color="auto" w:fill="E6E6E6"/>
          </w:tcPr>
          <w:p>
            <w:pPr>
              <w:ind w:left="60"/>
              <w:spacing w:after="0" w:line="202" w:lineRule="exact"/>
              <w:rPr>
                <w:sz w:val="20"/>
                <w:szCs w:val="20"/>
                <w:color w:val="auto"/>
              </w:rPr>
            </w:pPr>
            <w:r>
              <w:rPr>
                <w:rFonts w:ascii="Arial" w:cs="Arial" w:eastAsia="Arial" w:hAnsi="Arial"/>
                <w:sz w:val="18"/>
                <w:szCs w:val="18"/>
                <w:color w:val="auto"/>
              </w:rPr>
              <w:t>registered public accounting firm for</w:t>
            </w:r>
          </w:p>
        </w:tc>
        <w:tc>
          <w:tcPr>
            <w:tcW w:w="170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0" w:type="dxa"/>
            <w:vAlign w:val="bottom"/>
            <w:tcBorders>
              <w:right w:val="single" w:sz="8" w:color="2D53A6"/>
            </w:tcBorders>
            <w:shd w:val="clear" w:color="auto" w:fill="E6E6E6"/>
          </w:tcPr>
          <w:p>
            <w:pPr>
              <w:spacing w:after="0"/>
              <w:rPr>
                <w:sz w:val="5"/>
                <w:szCs w:val="5"/>
                <w:color w:val="auto"/>
              </w:rPr>
            </w:pPr>
          </w:p>
        </w:tc>
        <w:tc>
          <w:tcPr>
            <w:tcW w:w="3420" w:type="dxa"/>
            <w:vAlign w:val="bottom"/>
            <w:tcBorders>
              <w:right w:val="single" w:sz="8" w:color="2D53A6"/>
            </w:tcBorders>
            <w:vMerge w:val="continue"/>
            <w:shd w:val="clear" w:color="auto" w:fill="E6E6E6"/>
          </w:tcPr>
          <w:p>
            <w:pPr>
              <w:spacing w:after="0"/>
              <w:rPr>
                <w:sz w:val="5"/>
                <w:szCs w:val="5"/>
                <w:color w:val="auto"/>
              </w:rPr>
            </w:pPr>
          </w:p>
        </w:tc>
        <w:tc>
          <w:tcPr>
            <w:tcW w:w="170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60" w:type="dxa"/>
            <w:vAlign w:val="bottom"/>
            <w:tcBorders>
              <w:bottom w:val="single" w:sz="8" w:color="E6E6E6"/>
              <w:right w:val="single" w:sz="8" w:color="2D53A6"/>
            </w:tcBorders>
            <w:shd w:val="clear" w:color="auto" w:fill="E6E6E6"/>
          </w:tcPr>
          <w:p>
            <w:pPr>
              <w:spacing w:after="0"/>
              <w:rPr>
                <w:sz w:val="24"/>
                <w:szCs w:val="24"/>
                <w:color w:val="auto"/>
              </w:rPr>
            </w:pPr>
          </w:p>
        </w:tc>
        <w:tc>
          <w:tcPr>
            <w:tcW w:w="342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fiscal year 2026</w:t>
            </w:r>
          </w:p>
        </w:tc>
        <w:tc>
          <w:tcPr>
            <w:tcW w:w="170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Borders>
              <w:top w:val="single" w:sz="8" w:color="2D53A6"/>
              <w:right w:val="single" w:sz="8" w:color="2D53A6"/>
            </w:tcBorders>
          </w:tcPr>
          <w:p>
            <w:pPr>
              <w:spacing w:after="0"/>
              <w:rPr>
                <w:sz w:val="21"/>
                <w:szCs w:val="21"/>
                <w:color w:val="auto"/>
              </w:rPr>
            </w:pPr>
          </w:p>
        </w:tc>
        <w:tc>
          <w:tcPr>
            <w:tcW w:w="342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Transaction of other business as may</w:t>
            </w:r>
          </w:p>
        </w:tc>
        <w:tc>
          <w:tcPr>
            <w:tcW w:w="1700" w:type="dxa"/>
            <w:vAlign w:val="bottom"/>
            <w:tcBorders>
              <w:top w:val="single" w:sz="8" w:color="2D53A6"/>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Borders>
              <w:right w:val="single" w:sz="8" w:color="2D53A6"/>
            </w:tcBorders>
          </w:tcPr>
          <w:p>
            <w:pPr>
              <w:spacing w:after="0"/>
              <w:rPr>
                <w:sz w:val="17"/>
                <w:szCs w:val="17"/>
                <w:color w:val="auto"/>
              </w:rPr>
            </w:pPr>
          </w:p>
        </w:tc>
        <w:tc>
          <w:tcPr>
            <w:tcW w:w="3420" w:type="dxa"/>
            <w:vAlign w:val="bottom"/>
            <w:tcBorders>
              <w:right w:val="single" w:sz="8" w:color="2D53A6"/>
            </w:tcBorders>
          </w:tcPr>
          <w:p>
            <w:pPr>
              <w:ind w:left="60"/>
              <w:spacing w:after="0" w:line="202" w:lineRule="exact"/>
              <w:rPr>
                <w:sz w:val="20"/>
                <w:szCs w:val="20"/>
                <w:color w:val="auto"/>
              </w:rPr>
            </w:pPr>
            <w:r>
              <w:rPr>
                <w:rFonts w:ascii="Arial" w:cs="Arial" w:eastAsia="Arial" w:hAnsi="Arial"/>
                <w:sz w:val="18"/>
                <w:szCs w:val="18"/>
                <w:color w:val="auto"/>
              </w:rPr>
              <w:t>properly come before the annual meeting</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Borders>
              <w:right w:val="single" w:sz="8" w:color="2D53A6"/>
            </w:tcBorders>
          </w:tcPr>
          <w:p>
            <w:pPr>
              <w:spacing w:after="0"/>
              <w:rPr>
                <w:sz w:val="17"/>
                <w:szCs w:val="17"/>
                <w:color w:val="auto"/>
              </w:rPr>
            </w:pPr>
          </w:p>
        </w:tc>
        <w:tc>
          <w:tcPr>
            <w:tcW w:w="3420" w:type="dxa"/>
            <w:vAlign w:val="bottom"/>
            <w:tcBorders>
              <w:right w:val="single" w:sz="8" w:color="2D53A6"/>
            </w:tcBorders>
          </w:tcPr>
          <w:p>
            <w:pPr>
              <w:ind w:left="60"/>
              <w:spacing w:after="0" w:line="202" w:lineRule="exact"/>
              <w:rPr>
                <w:sz w:val="20"/>
                <w:szCs w:val="20"/>
                <w:color w:val="auto"/>
              </w:rPr>
            </w:pPr>
            <w:r>
              <w:rPr>
                <w:rFonts w:ascii="Arial" w:cs="Arial" w:eastAsia="Arial" w:hAnsi="Arial"/>
                <w:sz w:val="18"/>
                <w:szCs w:val="18"/>
                <w:color w:val="auto"/>
              </w:rPr>
              <w:t>(including any adjournment or</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Borders>
              <w:right w:val="single" w:sz="8" w:color="2D53A6"/>
            </w:tcBorders>
          </w:tcPr>
          <w:p>
            <w:pPr>
              <w:spacing w:after="0"/>
              <w:rPr>
                <w:sz w:val="20"/>
                <w:szCs w:val="20"/>
                <w:color w:val="auto"/>
              </w:rPr>
            </w:pPr>
          </w:p>
        </w:tc>
        <w:tc>
          <w:tcPr>
            <w:tcW w:w="342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postponement thereof)</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 w:type="dxa"/>
            <w:vAlign w:val="bottom"/>
            <w:tcBorders>
              <w:bottom w:val="single" w:sz="8" w:color="2D53A6"/>
              <w:right w:val="single" w:sz="8" w:color="2D53A6"/>
            </w:tcBorders>
          </w:tcPr>
          <w:p>
            <w:pPr>
              <w:spacing w:after="0"/>
              <w:rPr>
                <w:sz w:val="4"/>
                <w:szCs w:val="4"/>
                <w:color w:val="auto"/>
              </w:rPr>
            </w:pPr>
          </w:p>
        </w:tc>
        <w:tc>
          <w:tcPr>
            <w:tcW w:w="3420" w:type="dxa"/>
            <w:vAlign w:val="bottom"/>
            <w:tcBorders>
              <w:bottom w:val="single" w:sz="8" w:color="2D53A6"/>
              <w:right w:val="single" w:sz="8" w:color="2D53A6"/>
            </w:tcBorders>
          </w:tcPr>
          <w:p>
            <w:pPr>
              <w:spacing w:after="0"/>
              <w:rPr>
                <w:sz w:val="4"/>
                <w:szCs w:val="4"/>
                <w:color w:val="auto"/>
              </w:rPr>
            </w:pPr>
          </w:p>
        </w:tc>
        <w:tc>
          <w:tcPr>
            <w:tcW w:w="1700" w:type="dxa"/>
            <w:vAlign w:val="bottom"/>
            <w:tcBorders>
              <w:bottom w:val="single" w:sz="8" w:color="2D53A6"/>
            </w:tcBorders>
          </w:tcPr>
          <w:p>
            <w:pPr>
              <w:spacing w:after="0"/>
              <w:rPr>
                <w:sz w:val="4"/>
                <w:szCs w:val="4"/>
                <w:color w:val="auto"/>
              </w:rPr>
            </w:pPr>
          </w:p>
        </w:tc>
        <w:tc>
          <w:tcPr>
            <w:tcW w:w="0" w:type="dxa"/>
            <w:vAlign w:val="bottom"/>
          </w:tcPr>
          <w:p>
            <w:pPr>
              <w:spacing w:after="0"/>
              <w:rPr>
                <w:sz w:val="1"/>
                <w:szCs w:val="1"/>
                <w:color w:val="auto"/>
              </w:rPr>
            </w:pPr>
          </w:p>
        </w:tc>
      </w:tr>
      <w:tr>
        <w:trPr>
          <w:trHeight w:val="424"/>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Voting</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Please vote as soon as possible, even if you plan to attend the annual meeting, on all of the voting matters. You have three options for submitting your vote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110490</wp:posOffset>
            </wp:positionV>
            <wp:extent cx="480060"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0060" cy="334645"/>
                    </a:xfrm>
                    <a:prstGeom prst="rect">
                      <a:avLst/>
                    </a:prstGeom>
                    <a:noFill/>
                  </pic:spPr>
                </pic:pic>
              </a:graphicData>
            </a:graphic>
          </wp:anchor>
        </w:drawing>
        <w:drawing>
          <wp:anchor simplePos="0" relativeHeight="251657728" behindDoc="1" locked="0" layoutInCell="0" allowOverlap="1">
            <wp:simplePos x="0" y="0"/>
            <wp:positionH relativeFrom="column">
              <wp:posOffset>1543050</wp:posOffset>
            </wp:positionH>
            <wp:positionV relativeFrom="paragraph">
              <wp:posOffset>127635</wp:posOffset>
            </wp:positionV>
            <wp:extent cx="42037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0370" cy="29146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136525</wp:posOffset>
            </wp:positionV>
            <wp:extent cx="36004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2743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80"/>
        <w:spacing w:after="0"/>
        <w:tabs>
          <w:tab w:leader="none" w:pos="2440" w:val="left"/>
          <w:tab w:leader="none" w:pos="4280" w:val="left"/>
        </w:tabs>
        <w:rPr>
          <w:sz w:val="20"/>
          <w:szCs w:val="20"/>
          <w:color w:val="auto"/>
        </w:rPr>
      </w:pPr>
      <w:r>
        <w:rPr>
          <w:rFonts w:ascii="Arial" w:cs="Arial" w:eastAsia="Arial" w:hAnsi="Arial"/>
          <w:sz w:val="28"/>
          <w:szCs w:val="28"/>
          <w:color w:val="2D53A6"/>
          <w:vertAlign w:val="subscript"/>
        </w:rPr>
        <w:t>By internet</w:t>
      </w:r>
      <w:r>
        <w:rPr>
          <w:sz w:val="20"/>
          <w:szCs w:val="20"/>
          <w:color w:val="auto"/>
        </w:rPr>
        <w:tab/>
      </w:r>
      <w:r>
        <w:rPr>
          <w:rFonts w:ascii="Arial" w:cs="Arial" w:eastAsia="Arial" w:hAnsi="Arial"/>
          <w:sz w:val="14"/>
          <w:szCs w:val="14"/>
          <w:color w:val="2D53A6"/>
        </w:rPr>
        <w:t>By phone</w:t>
      </w:r>
      <w:r>
        <w:rPr>
          <w:sz w:val="20"/>
          <w:szCs w:val="20"/>
          <w:color w:val="auto"/>
        </w:rPr>
        <w:tab/>
      </w:r>
      <w:r>
        <w:rPr>
          <w:rFonts w:ascii="Arial" w:cs="Arial" w:eastAsia="Arial" w:hAnsi="Arial"/>
          <w:sz w:val="14"/>
          <w:szCs w:val="14"/>
          <w:color w:val="2D53A6"/>
        </w:rPr>
        <w:t>By mail</w:t>
      </w:r>
    </w:p>
    <w:p>
      <w:pPr>
        <w:spacing w:after="0" w:line="22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proxy statement and the accompanying proxy card provide detailed voting instructions.</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IT IS IMPORTANT THAT YOU VOTE </w:t>
      </w:r>
      <w:r>
        <w:rPr>
          <w:rFonts w:ascii="Arial" w:cs="Arial" w:eastAsia="Arial" w:hAnsi="Arial"/>
          <w:sz w:val="18"/>
          <w:szCs w:val="18"/>
          <w:color w:val="auto"/>
        </w:rPr>
        <w:t>to play a part in the future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Please carefully review the proxy materials for the 2026 Annual Meeting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Emily R. Lough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314960</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726440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0" w:space="440"/>
            <w:col w:w="540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2D53A6"/>
        </w:rPr>
        <w:t>Proxy Statement for 2026 Annual Meeting of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Proxy Statement Summary</w:t>
            </w:r>
          </w:p>
        </w:tc>
        <w:tc>
          <w:tcPr>
            <w:tcW w:w="3800" w:type="dxa"/>
            <w:vAlign w:val="bottom"/>
            <w:shd w:val="clear" w:color="auto" w:fill="2D53A6"/>
          </w:tcPr>
          <w:p>
            <w:pPr>
              <w:ind w:left="2900"/>
              <w:spacing w:after="0"/>
              <w:rPr>
                <w:sz w:val="20"/>
                <w:szCs w:val="20"/>
                <w:color w:val="auto"/>
              </w:rPr>
            </w:pPr>
            <w:r>
              <w:rPr>
                <w:rFonts w:ascii="Arial" w:cs="Arial" w:eastAsia="Arial" w:hAnsi="Arial"/>
                <w:sz w:val="16"/>
                <w:szCs w:val="16"/>
                <w:b w:val="1"/>
                <w:bCs w:val="1"/>
                <w:color w:val="FFFFFF"/>
              </w:rPr>
              <w:t>Page 1</w:t>
            </w:r>
          </w:p>
        </w:tc>
      </w:tr>
      <w:tr>
        <w:trPr>
          <w:trHeight w:val="153"/>
        </w:trPr>
        <w:tc>
          <w:tcPr>
            <w:tcW w:w="7440" w:type="dxa"/>
            <w:vAlign w:val="bottom"/>
          </w:tcPr>
          <w:p>
            <w:pPr>
              <w:ind w:left="280"/>
              <w:spacing w:after="0" w:line="153" w:lineRule="exact"/>
              <w:rPr>
                <w:sz w:val="20"/>
                <w:szCs w:val="20"/>
                <w:color w:val="auto"/>
              </w:rPr>
            </w:pPr>
            <w:r>
              <w:rPr>
                <w:rFonts w:ascii="Arial" w:cs="Arial" w:eastAsia="Arial" w:hAnsi="Arial"/>
                <w:sz w:val="14"/>
                <w:szCs w:val="14"/>
                <w:color w:val="auto"/>
              </w:rPr>
              <w:t>About Cohu</w:t>
            </w:r>
          </w:p>
        </w:tc>
        <w:tc>
          <w:tcPr>
            <w:tcW w:w="3800" w:type="dxa"/>
            <w:vAlign w:val="bottom"/>
          </w:tcPr>
          <w:p>
            <w:pPr>
              <w:spacing w:after="0"/>
              <w:rPr>
                <w:sz w:val="13"/>
                <w:szCs w:val="13"/>
                <w:color w:val="auto"/>
              </w:rPr>
            </w:pPr>
          </w:p>
        </w:tc>
      </w:tr>
      <w:tr>
        <w:trPr>
          <w:trHeight w:val="162"/>
        </w:trPr>
        <w:tc>
          <w:tcPr>
            <w:tcW w:w="7440" w:type="dxa"/>
            <w:vAlign w:val="bottom"/>
          </w:tcPr>
          <w:p>
            <w:pPr>
              <w:ind w:left="280"/>
              <w:spacing w:after="0"/>
              <w:rPr>
                <w:sz w:val="20"/>
                <w:szCs w:val="20"/>
                <w:color w:val="auto"/>
              </w:rPr>
            </w:pPr>
            <w:r>
              <w:rPr>
                <w:rFonts w:ascii="Arial" w:cs="Arial" w:eastAsia="Arial" w:hAnsi="Arial"/>
                <w:sz w:val="14"/>
                <w:szCs w:val="14"/>
                <w:color w:val="auto"/>
              </w:rPr>
              <w:t>Fiscal Year 2025 Financial Highlights</w:t>
            </w:r>
          </w:p>
        </w:tc>
        <w:tc>
          <w:tcPr>
            <w:tcW w:w="3800" w:type="dxa"/>
            <w:vAlign w:val="bottom"/>
          </w:tcPr>
          <w:p>
            <w:pPr>
              <w:spacing w:after="0"/>
              <w:rPr>
                <w:sz w:val="14"/>
                <w:szCs w:val="14"/>
                <w:color w:val="auto"/>
              </w:rPr>
            </w:pPr>
          </w:p>
        </w:tc>
      </w:tr>
      <w:tr>
        <w:trPr>
          <w:trHeight w:val="162"/>
        </w:trPr>
        <w:tc>
          <w:tcPr>
            <w:tcW w:w="7440" w:type="dxa"/>
            <w:vAlign w:val="bottom"/>
          </w:tcPr>
          <w:p>
            <w:pPr>
              <w:ind w:left="280"/>
              <w:spacing w:after="0"/>
              <w:rPr>
                <w:sz w:val="20"/>
                <w:szCs w:val="20"/>
                <w:color w:val="auto"/>
              </w:rPr>
            </w:pPr>
            <w:r>
              <w:rPr>
                <w:rFonts w:ascii="Arial" w:cs="Arial" w:eastAsia="Arial" w:hAnsi="Arial"/>
                <w:sz w:val="14"/>
                <w:szCs w:val="14"/>
                <w:color w:val="auto"/>
              </w:rPr>
              <w:t>Proposals and Voting Recommendations</w:t>
            </w:r>
          </w:p>
        </w:tc>
        <w:tc>
          <w:tcPr>
            <w:tcW w:w="3800" w:type="dxa"/>
            <w:vAlign w:val="bottom"/>
          </w:tcPr>
          <w:p>
            <w:pPr>
              <w:spacing w:after="0"/>
              <w:rPr>
                <w:sz w:val="14"/>
                <w:szCs w:val="14"/>
                <w:color w:val="auto"/>
              </w:rPr>
            </w:pPr>
          </w:p>
        </w:tc>
      </w:tr>
      <w:tr>
        <w:trPr>
          <w:trHeight w:val="162"/>
        </w:trPr>
        <w:tc>
          <w:tcPr>
            <w:tcW w:w="7440" w:type="dxa"/>
            <w:vAlign w:val="bottom"/>
          </w:tcPr>
          <w:p>
            <w:pPr>
              <w:ind w:left="280"/>
              <w:spacing w:after="0"/>
              <w:rPr>
                <w:sz w:val="20"/>
                <w:szCs w:val="20"/>
                <w:color w:val="auto"/>
              </w:rPr>
            </w:pPr>
            <w:r>
              <w:rPr>
                <w:rFonts w:ascii="Arial" w:cs="Arial" w:eastAsia="Arial" w:hAnsi="Arial"/>
                <w:sz w:val="14"/>
                <w:szCs w:val="14"/>
                <w:color w:val="auto"/>
              </w:rPr>
              <w:t>Summary Information Regarding our Directors</w:t>
            </w:r>
          </w:p>
        </w:tc>
        <w:tc>
          <w:tcPr>
            <w:tcW w:w="3800" w:type="dxa"/>
            <w:vAlign w:val="bottom"/>
          </w:tcPr>
          <w:p>
            <w:pPr>
              <w:spacing w:after="0"/>
              <w:rPr>
                <w:sz w:val="14"/>
                <w:szCs w:val="14"/>
                <w:color w:val="auto"/>
              </w:rPr>
            </w:pPr>
          </w:p>
        </w:tc>
      </w:tr>
      <w:tr>
        <w:trPr>
          <w:trHeight w:val="162"/>
        </w:trPr>
        <w:tc>
          <w:tcPr>
            <w:tcW w:w="7440" w:type="dxa"/>
            <w:vAlign w:val="bottom"/>
          </w:tcPr>
          <w:p>
            <w:pPr>
              <w:ind w:left="280"/>
              <w:spacing w:after="0"/>
              <w:rPr>
                <w:sz w:val="20"/>
                <w:szCs w:val="20"/>
                <w:color w:val="auto"/>
              </w:rPr>
            </w:pPr>
            <w:r>
              <w:rPr>
                <w:rFonts w:ascii="Arial" w:cs="Arial" w:eastAsia="Arial" w:hAnsi="Arial"/>
                <w:sz w:val="14"/>
                <w:szCs w:val="14"/>
                <w:color w:val="auto"/>
              </w:rPr>
              <w:t>Director Key Requirements, Skills and Experience Highlights</w:t>
            </w:r>
          </w:p>
        </w:tc>
        <w:tc>
          <w:tcPr>
            <w:tcW w:w="3800" w:type="dxa"/>
            <w:vAlign w:val="bottom"/>
          </w:tcPr>
          <w:p>
            <w:pPr>
              <w:spacing w:after="0"/>
              <w:rPr>
                <w:sz w:val="14"/>
                <w:szCs w:val="14"/>
                <w:color w:val="auto"/>
              </w:rPr>
            </w:pPr>
          </w:p>
        </w:tc>
      </w:tr>
      <w:tr>
        <w:trPr>
          <w:trHeight w:val="162"/>
        </w:trPr>
        <w:tc>
          <w:tcPr>
            <w:tcW w:w="7440" w:type="dxa"/>
            <w:vAlign w:val="bottom"/>
          </w:tcPr>
          <w:p>
            <w:pPr>
              <w:ind w:left="280"/>
              <w:spacing w:after="0"/>
              <w:rPr>
                <w:sz w:val="20"/>
                <w:szCs w:val="20"/>
                <w:color w:val="auto"/>
              </w:rPr>
            </w:pPr>
            <w:r>
              <w:rPr>
                <w:rFonts w:ascii="Arial" w:cs="Arial" w:eastAsia="Arial" w:hAnsi="Arial"/>
                <w:sz w:val="14"/>
                <w:szCs w:val="14"/>
                <w:color w:val="auto"/>
              </w:rPr>
              <w:t>Director Demographic Highlights</w:t>
            </w:r>
          </w:p>
        </w:tc>
        <w:tc>
          <w:tcPr>
            <w:tcW w:w="3800" w:type="dxa"/>
            <w:vAlign w:val="bottom"/>
          </w:tcPr>
          <w:p>
            <w:pPr>
              <w:spacing w:after="0"/>
              <w:rPr>
                <w:sz w:val="14"/>
                <w:szCs w:val="14"/>
                <w:color w:val="auto"/>
              </w:rPr>
            </w:pPr>
          </w:p>
        </w:tc>
      </w:tr>
      <w:tr>
        <w:trPr>
          <w:trHeight w:val="162"/>
        </w:trPr>
        <w:tc>
          <w:tcPr>
            <w:tcW w:w="7440" w:type="dxa"/>
            <w:vAlign w:val="bottom"/>
          </w:tcPr>
          <w:p>
            <w:pPr>
              <w:ind w:left="280"/>
              <w:spacing w:after="0"/>
              <w:rPr>
                <w:sz w:val="20"/>
                <w:szCs w:val="20"/>
                <w:color w:val="auto"/>
              </w:rPr>
            </w:pPr>
            <w:r>
              <w:rPr>
                <w:rFonts w:ascii="Arial" w:cs="Arial" w:eastAsia="Arial" w:hAnsi="Arial"/>
                <w:sz w:val="14"/>
                <w:szCs w:val="14"/>
                <w:color w:val="auto"/>
              </w:rPr>
              <w:t>Corporate Governance Highlights</w:t>
            </w:r>
          </w:p>
        </w:tc>
        <w:tc>
          <w:tcPr>
            <w:tcW w:w="3800" w:type="dxa"/>
            <w:vAlign w:val="bottom"/>
          </w:tcPr>
          <w:p>
            <w:pPr>
              <w:spacing w:after="0"/>
              <w:rPr>
                <w:sz w:val="14"/>
                <w:szCs w:val="14"/>
                <w:color w:val="auto"/>
              </w:rPr>
            </w:pPr>
          </w:p>
        </w:tc>
      </w:tr>
      <w:tr>
        <w:trPr>
          <w:trHeight w:val="162"/>
        </w:trPr>
        <w:tc>
          <w:tcPr>
            <w:tcW w:w="7440" w:type="dxa"/>
            <w:vAlign w:val="bottom"/>
          </w:tcPr>
          <w:p>
            <w:pPr>
              <w:ind w:left="280"/>
              <w:spacing w:after="0"/>
              <w:rPr>
                <w:sz w:val="20"/>
                <w:szCs w:val="20"/>
                <w:color w:val="auto"/>
              </w:rPr>
            </w:pPr>
            <w:r>
              <w:rPr>
                <w:rFonts w:ascii="Arial" w:cs="Arial" w:eastAsia="Arial" w:hAnsi="Arial"/>
                <w:sz w:val="14"/>
                <w:szCs w:val="14"/>
                <w:color w:val="auto"/>
              </w:rPr>
              <w:t>Executive Compensation Highlights</w:t>
            </w:r>
          </w:p>
        </w:tc>
        <w:tc>
          <w:tcPr>
            <w:tcW w:w="3800" w:type="dxa"/>
            <w:vAlign w:val="bottom"/>
          </w:tcPr>
          <w:p>
            <w:pPr>
              <w:spacing w:after="0"/>
              <w:rPr>
                <w:sz w:val="14"/>
                <w:szCs w:val="14"/>
                <w:color w:val="auto"/>
              </w:rPr>
            </w:pPr>
          </w:p>
        </w:tc>
      </w:tr>
      <w:tr>
        <w:trPr>
          <w:trHeight w:val="171"/>
        </w:trPr>
        <w:tc>
          <w:tcPr>
            <w:tcW w:w="7440" w:type="dxa"/>
            <w:vAlign w:val="bottom"/>
          </w:tcPr>
          <w:p>
            <w:pPr>
              <w:ind w:left="280"/>
              <w:spacing w:after="0"/>
              <w:rPr>
                <w:sz w:val="20"/>
                <w:szCs w:val="20"/>
                <w:color w:val="auto"/>
              </w:rPr>
            </w:pPr>
            <w:r>
              <w:rPr>
                <w:rFonts w:ascii="Arial" w:cs="Arial" w:eastAsia="Arial" w:hAnsi="Arial"/>
                <w:sz w:val="14"/>
                <w:szCs w:val="14"/>
                <w:color w:val="auto"/>
              </w:rPr>
              <w:t>Sustainability Highlights</w:t>
            </w:r>
          </w:p>
        </w:tc>
        <w:tc>
          <w:tcPr>
            <w:tcW w:w="3800" w:type="dxa"/>
            <w:vAlign w:val="bottom"/>
          </w:tcPr>
          <w:p>
            <w:pPr>
              <w:spacing w:after="0"/>
              <w:rPr>
                <w:sz w:val="14"/>
                <w:szCs w:val="14"/>
                <w:color w:val="auto"/>
              </w:rPr>
            </w:pPr>
          </w:p>
        </w:tc>
      </w:tr>
      <w:tr>
        <w:trPr>
          <w:trHeight w:val="189"/>
        </w:trPr>
        <w:tc>
          <w:tcPr>
            <w:tcW w:w="744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Stock Ownership</w:t>
            </w:r>
          </w:p>
        </w:tc>
        <w:tc>
          <w:tcPr>
            <w:tcW w:w="3800" w:type="dxa"/>
            <w:vAlign w:val="bottom"/>
            <w:shd w:val="clear" w:color="auto" w:fill="2D53A6"/>
          </w:tcPr>
          <w:p>
            <w:pPr>
              <w:ind w:left="2900"/>
              <w:spacing w:after="0"/>
              <w:rPr>
                <w:sz w:val="20"/>
                <w:szCs w:val="20"/>
                <w:color w:val="auto"/>
              </w:rPr>
            </w:pPr>
            <w:r>
              <w:rPr>
                <w:rFonts w:ascii="Arial" w:cs="Arial" w:eastAsia="Arial" w:hAnsi="Arial"/>
                <w:sz w:val="16"/>
                <w:szCs w:val="16"/>
                <w:b w:val="1"/>
                <w:bCs w:val="1"/>
                <w:color w:val="FFFFFF"/>
              </w:rPr>
              <w:t>Page 11</w:t>
            </w:r>
          </w:p>
        </w:tc>
      </w:tr>
      <w:tr>
        <w:trPr>
          <w:trHeight w:val="153"/>
        </w:trPr>
        <w:tc>
          <w:tcPr>
            <w:tcW w:w="7440" w:type="dxa"/>
            <w:vAlign w:val="bottom"/>
          </w:tcPr>
          <w:p>
            <w:pPr>
              <w:ind w:left="280"/>
              <w:spacing w:after="0" w:line="153" w:lineRule="exact"/>
              <w:rPr>
                <w:sz w:val="20"/>
                <w:szCs w:val="20"/>
                <w:color w:val="auto"/>
              </w:rPr>
            </w:pPr>
            <w:r>
              <w:rPr>
                <w:rFonts w:ascii="Arial" w:cs="Arial" w:eastAsia="Arial" w:hAnsi="Arial"/>
                <w:sz w:val="14"/>
                <w:szCs w:val="14"/>
                <w:color w:val="auto"/>
              </w:rPr>
              <w:t>Security Ownership of Certain Beneficial Owners and Management</w:t>
            </w:r>
          </w:p>
        </w:tc>
        <w:tc>
          <w:tcPr>
            <w:tcW w:w="3800" w:type="dxa"/>
            <w:vAlign w:val="bottom"/>
          </w:tcPr>
          <w:p>
            <w:pPr>
              <w:spacing w:after="0"/>
              <w:rPr>
                <w:sz w:val="13"/>
                <w:szCs w:val="13"/>
                <w:color w:val="auto"/>
              </w:rPr>
            </w:pPr>
          </w:p>
        </w:tc>
      </w:tr>
      <w:tr>
        <w:trPr>
          <w:trHeight w:val="171"/>
        </w:trPr>
        <w:tc>
          <w:tcPr>
            <w:tcW w:w="7440" w:type="dxa"/>
            <w:vAlign w:val="bottom"/>
          </w:tcPr>
          <w:p>
            <w:pPr>
              <w:ind w:left="280"/>
              <w:spacing w:after="0"/>
              <w:rPr>
                <w:sz w:val="20"/>
                <w:szCs w:val="20"/>
                <w:color w:val="auto"/>
              </w:rPr>
            </w:pPr>
            <w:r>
              <w:rPr>
                <w:rFonts w:ascii="Arial" w:cs="Arial" w:eastAsia="Arial" w:hAnsi="Arial"/>
                <w:sz w:val="14"/>
                <w:szCs w:val="14"/>
                <w:color w:val="auto"/>
              </w:rPr>
              <w:t>Delinquent Section 16(a) Reports</w:t>
            </w:r>
          </w:p>
        </w:tc>
        <w:tc>
          <w:tcPr>
            <w:tcW w:w="3800" w:type="dxa"/>
            <w:vAlign w:val="bottom"/>
          </w:tcPr>
          <w:p>
            <w:pPr>
              <w:spacing w:after="0"/>
              <w:rPr>
                <w:sz w:val="14"/>
                <w:szCs w:val="14"/>
                <w:color w:val="auto"/>
              </w:rPr>
            </w:pPr>
          </w:p>
        </w:tc>
      </w:tr>
      <w:tr>
        <w:trPr>
          <w:trHeight w:val="189"/>
        </w:trPr>
        <w:tc>
          <w:tcPr>
            <w:tcW w:w="744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Governance Matters</w:t>
            </w:r>
          </w:p>
        </w:tc>
        <w:tc>
          <w:tcPr>
            <w:tcW w:w="3800" w:type="dxa"/>
            <w:vAlign w:val="bottom"/>
            <w:shd w:val="clear" w:color="auto" w:fill="2D53A6"/>
          </w:tcPr>
          <w:p>
            <w:pPr>
              <w:ind w:left="2900"/>
              <w:spacing w:after="0"/>
              <w:rPr>
                <w:sz w:val="20"/>
                <w:szCs w:val="20"/>
                <w:color w:val="auto"/>
              </w:rPr>
            </w:pPr>
            <w:r>
              <w:rPr>
                <w:rFonts w:ascii="Arial" w:cs="Arial" w:eastAsia="Arial" w:hAnsi="Arial"/>
                <w:sz w:val="16"/>
                <w:szCs w:val="16"/>
                <w:b w:val="1"/>
                <w:bCs w:val="1"/>
                <w:color w:val="FFFFFF"/>
              </w:rPr>
              <w:t>Page 12</w:t>
            </w:r>
          </w:p>
        </w:tc>
      </w:tr>
      <w:tr>
        <w:trPr>
          <w:trHeight w:val="153"/>
        </w:trPr>
        <w:tc>
          <w:tcPr>
            <w:tcW w:w="7440" w:type="dxa"/>
            <w:vAlign w:val="bottom"/>
          </w:tcPr>
          <w:p>
            <w:pPr>
              <w:ind w:left="280"/>
              <w:spacing w:after="0" w:line="153" w:lineRule="exact"/>
              <w:rPr>
                <w:sz w:val="20"/>
                <w:szCs w:val="20"/>
                <w:color w:val="auto"/>
              </w:rPr>
            </w:pPr>
            <w:r>
              <w:rPr>
                <w:rFonts w:ascii="Arial" w:cs="Arial" w:eastAsia="Arial" w:hAnsi="Arial"/>
                <w:sz w:val="14"/>
                <w:szCs w:val="14"/>
                <w:color w:val="auto"/>
              </w:rPr>
              <w:t>Corporate Governance</w:t>
            </w:r>
          </w:p>
        </w:tc>
        <w:tc>
          <w:tcPr>
            <w:tcW w:w="3800" w:type="dxa"/>
            <w:vAlign w:val="bottom"/>
          </w:tcPr>
          <w:p>
            <w:pPr>
              <w:spacing w:after="0"/>
              <w:rPr>
                <w:sz w:val="13"/>
                <w:szCs w:val="13"/>
                <w:color w:val="auto"/>
              </w:rPr>
            </w:pPr>
          </w:p>
        </w:tc>
      </w:tr>
      <w:tr>
        <w:trPr>
          <w:trHeight w:val="162"/>
        </w:trPr>
        <w:tc>
          <w:tcPr>
            <w:tcW w:w="7440" w:type="dxa"/>
            <w:vAlign w:val="bottom"/>
          </w:tcPr>
          <w:p>
            <w:pPr>
              <w:ind w:left="280"/>
              <w:spacing w:after="0"/>
              <w:rPr>
                <w:sz w:val="20"/>
                <w:szCs w:val="20"/>
                <w:color w:val="auto"/>
              </w:rPr>
            </w:pPr>
            <w:r>
              <w:rPr>
                <w:rFonts w:ascii="Arial" w:cs="Arial" w:eastAsia="Arial" w:hAnsi="Arial"/>
                <w:sz w:val="14"/>
                <w:szCs w:val="14"/>
                <w:color w:val="auto"/>
              </w:rPr>
              <w:t>Board of Directors and Committees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Director Independence</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Board Structure and Committee Composition</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Audit Committee</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Compensation Committee</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Nominating and Governance Committee</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Board Leadership Structure</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Risk Oversight</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Stockholder Nominees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Director Qualifications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Identifying and Evaluating Nominees for Directors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Executive Sessions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Communications with the Board</w:t>
            </w:r>
          </w:p>
        </w:tc>
        <w:tc>
          <w:tcPr>
            <w:tcW w:w="3800" w:type="dxa"/>
            <w:vAlign w:val="bottom"/>
          </w:tcPr>
          <w:p>
            <w:pPr>
              <w:spacing w:after="0"/>
              <w:rPr>
                <w:sz w:val="14"/>
                <w:szCs w:val="14"/>
                <w:color w:val="auto"/>
              </w:rPr>
            </w:pPr>
          </w:p>
        </w:tc>
      </w:tr>
      <w:tr>
        <w:trPr>
          <w:trHeight w:val="171"/>
        </w:trPr>
        <w:tc>
          <w:tcPr>
            <w:tcW w:w="7440" w:type="dxa"/>
            <w:vAlign w:val="bottom"/>
          </w:tcPr>
          <w:p>
            <w:pPr>
              <w:ind w:left="420"/>
              <w:spacing w:after="0"/>
              <w:rPr>
                <w:sz w:val="20"/>
                <w:szCs w:val="20"/>
                <w:color w:val="auto"/>
              </w:rPr>
            </w:pPr>
            <w:r>
              <w:rPr>
                <w:rFonts w:ascii="Arial" w:cs="Arial" w:eastAsia="Arial" w:hAnsi="Arial"/>
                <w:sz w:val="14"/>
                <w:szCs w:val="14"/>
                <w:color w:val="auto"/>
              </w:rPr>
              <w:t>Compensation of Directors</w:t>
            </w:r>
          </w:p>
        </w:tc>
        <w:tc>
          <w:tcPr>
            <w:tcW w:w="3800" w:type="dxa"/>
            <w:vAlign w:val="bottom"/>
          </w:tcPr>
          <w:p>
            <w:pPr>
              <w:spacing w:after="0"/>
              <w:rPr>
                <w:sz w:val="14"/>
                <w:szCs w:val="14"/>
                <w:color w:val="auto"/>
              </w:rPr>
            </w:pPr>
          </w:p>
        </w:tc>
      </w:tr>
      <w:tr>
        <w:trPr>
          <w:trHeight w:val="189"/>
        </w:trPr>
        <w:tc>
          <w:tcPr>
            <w:tcW w:w="744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Compensation Matters</w:t>
            </w:r>
          </w:p>
        </w:tc>
        <w:tc>
          <w:tcPr>
            <w:tcW w:w="3800" w:type="dxa"/>
            <w:vAlign w:val="bottom"/>
            <w:shd w:val="clear" w:color="auto" w:fill="2D53A6"/>
          </w:tcPr>
          <w:p>
            <w:pPr>
              <w:ind w:left="2900"/>
              <w:spacing w:after="0"/>
              <w:rPr>
                <w:sz w:val="20"/>
                <w:szCs w:val="20"/>
                <w:color w:val="auto"/>
              </w:rPr>
            </w:pPr>
            <w:r>
              <w:rPr>
                <w:rFonts w:ascii="Arial" w:cs="Arial" w:eastAsia="Arial" w:hAnsi="Arial"/>
                <w:sz w:val="16"/>
                <w:szCs w:val="16"/>
                <w:b w:val="1"/>
                <w:bCs w:val="1"/>
                <w:color w:val="FFFFFF"/>
              </w:rPr>
              <w:t>Page 20</w:t>
            </w:r>
          </w:p>
        </w:tc>
      </w:tr>
      <w:tr>
        <w:trPr>
          <w:trHeight w:val="153"/>
        </w:trPr>
        <w:tc>
          <w:tcPr>
            <w:tcW w:w="7440" w:type="dxa"/>
            <w:vAlign w:val="bottom"/>
          </w:tcPr>
          <w:p>
            <w:pPr>
              <w:ind w:left="280"/>
              <w:spacing w:after="0" w:line="153" w:lineRule="exact"/>
              <w:rPr>
                <w:sz w:val="20"/>
                <w:szCs w:val="20"/>
                <w:color w:val="auto"/>
              </w:rPr>
            </w:pPr>
            <w:r>
              <w:rPr>
                <w:rFonts w:ascii="Arial" w:cs="Arial" w:eastAsia="Arial" w:hAnsi="Arial"/>
                <w:sz w:val="14"/>
                <w:szCs w:val="14"/>
                <w:color w:val="auto"/>
              </w:rPr>
              <w:t>Executive Compensation and Other Information</w:t>
            </w:r>
          </w:p>
        </w:tc>
        <w:tc>
          <w:tcPr>
            <w:tcW w:w="3800" w:type="dxa"/>
            <w:vAlign w:val="bottom"/>
          </w:tcPr>
          <w:p>
            <w:pPr>
              <w:spacing w:after="0"/>
              <w:rPr>
                <w:sz w:val="13"/>
                <w:szCs w:val="13"/>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Compensation Discussion and Analysis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Executive Summary</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Compensation Philosophy</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Compensation-Setting Process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Compensation Elements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Post-Employment Compensation</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Other Compensation Policies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Tax and Accounting Considerations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Compensation Committee Report</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Executive Compensation Tables</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Pay Versus Performance</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CEO Pay Ratio</w:t>
            </w:r>
          </w:p>
        </w:tc>
        <w:tc>
          <w:tcPr>
            <w:tcW w:w="3800" w:type="dxa"/>
            <w:vAlign w:val="bottom"/>
          </w:tcPr>
          <w:p>
            <w:pPr>
              <w:spacing w:after="0"/>
              <w:rPr>
                <w:sz w:val="14"/>
                <w:szCs w:val="14"/>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Equity Compensation Awards and Plan Information</w:t>
            </w:r>
          </w:p>
        </w:tc>
        <w:tc>
          <w:tcPr>
            <w:tcW w:w="3800" w:type="dxa"/>
            <w:vAlign w:val="bottom"/>
          </w:tcPr>
          <w:p>
            <w:pPr>
              <w:spacing w:after="0"/>
              <w:rPr>
                <w:sz w:val="14"/>
                <w:szCs w:val="14"/>
                <w:color w:val="auto"/>
              </w:rPr>
            </w:pPr>
          </w:p>
        </w:tc>
      </w:tr>
      <w:tr>
        <w:trPr>
          <w:trHeight w:val="171"/>
        </w:trPr>
        <w:tc>
          <w:tcPr>
            <w:tcW w:w="7440" w:type="dxa"/>
            <w:vAlign w:val="bottom"/>
          </w:tcPr>
          <w:p>
            <w:pPr>
              <w:ind w:left="420"/>
              <w:spacing w:after="0"/>
              <w:rPr>
                <w:sz w:val="20"/>
                <w:szCs w:val="20"/>
                <w:color w:val="auto"/>
              </w:rPr>
            </w:pPr>
            <w:r>
              <w:rPr>
                <w:rFonts w:ascii="Arial" w:cs="Arial" w:eastAsia="Arial" w:hAnsi="Arial"/>
                <w:sz w:val="14"/>
                <w:szCs w:val="14"/>
                <w:color w:val="auto"/>
              </w:rPr>
              <w:t>Potential Payments Upon Termination or Change in Control</w:t>
            </w:r>
          </w:p>
        </w:tc>
        <w:tc>
          <w:tcPr>
            <w:tcW w:w="3800" w:type="dxa"/>
            <w:vAlign w:val="bottom"/>
          </w:tcPr>
          <w:p>
            <w:pPr>
              <w:spacing w:after="0"/>
              <w:rPr>
                <w:sz w:val="14"/>
                <w:szCs w:val="14"/>
                <w:color w:val="auto"/>
              </w:rPr>
            </w:pPr>
          </w:p>
        </w:tc>
      </w:tr>
      <w:tr>
        <w:trPr>
          <w:trHeight w:val="189"/>
        </w:trPr>
        <w:tc>
          <w:tcPr>
            <w:tcW w:w="744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Audit Matters</w:t>
            </w:r>
          </w:p>
        </w:tc>
        <w:tc>
          <w:tcPr>
            <w:tcW w:w="3800" w:type="dxa"/>
            <w:vAlign w:val="bottom"/>
            <w:shd w:val="clear" w:color="auto" w:fill="2D53A6"/>
          </w:tcPr>
          <w:p>
            <w:pPr>
              <w:ind w:left="2900"/>
              <w:spacing w:after="0"/>
              <w:rPr>
                <w:sz w:val="20"/>
                <w:szCs w:val="20"/>
                <w:color w:val="auto"/>
              </w:rPr>
            </w:pPr>
            <w:r>
              <w:rPr>
                <w:rFonts w:ascii="Arial" w:cs="Arial" w:eastAsia="Arial" w:hAnsi="Arial"/>
                <w:sz w:val="16"/>
                <w:szCs w:val="16"/>
                <w:b w:val="1"/>
                <w:bCs w:val="1"/>
                <w:color w:val="FFFFFF"/>
              </w:rPr>
              <w:t>Page 51</w:t>
            </w:r>
          </w:p>
        </w:tc>
      </w:tr>
      <w:tr>
        <w:trPr>
          <w:trHeight w:val="153"/>
        </w:trPr>
        <w:tc>
          <w:tcPr>
            <w:tcW w:w="7440" w:type="dxa"/>
            <w:vAlign w:val="bottom"/>
          </w:tcPr>
          <w:p>
            <w:pPr>
              <w:ind w:left="280"/>
              <w:spacing w:after="0" w:line="153" w:lineRule="exact"/>
              <w:rPr>
                <w:sz w:val="20"/>
                <w:szCs w:val="20"/>
                <w:color w:val="auto"/>
              </w:rPr>
            </w:pPr>
            <w:r>
              <w:rPr>
                <w:rFonts w:ascii="Arial" w:cs="Arial" w:eastAsia="Arial" w:hAnsi="Arial"/>
                <w:sz w:val="14"/>
                <w:szCs w:val="14"/>
                <w:color w:val="auto"/>
              </w:rPr>
              <w:t>Audit Committee Report</w:t>
            </w:r>
          </w:p>
        </w:tc>
        <w:tc>
          <w:tcPr>
            <w:tcW w:w="3800" w:type="dxa"/>
            <w:vAlign w:val="bottom"/>
          </w:tcPr>
          <w:p>
            <w:pPr>
              <w:spacing w:after="0"/>
              <w:rPr>
                <w:sz w:val="13"/>
                <w:szCs w:val="13"/>
                <w:color w:val="auto"/>
              </w:rPr>
            </w:pPr>
          </w:p>
        </w:tc>
      </w:tr>
      <w:tr>
        <w:trPr>
          <w:trHeight w:val="162"/>
        </w:trPr>
        <w:tc>
          <w:tcPr>
            <w:tcW w:w="7440" w:type="dxa"/>
            <w:vAlign w:val="bottom"/>
          </w:tcPr>
          <w:p>
            <w:pPr>
              <w:ind w:left="420"/>
              <w:spacing w:after="0"/>
              <w:rPr>
                <w:sz w:val="20"/>
                <w:szCs w:val="20"/>
                <w:color w:val="auto"/>
              </w:rPr>
            </w:pPr>
            <w:r>
              <w:rPr>
                <w:rFonts w:ascii="Arial" w:cs="Arial" w:eastAsia="Arial" w:hAnsi="Arial"/>
                <w:sz w:val="14"/>
                <w:szCs w:val="14"/>
                <w:color w:val="auto"/>
              </w:rPr>
              <w:t>Principal Accounting Fees and Services</w:t>
            </w:r>
          </w:p>
        </w:tc>
        <w:tc>
          <w:tcPr>
            <w:tcW w:w="3800" w:type="dxa"/>
            <w:vAlign w:val="bottom"/>
          </w:tcPr>
          <w:p>
            <w:pPr>
              <w:spacing w:after="0"/>
              <w:rPr>
                <w:sz w:val="14"/>
                <w:szCs w:val="14"/>
                <w:color w:val="auto"/>
              </w:rPr>
            </w:pPr>
          </w:p>
        </w:tc>
      </w:tr>
      <w:tr>
        <w:trPr>
          <w:trHeight w:val="171"/>
        </w:trPr>
        <w:tc>
          <w:tcPr>
            <w:tcW w:w="7440" w:type="dxa"/>
            <w:vAlign w:val="bottom"/>
          </w:tcPr>
          <w:p>
            <w:pPr>
              <w:ind w:left="420"/>
              <w:spacing w:after="0"/>
              <w:rPr>
                <w:sz w:val="20"/>
                <w:szCs w:val="20"/>
                <w:color w:val="auto"/>
              </w:rPr>
            </w:pPr>
            <w:r>
              <w:rPr>
                <w:rFonts w:ascii="Arial" w:cs="Arial" w:eastAsia="Arial" w:hAnsi="Arial"/>
                <w:sz w:val="14"/>
                <w:szCs w:val="14"/>
                <w:color w:val="auto"/>
              </w:rPr>
              <w:t>Certain Relationships and Related Party Transactions</w:t>
            </w:r>
          </w:p>
        </w:tc>
        <w:tc>
          <w:tcPr>
            <w:tcW w:w="3800" w:type="dxa"/>
            <w:vAlign w:val="bottom"/>
          </w:tcPr>
          <w:p>
            <w:pPr>
              <w:spacing w:after="0"/>
              <w:rPr>
                <w:sz w:val="14"/>
                <w:szCs w:val="14"/>
                <w:color w:val="auto"/>
              </w:rPr>
            </w:pPr>
          </w:p>
        </w:tc>
      </w:tr>
      <w:tr>
        <w:trPr>
          <w:trHeight w:val="189"/>
        </w:trPr>
        <w:tc>
          <w:tcPr>
            <w:tcW w:w="744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Voting Proposals</w:t>
            </w:r>
          </w:p>
        </w:tc>
        <w:tc>
          <w:tcPr>
            <w:tcW w:w="3800" w:type="dxa"/>
            <w:vAlign w:val="bottom"/>
            <w:shd w:val="clear" w:color="auto" w:fill="2D53A6"/>
          </w:tcPr>
          <w:p>
            <w:pPr>
              <w:ind w:left="2900"/>
              <w:spacing w:after="0"/>
              <w:rPr>
                <w:sz w:val="20"/>
                <w:szCs w:val="20"/>
                <w:color w:val="auto"/>
              </w:rPr>
            </w:pPr>
            <w:r>
              <w:rPr>
                <w:rFonts w:ascii="Arial" w:cs="Arial" w:eastAsia="Arial" w:hAnsi="Arial"/>
                <w:sz w:val="16"/>
                <w:szCs w:val="16"/>
                <w:b w:val="1"/>
                <w:bCs w:val="1"/>
                <w:color w:val="FFFFFF"/>
              </w:rPr>
              <w:t>Page 55</w:t>
            </w:r>
          </w:p>
        </w:tc>
      </w:tr>
    </w:tbl>
    <w:p>
      <w:pPr>
        <w:ind w:left="280"/>
        <w:spacing w:after="0"/>
        <w:rPr>
          <w:sz w:val="20"/>
          <w:szCs w:val="20"/>
          <w:color w:val="auto"/>
        </w:rPr>
      </w:pPr>
      <w:r>
        <w:rPr>
          <w:rFonts w:ascii="Arial" w:cs="Arial" w:eastAsia="Arial" w:hAnsi="Arial"/>
          <w:sz w:val="14"/>
          <w:szCs w:val="14"/>
          <w:color w:val="auto"/>
        </w:rPr>
        <w:t>Proposal No. 1: Election of Directors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Proposal No. 2: Advisory vote to approve Named Executive Officer Compensation</w:t>
      </w:r>
    </w:p>
    <w:p>
      <w:pPr>
        <w:spacing w:after="0" w:line="1" w:lineRule="exact"/>
        <w:rPr>
          <w:sz w:val="20"/>
          <w:szCs w:val="20"/>
          <w:color w:val="auto"/>
        </w:rPr>
      </w:pPr>
    </w:p>
    <w:p>
      <w:pPr>
        <w:ind w:right="1000" w:firstLine="270"/>
        <w:spacing w:after="0" w:line="241" w:lineRule="auto"/>
        <w:rPr>
          <w:sz w:val="20"/>
          <w:szCs w:val="20"/>
          <w:color w:val="auto"/>
        </w:rPr>
      </w:pPr>
      <w:r>
        <w:rPr>
          <w:rFonts w:ascii="Arial" w:cs="Arial" w:eastAsia="Arial" w:hAnsi="Arial"/>
          <w:sz w:val="14"/>
          <w:szCs w:val="14"/>
          <w:color w:val="auto"/>
        </w:rPr>
        <w:t>Proposal No. 3: Approve an amendment to our Amended and Restated Certificate of Incorporation to Increase the Number of Authorized Shares of Common Stock</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Proposal No. 4: Approve Cohu Inc.’s 2026 Equity Incentive Plan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Proposal No. 5: Approve the Amended and Restated Cohu Inc.’s 1997 Employee Stock Purchase Plan</w:t>
      </w:r>
    </w:p>
    <w:p>
      <w:pPr>
        <w:ind w:left="280"/>
        <w:spacing w:after="0" w:line="235" w:lineRule="auto"/>
        <w:rPr>
          <w:sz w:val="20"/>
          <w:szCs w:val="20"/>
          <w:color w:val="auto"/>
        </w:rPr>
      </w:pPr>
      <w:r>
        <w:rPr>
          <w:rFonts w:ascii="Arial" w:cs="Arial" w:eastAsia="Arial" w:hAnsi="Arial"/>
          <w:sz w:val="14"/>
          <w:szCs w:val="14"/>
          <w:color w:val="auto"/>
        </w:rPr>
        <w:t>Proposal No. 6: Ratification of Independent Registered Public Accounting Firm</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34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Voting and Meeting Information</w:t>
            </w:r>
          </w:p>
        </w:tc>
        <w:tc>
          <w:tcPr>
            <w:tcW w:w="90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Page 77</w:t>
            </w:r>
          </w:p>
        </w:tc>
      </w:tr>
      <w:tr>
        <w:trPr>
          <w:trHeight w:val="162"/>
        </w:trPr>
        <w:tc>
          <w:tcPr>
            <w:tcW w:w="10340" w:type="dxa"/>
            <w:vAlign w:val="bottom"/>
          </w:tcPr>
          <w:p>
            <w:pPr>
              <w:spacing w:after="0"/>
              <w:rPr>
                <w:sz w:val="20"/>
                <w:szCs w:val="20"/>
                <w:color w:val="auto"/>
              </w:rPr>
            </w:pPr>
            <w:r>
              <w:rPr>
                <w:rFonts w:ascii="Arial" w:cs="Arial" w:eastAsia="Arial" w:hAnsi="Arial"/>
                <w:sz w:val="14"/>
                <w:szCs w:val="14"/>
                <w:color w:val="auto"/>
              </w:rPr>
              <w:t>General Information</w:t>
            </w:r>
          </w:p>
        </w:tc>
        <w:tc>
          <w:tcPr>
            <w:tcW w:w="900" w:type="dxa"/>
            <w:vAlign w:val="bottom"/>
          </w:tcPr>
          <w:p>
            <w:pPr>
              <w:spacing w:after="0"/>
              <w:rPr>
                <w:sz w:val="14"/>
                <w:szCs w:val="14"/>
                <w:color w:val="auto"/>
              </w:rPr>
            </w:pPr>
          </w:p>
        </w:tc>
      </w:tr>
      <w:tr>
        <w:trPr>
          <w:trHeight w:val="189"/>
        </w:trPr>
        <w:tc>
          <w:tcPr>
            <w:tcW w:w="1034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Appendices</w:t>
            </w:r>
          </w:p>
        </w:tc>
        <w:tc>
          <w:tcPr>
            <w:tcW w:w="90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Page 81</w:t>
            </w:r>
          </w:p>
        </w:tc>
      </w:tr>
      <w:tr>
        <w:trPr>
          <w:trHeight w:val="162"/>
        </w:trPr>
        <w:tc>
          <w:tcPr>
            <w:tcW w:w="10340" w:type="dxa"/>
            <w:vAlign w:val="bottom"/>
            <w:shd w:val="clear" w:color="auto" w:fill="2D53A6"/>
          </w:tcPr>
          <w:p>
            <w:pPr>
              <w:spacing w:after="0"/>
              <w:rPr>
                <w:sz w:val="14"/>
                <w:szCs w:val="14"/>
                <w:color w:val="auto"/>
              </w:rPr>
            </w:pPr>
          </w:p>
        </w:tc>
        <w:tc>
          <w:tcPr>
            <w:tcW w:w="900" w:type="dxa"/>
            <w:vAlign w:val="bottom"/>
            <w:shd w:val="clear" w:color="auto" w:fill="2D53A6"/>
          </w:tcPr>
          <w:p>
            <w:pPr>
              <w:spacing w:after="0"/>
              <w:rPr>
                <w:sz w:val="14"/>
                <w:szCs w:val="14"/>
                <w:color w:val="auto"/>
              </w:rPr>
            </w:pPr>
          </w:p>
        </w:tc>
      </w:tr>
      <w:tr>
        <w:trPr>
          <w:trHeight w:val="560"/>
        </w:trPr>
        <w:tc>
          <w:tcPr>
            <w:tcW w:w="10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To assist you in reviewing the proposals to be acted upon at the annual meeting, we call your attention to the following summarized information about Cohu, the proposals and voting recommendations, our directors, highlights of the directors’ key qualifications, skills and experiences, board composition, corporate governance, executive compensation, and corporate sustainability matters. For more information about these topics, please review the complete proxy statement before voting. We also encourage you to read our latest annual report on Form 10-K, which is available at www.cohu.com and our latest corporate sustainability report, which is available at </w:t>
      </w:r>
      <w:r>
        <w:rPr>
          <w:rFonts w:ascii="Arial" w:cs="Arial" w:eastAsia="Arial" w:hAnsi="Arial"/>
          <w:sz w:val="18"/>
          <w:szCs w:val="18"/>
          <w:u w:val="single" w:color="auto"/>
          <w:color w:val="0B5394"/>
        </w:rPr>
        <w:t>https://www.cohu.com/company-corporate-sustainability</w:t>
      </w:r>
      <w:r>
        <w:rPr>
          <w:rFonts w:ascii="Arial" w:cs="Arial" w:eastAsia="Arial" w:hAnsi="Arial"/>
          <w:sz w:val="18"/>
          <w:szCs w:val="18"/>
          <w:color w:val="000000"/>
        </w:rPr>
        <w:t>. The content of any website or report referred to in this proxy statement is not a part</w:t>
      </w:r>
      <w:r>
        <w:rPr>
          <w:rFonts w:ascii="Arial" w:cs="Arial" w:eastAsia="Arial" w:hAnsi="Arial"/>
          <w:sz w:val="18"/>
          <w:szCs w:val="18"/>
          <w:color w:val="0B5394"/>
        </w:rPr>
        <w:t xml:space="preserve"> </w:t>
      </w:r>
      <w:r>
        <w:rPr>
          <w:rFonts w:ascii="Arial" w:cs="Arial" w:eastAsia="Arial" w:hAnsi="Arial"/>
          <w:sz w:val="18"/>
          <w:szCs w:val="18"/>
          <w:color w:val="000000"/>
        </w:rPr>
        <w:t>of nor incorporated by reference in this proxy statement unless expressly noted.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use the terms “Cohu,” the “Company,” “we,” “our,” and “us” in this proxy statement to refer to Cohu, Inc., a Delaware corporation. We also use the term “Board” to refer to the Company’s Board of Directors.</w:t>
      </w:r>
    </w:p>
    <w:p>
      <w:pPr>
        <w:spacing w:after="0" w:line="14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Forward-looking statements include any statements that are not statements of historical fact, including statements regarding our sustainability plans and goals. Forward-looking statements are subject to risks and uncertainties that could cause actual results to differ materially from the expectations expressed, including the risks and uncertainties described in our filings with the U.S. Securities and Exchange Commission (“SEC”), and specifically the Risk Factors described in our annual report on Form 10-K and our other filings with the SEC. You should not place undue reliance on forward-looking statements. We undertake no obligation to update any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About Cohu</w:t>
      </w:r>
    </w:p>
    <w:p>
      <w:pPr>
        <w:spacing w:after="0" w:line="218"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Cohu is a global supplier delivering test, automation, inspection &amp; metrology products, software analytics solutions and services to the semiconductor industry. Our differentiated and broad product portfolio enables optimized yield and productivity, accelerating customers’ manufacturing time-to-market.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110490</wp:posOffset>
            </wp:positionV>
            <wp:extent cx="531495"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495" cy="53149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222250</wp:posOffset>
            </wp:positionV>
            <wp:extent cx="522605"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2605" cy="3003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136525</wp:posOffset>
            </wp:positionV>
            <wp:extent cx="300355" cy="48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355" cy="48006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196215</wp:posOffset>
            </wp:positionV>
            <wp:extent cx="36004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161925</wp:posOffset>
            </wp:positionV>
            <wp:extent cx="360045"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0045" cy="4286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Test</w:t>
      </w:r>
    </w:p>
    <w:p>
      <w:pPr>
        <w:spacing w:after="0" w:line="14"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Automation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Inspection &amp;</w:t>
      </w:r>
    </w:p>
    <w:p>
      <w:pPr>
        <w:spacing w:after="0" w:line="25"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Metrology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color w:val="auto"/>
        </w:rPr>
        <w:t>Semiconductor</w:t>
      </w:r>
    </w:p>
    <w:p>
      <w:pPr>
        <w:spacing w:after="0" w:line="25"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Testers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254635</wp:posOffset>
            </wp:positionV>
            <wp:extent cx="3420110" cy="1937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0110" cy="1937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Interface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Analytics</w:t>
      </w:r>
    </w:p>
    <w:p>
      <w:pPr>
        <w:spacing w:after="0" w:line="211" w:lineRule="exact"/>
        <w:rPr>
          <w:sz w:val="20"/>
          <w:szCs w:val="20"/>
          <w:color w:val="auto"/>
        </w:rPr>
      </w:pPr>
    </w:p>
    <w:p>
      <w:pPr>
        <w:sectPr>
          <w:pgSz w:w="11900" w:h="16838" w:orient="portrait"/>
          <w:cols w:equalWidth="0" w:num="5">
            <w:col w:w="2380" w:space="720"/>
            <w:col w:w="1580" w:space="720"/>
            <w:col w:w="1940" w:space="720"/>
            <w:col w:w="1300" w:space="720"/>
            <w:col w:w="114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Cohu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219075</wp:posOffset>
            </wp:positionV>
            <wp:extent cx="428625"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150495</wp:posOffset>
            </wp:positionV>
            <wp:extent cx="419735" cy="557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9735" cy="55753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227330</wp:posOffset>
            </wp:positionV>
            <wp:extent cx="591820" cy="402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820" cy="4025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201930</wp:posOffset>
            </wp:positionV>
            <wp:extent cx="46291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2915" cy="4629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150495</wp:posOffset>
            </wp:positionV>
            <wp:extent cx="497205" cy="565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72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34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1947</w:t>
            </w:r>
          </w:p>
        </w:tc>
        <w:tc>
          <w:tcPr>
            <w:tcW w:w="2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San Diego, CA</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rPr>
              <w:t>2,800+</w:t>
            </w:r>
          </w:p>
        </w:tc>
        <w:tc>
          <w:tcPr>
            <w:tcW w:w="2220" w:type="dxa"/>
            <w:vAlign w:val="bottom"/>
          </w:tcPr>
          <w:p>
            <w:pPr>
              <w:jc w:val="center"/>
              <w:ind w:left="150"/>
              <w:spacing w:after="0"/>
              <w:rPr>
                <w:sz w:val="20"/>
                <w:szCs w:val="20"/>
                <w:color w:val="auto"/>
              </w:rPr>
            </w:pPr>
            <w:r>
              <w:rPr>
                <w:rFonts w:ascii="Arial" w:cs="Arial" w:eastAsia="Arial" w:hAnsi="Arial"/>
                <w:sz w:val="18"/>
                <w:szCs w:val="18"/>
                <w:b w:val="1"/>
                <w:bCs w:val="1"/>
                <w:color w:val="auto"/>
              </w:rPr>
              <w:t>25,000+</w:t>
            </w:r>
          </w:p>
        </w:tc>
        <w:tc>
          <w:tcPr>
            <w:tcW w:w="1900" w:type="dxa"/>
            <w:vAlign w:val="bottom"/>
          </w:tcPr>
          <w:p>
            <w:pPr>
              <w:jc w:val="right"/>
              <w:ind w:right="47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94"/>
        </w:trPr>
        <w:tc>
          <w:tcPr>
            <w:tcW w:w="1340" w:type="dxa"/>
            <w:vAlign w:val="bottom"/>
            <w:vMerge w:val="continue"/>
          </w:tcPr>
          <w:p>
            <w:pPr>
              <w:spacing w:after="0"/>
              <w:rPr>
                <w:sz w:val="8"/>
                <w:szCs w:val="8"/>
                <w:color w:val="auto"/>
              </w:rPr>
            </w:pPr>
          </w:p>
        </w:tc>
        <w:tc>
          <w:tcPr>
            <w:tcW w:w="2560" w:type="dxa"/>
            <w:vAlign w:val="bottom"/>
            <w:vMerge w:val="continue"/>
          </w:tcPr>
          <w:p>
            <w:pPr>
              <w:spacing w:after="0"/>
              <w:rPr>
                <w:sz w:val="8"/>
                <w:szCs w:val="8"/>
                <w:color w:val="auto"/>
              </w:rPr>
            </w:pPr>
          </w:p>
        </w:tc>
        <w:tc>
          <w:tcPr>
            <w:tcW w:w="2320" w:type="dxa"/>
            <w:vAlign w:val="bottom"/>
            <w:vMerge w:val="restart"/>
          </w:tcPr>
          <w:p>
            <w:pPr>
              <w:jc w:val="center"/>
              <w:spacing w:after="0" w:line="202" w:lineRule="exact"/>
              <w:rPr>
                <w:sz w:val="20"/>
                <w:szCs w:val="20"/>
                <w:color w:val="auto"/>
              </w:rPr>
            </w:pPr>
            <w:r>
              <w:rPr>
                <w:rFonts w:ascii="Arial" w:cs="Arial" w:eastAsia="Arial" w:hAnsi="Arial"/>
                <w:sz w:val="18"/>
                <w:szCs w:val="18"/>
                <w:color w:val="2D53A6"/>
                <w:w w:val="98"/>
              </w:rPr>
              <w:t>Employees</w:t>
            </w:r>
          </w:p>
        </w:tc>
        <w:tc>
          <w:tcPr>
            <w:tcW w:w="2220" w:type="dxa"/>
            <w:vAlign w:val="bottom"/>
            <w:vMerge w:val="restart"/>
          </w:tcPr>
          <w:p>
            <w:pPr>
              <w:jc w:val="center"/>
              <w:ind w:left="150"/>
              <w:spacing w:after="0" w:line="202" w:lineRule="exact"/>
              <w:rPr>
                <w:sz w:val="20"/>
                <w:szCs w:val="20"/>
                <w:color w:val="auto"/>
              </w:rPr>
            </w:pPr>
            <w:r>
              <w:rPr>
                <w:rFonts w:ascii="Arial" w:cs="Arial" w:eastAsia="Arial" w:hAnsi="Arial"/>
                <w:sz w:val="18"/>
                <w:szCs w:val="18"/>
                <w:color w:val="2D53A6"/>
                <w:w w:val="99"/>
              </w:rPr>
              <w:t>Equipment</w:t>
            </w:r>
          </w:p>
        </w:tc>
        <w:tc>
          <w:tcPr>
            <w:tcW w:w="1900" w:type="dxa"/>
            <w:vAlign w:val="bottom"/>
            <w:vMerge w:val="restart"/>
          </w:tcPr>
          <w:p>
            <w:pPr>
              <w:jc w:val="center"/>
              <w:ind w:left="330"/>
              <w:spacing w:after="0" w:line="202" w:lineRule="exact"/>
              <w:rPr>
                <w:sz w:val="20"/>
                <w:szCs w:val="20"/>
                <w:color w:val="auto"/>
              </w:rPr>
            </w:pPr>
            <w:r>
              <w:rPr>
                <w:rFonts w:ascii="Arial" w:cs="Arial" w:eastAsia="Arial" w:hAnsi="Arial"/>
                <w:sz w:val="18"/>
                <w:szCs w:val="18"/>
                <w:color w:val="2D53A6"/>
              </w:rPr>
              <w:t>R&amp;D % of Sales</w:t>
            </w:r>
            <w:r>
              <w:rPr>
                <w:rFonts w:ascii="Arial" w:cs="Arial" w:eastAsia="Arial" w:hAnsi="Arial"/>
                <w:sz w:val="14"/>
                <w:szCs w:val="14"/>
                <w:color w:val="2D53A6"/>
              </w:rPr>
              <w:t>(1)</w:t>
            </w:r>
          </w:p>
        </w:tc>
        <w:tc>
          <w:tcPr>
            <w:tcW w:w="0" w:type="dxa"/>
            <w:vAlign w:val="bottom"/>
          </w:tcPr>
          <w:p>
            <w:pPr>
              <w:spacing w:after="0"/>
              <w:rPr>
                <w:sz w:val="1"/>
                <w:szCs w:val="1"/>
                <w:color w:val="auto"/>
              </w:rPr>
            </w:pPr>
          </w:p>
        </w:tc>
      </w:tr>
      <w:tr>
        <w:trPr>
          <w:trHeight w:val="108"/>
        </w:trPr>
        <w:tc>
          <w:tcPr>
            <w:tcW w:w="1340" w:type="dxa"/>
            <w:vAlign w:val="bottom"/>
            <w:vMerge w:val="restart"/>
          </w:tcPr>
          <w:p>
            <w:pPr>
              <w:jc w:val="center"/>
              <w:ind w:right="550"/>
              <w:spacing w:after="0"/>
              <w:rPr>
                <w:sz w:val="20"/>
                <w:szCs w:val="20"/>
                <w:color w:val="auto"/>
              </w:rPr>
            </w:pPr>
            <w:r>
              <w:rPr>
                <w:rFonts w:ascii="Arial" w:cs="Arial" w:eastAsia="Arial" w:hAnsi="Arial"/>
                <w:sz w:val="18"/>
                <w:szCs w:val="18"/>
                <w:color w:val="2D53A6"/>
                <w:w w:val="98"/>
              </w:rPr>
              <w:t>Founded</w:t>
            </w:r>
          </w:p>
        </w:tc>
        <w:tc>
          <w:tcPr>
            <w:tcW w:w="2560" w:type="dxa"/>
            <w:vAlign w:val="bottom"/>
            <w:vMerge w:val="restart"/>
          </w:tcPr>
          <w:p>
            <w:pPr>
              <w:jc w:val="center"/>
              <w:spacing w:after="0"/>
              <w:rPr>
                <w:sz w:val="20"/>
                <w:szCs w:val="20"/>
                <w:color w:val="auto"/>
              </w:rPr>
            </w:pPr>
            <w:r>
              <w:rPr>
                <w:rFonts w:ascii="Arial" w:cs="Arial" w:eastAsia="Arial" w:hAnsi="Arial"/>
                <w:sz w:val="18"/>
                <w:szCs w:val="18"/>
                <w:color w:val="2D53A6"/>
              </w:rPr>
              <w:t>Headquarters</w:t>
            </w:r>
          </w:p>
        </w:tc>
        <w:tc>
          <w:tcPr>
            <w:tcW w:w="2320" w:type="dxa"/>
            <w:vAlign w:val="bottom"/>
            <w:vMerge w:val="continue"/>
          </w:tcPr>
          <w:p>
            <w:pPr>
              <w:spacing w:after="0"/>
              <w:rPr>
                <w:sz w:val="9"/>
                <w:szCs w:val="9"/>
                <w:color w:val="auto"/>
              </w:rPr>
            </w:pPr>
          </w:p>
        </w:tc>
        <w:tc>
          <w:tcPr>
            <w:tcW w:w="222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4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2320" w:type="dxa"/>
            <w:vAlign w:val="bottom"/>
            <w:vMerge w:val="restart"/>
          </w:tcPr>
          <w:p>
            <w:pPr>
              <w:jc w:val="center"/>
              <w:spacing w:after="0"/>
              <w:rPr>
                <w:sz w:val="20"/>
                <w:szCs w:val="20"/>
                <w:color w:val="auto"/>
              </w:rPr>
            </w:pPr>
            <w:r>
              <w:rPr>
                <w:rFonts w:ascii="Arial" w:cs="Arial" w:eastAsia="Arial" w:hAnsi="Arial"/>
                <w:sz w:val="18"/>
                <w:szCs w:val="18"/>
                <w:color w:val="2D53A6"/>
                <w:w w:val="99"/>
              </w:rPr>
              <w:t>(Worldwide)</w:t>
            </w:r>
          </w:p>
        </w:tc>
        <w:tc>
          <w:tcPr>
            <w:tcW w:w="2220" w:type="dxa"/>
            <w:vAlign w:val="bottom"/>
            <w:vMerge w:val="restart"/>
          </w:tcPr>
          <w:p>
            <w:pPr>
              <w:jc w:val="center"/>
              <w:ind w:left="150"/>
              <w:spacing w:after="0"/>
              <w:rPr>
                <w:sz w:val="20"/>
                <w:szCs w:val="20"/>
                <w:color w:val="auto"/>
              </w:rPr>
            </w:pPr>
            <w:r>
              <w:rPr>
                <w:rFonts w:ascii="Arial" w:cs="Arial" w:eastAsia="Arial" w:hAnsi="Arial"/>
                <w:sz w:val="18"/>
                <w:szCs w:val="18"/>
                <w:color w:val="2D53A6"/>
              </w:rPr>
              <w:t>Installed Base</w:t>
            </w: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222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Global Supplier of Equipment and Services in $3 billion</w:t>
      </w:r>
      <w:r>
        <w:rPr>
          <w:rFonts w:ascii="Arial" w:cs="Arial" w:eastAsia="Arial" w:hAnsi="Arial"/>
          <w:sz w:val="17"/>
          <w:szCs w:val="17"/>
          <w:b w:val="1"/>
          <w:bCs w:val="1"/>
          <w:color w:val="auto"/>
        </w:rPr>
        <w:t>(2)</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Semiconductor Equipment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126365</wp:posOffset>
            </wp:positionV>
            <wp:extent cx="5383530" cy="3591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8353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Cohu, Inc. Headquarters, San Diego, California</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fiscal year 2025.</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Estimated Cohu Serviceable Addressable Market (SAM), based on 2025 company estimates.</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Fiscal Year 2025 Financial Highlights</w:t>
      </w:r>
    </w:p>
    <w:p>
      <w:pPr>
        <w:spacing w:after="0" w:line="208"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Sales of $453.0 million grew 13% year-over-year</w:t>
      </w:r>
    </w:p>
    <w:p>
      <w:pPr>
        <w:spacing w:after="0" w:line="193"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Full year 2025 gross margin of 42.7%; non-GAAP gross margin of 43.3%</w:t>
      </w:r>
    </w:p>
    <w:p>
      <w:pPr>
        <w:spacing w:after="0" w:line="200" w:lineRule="exact"/>
        <w:rPr>
          <w:sz w:val="20"/>
          <w:szCs w:val="20"/>
          <w:color w:val="auto"/>
        </w:rPr>
      </w:pPr>
    </w:p>
    <w:p>
      <w:pPr>
        <w:spacing w:after="0" w:line="397" w:lineRule="exact"/>
        <w:rPr>
          <w:sz w:val="20"/>
          <w:szCs w:val="20"/>
          <w:color w:val="auto"/>
        </w:rPr>
      </w:pPr>
    </w:p>
    <w:tbl>
      <w:tblPr>
        <w:tblLayout w:type="fixed"/>
        <w:tblInd w:w="1620" w:type="dxa"/>
        <w:tblCellMar>
          <w:top w:w="0" w:type="dxa"/>
          <w:left w:w="0" w:type="dxa"/>
          <w:bottom w:w="0" w:type="dxa"/>
          <w:right w:w="0" w:type="dxa"/>
        </w:tblCellMar>
      </w:tblPr>
      <w:tr>
        <w:trPr>
          <w:trHeight w:val="253"/>
        </w:trPr>
        <w:tc>
          <w:tcPr>
            <w:tcW w:w="2520" w:type="dxa"/>
            <w:vAlign w:val="bottom"/>
          </w:tcPr>
          <w:p>
            <w:pPr>
              <w:jc w:val="center"/>
              <w:ind w:right="863"/>
              <w:spacing w:after="0"/>
              <w:rPr>
                <w:sz w:val="20"/>
                <w:szCs w:val="20"/>
                <w:color w:val="auto"/>
              </w:rPr>
            </w:pPr>
            <w:r>
              <w:rPr>
                <w:rFonts w:ascii="Arial" w:cs="Arial" w:eastAsia="Arial" w:hAnsi="Arial"/>
                <w:sz w:val="22"/>
                <w:szCs w:val="22"/>
                <w:b w:val="1"/>
                <w:bCs w:val="1"/>
                <w:color w:val="auto"/>
                <w:w w:val="98"/>
              </w:rPr>
              <w:t>$453.0M</w:t>
            </w:r>
          </w:p>
        </w:tc>
        <w:tc>
          <w:tcPr>
            <w:tcW w:w="30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$(1.59)</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520" w:type="dxa"/>
            <w:vAlign w:val="bottom"/>
            <w:vMerge w:val="restart"/>
          </w:tcPr>
          <w:p>
            <w:pPr>
              <w:jc w:val="center"/>
              <w:ind w:right="863"/>
              <w:spacing w:after="0"/>
              <w:rPr>
                <w:sz w:val="20"/>
                <w:szCs w:val="20"/>
                <w:color w:val="auto"/>
              </w:rPr>
            </w:pPr>
            <w:r>
              <w:rPr>
                <w:rFonts w:ascii="Arial" w:cs="Arial" w:eastAsia="Arial" w:hAnsi="Arial"/>
                <w:sz w:val="18"/>
                <w:szCs w:val="18"/>
                <w:color w:val="2D53A6"/>
                <w:w w:val="99"/>
              </w:rPr>
              <w:t>Revenue</w:t>
            </w:r>
          </w:p>
        </w:tc>
        <w:tc>
          <w:tcPr>
            <w:tcW w:w="3040" w:type="dxa"/>
            <w:vAlign w:val="bottom"/>
            <w:vMerge w:val="continue"/>
          </w:tcPr>
          <w:p>
            <w:pPr>
              <w:spacing w:after="0"/>
              <w:rPr>
                <w:sz w:val="10"/>
                <w:szCs w:val="10"/>
                <w:color w:val="auto"/>
              </w:rPr>
            </w:pPr>
          </w:p>
        </w:tc>
        <w:tc>
          <w:tcPr>
            <w:tcW w:w="2280" w:type="dxa"/>
            <w:vAlign w:val="bottom"/>
            <w:vMerge w:val="restart"/>
          </w:tcPr>
          <w:p>
            <w:pPr>
              <w:jc w:val="center"/>
              <w:ind w:left="924"/>
              <w:spacing w:after="0"/>
              <w:rPr>
                <w:sz w:val="20"/>
                <w:szCs w:val="20"/>
                <w:color w:val="auto"/>
              </w:rPr>
            </w:pPr>
            <w:r>
              <w:rPr>
                <w:rFonts w:ascii="Arial" w:cs="Arial" w:eastAsia="Arial" w:hAnsi="Arial"/>
                <w:sz w:val="22"/>
                <w:szCs w:val="22"/>
                <w:b w:val="1"/>
                <w:bCs w:val="1"/>
                <w:color w:val="auto"/>
                <w:w w:val="99"/>
              </w:rPr>
              <w:t>42.7%</w:t>
            </w:r>
          </w:p>
        </w:tc>
        <w:tc>
          <w:tcPr>
            <w:tcW w:w="0" w:type="dxa"/>
            <w:vAlign w:val="bottom"/>
          </w:tcPr>
          <w:p>
            <w:pPr>
              <w:spacing w:after="0"/>
              <w:rPr>
                <w:sz w:val="1"/>
                <w:szCs w:val="1"/>
                <w:color w:val="auto"/>
              </w:rPr>
            </w:pPr>
          </w:p>
        </w:tc>
      </w:tr>
      <w:tr>
        <w:trPr>
          <w:trHeight w:val="117"/>
        </w:trPr>
        <w:tc>
          <w:tcPr>
            <w:tcW w:w="2520" w:type="dxa"/>
            <w:vAlign w:val="bottom"/>
            <w:vMerge w:val="continue"/>
          </w:tcPr>
          <w:p>
            <w:pPr>
              <w:spacing w:after="0"/>
              <w:rPr>
                <w:sz w:val="10"/>
                <w:szCs w:val="10"/>
                <w:color w:val="auto"/>
              </w:rPr>
            </w:pPr>
          </w:p>
        </w:tc>
        <w:tc>
          <w:tcPr>
            <w:tcW w:w="3040" w:type="dxa"/>
            <w:vAlign w:val="bottom"/>
            <w:vMerge w:val="restart"/>
          </w:tcPr>
          <w:p>
            <w:pPr>
              <w:jc w:val="center"/>
              <w:ind w:right="6"/>
              <w:spacing w:after="0" w:line="202" w:lineRule="exact"/>
              <w:rPr>
                <w:sz w:val="20"/>
                <w:szCs w:val="20"/>
                <w:color w:val="auto"/>
              </w:rPr>
            </w:pPr>
            <w:r>
              <w:rPr>
                <w:rFonts w:ascii="Arial" w:cs="Arial" w:eastAsia="Arial" w:hAnsi="Arial"/>
                <w:sz w:val="18"/>
                <w:szCs w:val="18"/>
                <w:color w:val="2D53A6"/>
                <w:w w:val="99"/>
              </w:rPr>
              <w:t>GAAP</w:t>
            </w: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52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20" w:type="dxa"/>
            <w:vAlign w:val="bottom"/>
            <w:vMerge w:val="restart"/>
          </w:tcPr>
          <w:p>
            <w:pPr>
              <w:jc w:val="center"/>
              <w:ind w:right="863"/>
              <w:spacing w:after="0"/>
              <w:rPr>
                <w:sz w:val="20"/>
                <w:szCs w:val="20"/>
                <w:color w:val="auto"/>
              </w:rPr>
            </w:pPr>
            <w:r>
              <w:rPr>
                <w:rFonts w:ascii="Arial" w:cs="Arial" w:eastAsia="Arial" w:hAnsi="Arial"/>
                <w:sz w:val="22"/>
                <w:szCs w:val="22"/>
                <w:b w:val="1"/>
                <w:bCs w:val="1"/>
                <w:color w:val="auto"/>
                <w:w w:val="98"/>
              </w:rPr>
              <w:t>$484.0M</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2D53A6"/>
                <w:w w:val="98"/>
              </w:rPr>
              <w:t>Loss per</w:t>
            </w:r>
          </w:p>
        </w:tc>
        <w:tc>
          <w:tcPr>
            <w:tcW w:w="2280" w:type="dxa"/>
            <w:vAlign w:val="bottom"/>
          </w:tcPr>
          <w:p>
            <w:pPr>
              <w:jc w:val="center"/>
              <w:ind w:left="924"/>
              <w:spacing w:after="0" w:line="202" w:lineRule="exact"/>
              <w:rPr>
                <w:sz w:val="20"/>
                <w:szCs w:val="20"/>
                <w:color w:val="auto"/>
              </w:rPr>
            </w:pPr>
            <w:r>
              <w:rPr>
                <w:rFonts w:ascii="Arial" w:cs="Arial" w:eastAsia="Arial" w:hAnsi="Arial"/>
                <w:sz w:val="18"/>
                <w:szCs w:val="18"/>
                <w:color w:val="2D53A6"/>
                <w:w w:val="99"/>
              </w:rPr>
              <w:t>GAAP</w:t>
            </w:r>
          </w:p>
        </w:tc>
        <w:tc>
          <w:tcPr>
            <w:tcW w:w="0" w:type="dxa"/>
            <w:vAlign w:val="bottom"/>
          </w:tcPr>
          <w:p>
            <w:pPr>
              <w:spacing w:after="0"/>
              <w:rPr>
                <w:sz w:val="1"/>
                <w:szCs w:val="1"/>
                <w:color w:val="auto"/>
              </w:rPr>
            </w:pPr>
          </w:p>
        </w:tc>
      </w:tr>
      <w:tr>
        <w:trPr>
          <w:trHeight w:val="122"/>
        </w:trPr>
        <w:tc>
          <w:tcPr>
            <w:tcW w:w="2520" w:type="dxa"/>
            <w:vAlign w:val="bottom"/>
            <w:vMerge w:val="continue"/>
          </w:tcPr>
          <w:p>
            <w:pPr>
              <w:spacing w:after="0"/>
              <w:rPr>
                <w:sz w:val="10"/>
                <w:szCs w:val="10"/>
                <w:color w:val="auto"/>
              </w:rPr>
            </w:pPr>
          </w:p>
        </w:tc>
        <w:tc>
          <w:tcPr>
            <w:tcW w:w="3040" w:type="dxa"/>
            <w:vAlign w:val="bottom"/>
            <w:vMerge w:val="restart"/>
          </w:tcPr>
          <w:p>
            <w:pPr>
              <w:jc w:val="center"/>
              <w:spacing w:after="0" w:line="202" w:lineRule="exact"/>
              <w:rPr>
                <w:sz w:val="20"/>
                <w:szCs w:val="20"/>
                <w:color w:val="auto"/>
              </w:rPr>
            </w:pPr>
            <w:r>
              <w:rPr>
                <w:rFonts w:ascii="Arial" w:cs="Arial" w:eastAsia="Arial" w:hAnsi="Arial"/>
                <w:sz w:val="18"/>
                <w:szCs w:val="18"/>
                <w:color w:val="2D53A6"/>
                <w:w w:val="98"/>
              </w:rPr>
              <w:t>Diluted Share</w:t>
            </w:r>
          </w:p>
        </w:tc>
        <w:tc>
          <w:tcPr>
            <w:tcW w:w="2280" w:type="dxa"/>
            <w:vAlign w:val="bottom"/>
            <w:vMerge w:val="restart"/>
          </w:tcPr>
          <w:p>
            <w:pPr>
              <w:jc w:val="center"/>
              <w:ind w:left="944"/>
              <w:spacing w:after="0" w:line="202" w:lineRule="exact"/>
              <w:rPr>
                <w:sz w:val="20"/>
                <w:szCs w:val="20"/>
                <w:color w:val="auto"/>
              </w:rPr>
            </w:pPr>
            <w:r>
              <w:rPr>
                <w:rFonts w:ascii="Arial" w:cs="Arial" w:eastAsia="Arial" w:hAnsi="Arial"/>
                <w:sz w:val="18"/>
                <w:szCs w:val="18"/>
                <w:color w:val="2D53A6"/>
                <w:w w:val="99"/>
              </w:rPr>
              <w:t>Gross Margin</w:t>
            </w:r>
          </w:p>
        </w:tc>
        <w:tc>
          <w:tcPr>
            <w:tcW w:w="0" w:type="dxa"/>
            <w:vAlign w:val="bottom"/>
          </w:tcPr>
          <w:p>
            <w:pPr>
              <w:spacing w:after="0"/>
              <w:rPr>
                <w:sz w:val="1"/>
                <w:szCs w:val="1"/>
                <w:color w:val="auto"/>
              </w:rPr>
            </w:pPr>
          </w:p>
        </w:tc>
      </w:tr>
      <w:tr>
        <w:trPr>
          <w:trHeight w:val="81"/>
        </w:trPr>
        <w:tc>
          <w:tcPr>
            <w:tcW w:w="2520" w:type="dxa"/>
            <w:vAlign w:val="bottom"/>
            <w:vMerge w:val="restart"/>
          </w:tcPr>
          <w:p>
            <w:pPr>
              <w:jc w:val="center"/>
              <w:ind w:right="863"/>
              <w:spacing w:after="0" w:line="202" w:lineRule="exact"/>
              <w:rPr>
                <w:sz w:val="20"/>
                <w:szCs w:val="20"/>
                <w:color w:val="auto"/>
              </w:rPr>
            </w:pPr>
            <w:r>
              <w:rPr>
                <w:rFonts w:ascii="Arial" w:cs="Arial" w:eastAsia="Arial" w:hAnsi="Arial"/>
                <w:sz w:val="18"/>
                <w:szCs w:val="18"/>
                <w:color w:val="2D53A6"/>
              </w:rPr>
              <w:t>Cash &amp;</w:t>
            </w:r>
          </w:p>
        </w:tc>
        <w:tc>
          <w:tcPr>
            <w:tcW w:w="304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520" w:type="dxa"/>
            <w:vAlign w:val="bottom"/>
            <w:vMerge w:val="continue"/>
          </w:tcPr>
          <w:p>
            <w:pPr>
              <w:spacing w:after="0"/>
              <w:rPr>
                <w:sz w:val="10"/>
                <w:szCs w:val="10"/>
                <w:color w:val="auto"/>
              </w:rPr>
            </w:pPr>
          </w:p>
        </w:tc>
        <w:tc>
          <w:tcPr>
            <w:tcW w:w="3040" w:type="dxa"/>
            <w:vAlign w:val="bottom"/>
            <w:vMerge w:val="restart"/>
          </w:tcPr>
          <w:p>
            <w:pPr>
              <w:jc w:val="center"/>
              <w:spacing w:after="0"/>
              <w:rPr>
                <w:sz w:val="20"/>
                <w:szCs w:val="20"/>
                <w:color w:val="auto"/>
              </w:rPr>
            </w:pPr>
            <w:r>
              <w:rPr>
                <w:rFonts w:ascii="Arial" w:cs="Arial" w:eastAsia="Arial" w:hAnsi="Arial"/>
                <w:sz w:val="18"/>
                <w:szCs w:val="18"/>
                <w:color w:val="2D53A6"/>
                <w:w w:val="99"/>
              </w:rPr>
              <w:t>(EPS)</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20" w:type="dxa"/>
            <w:vAlign w:val="bottom"/>
            <w:vMerge w:val="restart"/>
          </w:tcPr>
          <w:p>
            <w:pPr>
              <w:jc w:val="center"/>
              <w:ind w:right="863"/>
              <w:spacing w:after="0"/>
              <w:rPr>
                <w:sz w:val="20"/>
                <w:szCs w:val="20"/>
                <w:color w:val="auto"/>
              </w:rPr>
            </w:pPr>
            <w:r>
              <w:rPr>
                <w:rFonts w:ascii="Arial" w:cs="Arial" w:eastAsia="Arial" w:hAnsi="Arial"/>
                <w:sz w:val="18"/>
                <w:szCs w:val="18"/>
                <w:color w:val="2D53A6"/>
              </w:rPr>
              <w:t>Investments</w:t>
            </w:r>
            <w:r>
              <w:rPr>
                <w:rFonts w:ascii="Arial" w:cs="Arial" w:eastAsia="Arial" w:hAnsi="Arial"/>
                <w:sz w:val="14"/>
                <w:szCs w:val="14"/>
                <w:color w:val="2D53A6"/>
              </w:rPr>
              <w:t>(1)</w:t>
            </w:r>
          </w:p>
        </w:tc>
        <w:tc>
          <w:tcPr>
            <w:tcW w:w="30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2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7"/>
        </w:trPr>
        <w:tc>
          <w:tcPr>
            <w:tcW w:w="2520" w:type="dxa"/>
            <w:vAlign w:val="bottom"/>
          </w:tcPr>
          <w:p>
            <w:pPr>
              <w:jc w:val="center"/>
              <w:ind w:right="863"/>
              <w:spacing w:after="0"/>
              <w:rPr>
                <w:sz w:val="20"/>
                <w:szCs w:val="20"/>
                <w:color w:val="auto"/>
              </w:rPr>
            </w:pPr>
            <w:r>
              <w:rPr>
                <w:rFonts w:ascii="Arial" w:cs="Arial" w:eastAsia="Arial" w:hAnsi="Arial"/>
                <w:sz w:val="22"/>
                <w:szCs w:val="22"/>
                <w:b w:val="1"/>
                <w:bCs w:val="1"/>
                <w:color w:val="auto"/>
              </w:rPr>
              <w:t>5%</w:t>
            </w:r>
          </w:p>
        </w:tc>
        <w:tc>
          <w:tcPr>
            <w:tcW w:w="3040" w:type="dxa"/>
            <w:vAlign w:val="bottom"/>
          </w:tcPr>
          <w:p>
            <w:pPr>
              <w:jc w:val="center"/>
              <w:spacing w:after="0"/>
              <w:rPr>
                <w:sz w:val="20"/>
                <w:szCs w:val="20"/>
                <w:color w:val="auto"/>
              </w:rPr>
            </w:pPr>
            <w:r>
              <w:rPr>
                <w:rFonts w:ascii="Arial" w:cs="Arial" w:eastAsia="Arial" w:hAnsi="Arial"/>
                <w:sz w:val="22"/>
                <w:szCs w:val="22"/>
                <w:b w:val="1"/>
                <w:bCs w:val="1"/>
                <w:color w:val="auto"/>
                <w:w w:val="97"/>
              </w:rPr>
              <w:t>$(0.22)</w:t>
            </w:r>
          </w:p>
        </w:tc>
        <w:tc>
          <w:tcPr>
            <w:tcW w:w="2280" w:type="dxa"/>
            <w:vAlign w:val="bottom"/>
          </w:tcPr>
          <w:p>
            <w:pPr>
              <w:jc w:val="center"/>
              <w:ind w:left="924"/>
              <w:spacing w:after="0"/>
              <w:rPr>
                <w:sz w:val="20"/>
                <w:szCs w:val="20"/>
                <w:color w:val="auto"/>
              </w:rPr>
            </w:pPr>
            <w:r>
              <w:rPr>
                <w:rFonts w:ascii="Arial" w:cs="Arial" w:eastAsia="Arial" w:hAnsi="Arial"/>
                <w:sz w:val="22"/>
                <w:szCs w:val="22"/>
                <w:b w:val="1"/>
                <w:bCs w:val="1"/>
                <w:color w:val="auto"/>
                <w:w w:val="99"/>
              </w:rPr>
              <w:t>43.3%</w:t>
            </w:r>
          </w:p>
        </w:tc>
        <w:tc>
          <w:tcPr>
            <w:tcW w:w="0" w:type="dxa"/>
            <w:vAlign w:val="bottom"/>
          </w:tcPr>
          <w:p>
            <w:pPr>
              <w:spacing w:after="0"/>
              <w:rPr>
                <w:sz w:val="1"/>
                <w:szCs w:val="1"/>
                <w:color w:val="auto"/>
              </w:rPr>
            </w:pPr>
          </w:p>
        </w:tc>
      </w:tr>
      <w:tr>
        <w:trPr>
          <w:trHeight w:val="203"/>
        </w:trPr>
        <w:tc>
          <w:tcPr>
            <w:tcW w:w="2520" w:type="dxa"/>
            <w:vAlign w:val="bottom"/>
          </w:tcPr>
          <w:p>
            <w:pPr>
              <w:jc w:val="center"/>
              <w:ind w:right="863"/>
              <w:spacing w:after="0" w:line="202" w:lineRule="exact"/>
              <w:rPr>
                <w:sz w:val="20"/>
                <w:szCs w:val="20"/>
                <w:color w:val="auto"/>
              </w:rPr>
            </w:pPr>
            <w:r>
              <w:rPr>
                <w:rFonts w:ascii="Arial" w:cs="Arial" w:eastAsia="Arial" w:hAnsi="Arial"/>
                <w:sz w:val="18"/>
                <w:szCs w:val="18"/>
                <w:color w:val="2D53A6"/>
                <w:w w:val="99"/>
              </w:rPr>
              <w:t>9-year sales growth</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2D53A6"/>
                <w:w w:val="98"/>
              </w:rPr>
              <w:t>Non-GAAP</w:t>
            </w:r>
          </w:p>
        </w:tc>
        <w:tc>
          <w:tcPr>
            <w:tcW w:w="2280" w:type="dxa"/>
            <w:vAlign w:val="bottom"/>
          </w:tcPr>
          <w:p>
            <w:pPr>
              <w:jc w:val="center"/>
              <w:ind w:left="924"/>
              <w:spacing w:after="0" w:line="202" w:lineRule="exact"/>
              <w:rPr>
                <w:sz w:val="20"/>
                <w:szCs w:val="20"/>
                <w:color w:val="auto"/>
              </w:rPr>
            </w:pPr>
            <w:r>
              <w:rPr>
                <w:rFonts w:ascii="Arial" w:cs="Arial" w:eastAsia="Arial" w:hAnsi="Arial"/>
                <w:sz w:val="18"/>
                <w:szCs w:val="18"/>
                <w:color w:val="2D53A6"/>
              </w:rPr>
              <w:t>Non-GAAP</w:t>
            </w:r>
          </w:p>
        </w:tc>
        <w:tc>
          <w:tcPr>
            <w:tcW w:w="0" w:type="dxa"/>
            <w:vAlign w:val="bottom"/>
          </w:tcPr>
          <w:p>
            <w:pPr>
              <w:spacing w:after="0"/>
              <w:rPr>
                <w:sz w:val="1"/>
                <w:szCs w:val="1"/>
                <w:color w:val="auto"/>
              </w:rPr>
            </w:pPr>
          </w:p>
        </w:tc>
      </w:tr>
      <w:tr>
        <w:trPr>
          <w:trHeight w:val="239"/>
        </w:trPr>
        <w:tc>
          <w:tcPr>
            <w:tcW w:w="2520" w:type="dxa"/>
            <w:vAlign w:val="bottom"/>
          </w:tcPr>
          <w:p>
            <w:pPr>
              <w:jc w:val="center"/>
              <w:ind w:right="863"/>
              <w:spacing w:after="0"/>
              <w:rPr>
                <w:sz w:val="20"/>
                <w:szCs w:val="20"/>
                <w:color w:val="auto"/>
              </w:rPr>
            </w:pPr>
            <w:r>
              <w:rPr>
                <w:rFonts w:ascii="Arial" w:cs="Arial" w:eastAsia="Arial" w:hAnsi="Arial"/>
                <w:sz w:val="18"/>
                <w:szCs w:val="18"/>
                <w:color w:val="2D53A6"/>
                <w:w w:val="99"/>
              </w:rPr>
              <w:t>CAGR</w:t>
            </w:r>
          </w:p>
        </w:tc>
        <w:tc>
          <w:tcPr>
            <w:tcW w:w="3040" w:type="dxa"/>
            <w:vAlign w:val="bottom"/>
          </w:tcPr>
          <w:p>
            <w:pPr>
              <w:jc w:val="center"/>
              <w:ind w:right="6"/>
              <w:spacing w:after="0"/>
              <w:rPr>
                <w:sz w:val="20"/>
                <w:szCs w:val="20"/>
                <w:color w:val="auto"/>
              </w:rPr>
            </w:pPr>
            <w:r>
              <w:rPr>
                <w:rFonts w:ascii="Arial" w:cs="Arial" w:eastAsia="Arial" w:hAnsi="Arial"/>
                <w:sz w:val="18"/>
                <w:szCs w:val="18"/>
                <w:color w:val="2D53A6"/>
              </w:rPr>
              <w:t>EPS</w:t>
            </w:r>
            <w:r>
              <w:rPr>
                <w:rFonts w:ascii="Arial" w:cs="Arial" w:eastAsia="Arial" w:hAnsi="Arial"/>
                <w:sz w:val="14"/>
                <w:szCs w:val="14"/>
                <w:color w:val="2D53A6"/>
              </w:rPr>
              <w:t>(2)</w:t>
            </w:r>
          </w:p>
        </w:tc>
        <w:tc>
          <w:tcPr>
            <w:tcW w:w="2280" w:type="dxa"/>
            <w:vAlign w:val="bottom"/>
          </w:tcPr>
          <w:p>
            <w:pPr>
              <w:jc w:val="center"/>
              <w:ind w:left="924"/>
              <w:spacing w:after="0"/>
              <w:rPr>
                <w:sz w:val="20"/>
                <w:szCs w:val="20"/>
                <w:color w:val="auto"/>
              </w:rPr>
            </w:pPr>
            <w:r>
              <w:rPr>
                <w:rFonts w:ascii="Arial" w:cs="Arial" w:eastAsia="Arial" w:hAnsi="Arial"/>
                <w:sz w:val="18"/>
                <w:szCs w:val="18"/>
                <w:color w:val="2D53A6"/>
              </w:rPr>
              <w:t>Gross Margin</w:t>
            </w:r>
            <w:r>
              <w:rPr>
                <w:rFonts w:ascii="Arial" w:cs="Arial" w:eastAsia="Arial" w:hAnsi="Arial"/>
                <w:sz w:val="14"/>
                <w:szCs w:val="14"/>
                <w:color w:val="2D53A6"/>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-1228090</wp:posOffset>
            </wp:positionV>
            <wp:extent cx="497205" cy="43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7205" cy="4375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-1261745</wp:posOffset>
            </wp:positionV>
            <wp:extent cx="522605" cy="505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2605" cy="50546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-464820</wp:posOffset>
            </wp:positionV>
            <wp:extent cx="454025" cy="497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4025" cy="497205"/>
                    </a:xfrm>
                    <a:prstGeom prst="rect">
                      <a:avLst/>
                    </a:prstGeom>
                    <a:noFill/>
                  </pic:spPr>
                </pic:pic>
              </a:graphicData>
            </a:graphic>
          </wp:anchor>
        </w:drawing>
      </w:r>
    </w:p>
    <w:p>
      <w:pPr>
        <w:spacing w:after="0" w:line="223"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December 27, 2025</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for GAAP to non-GAAP reconciliations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Proposals and Voting Recommendations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000" w:type="dxa"/>
            <w:vAlign w:val="bottom"/>
            <w:tcBorders>
              <w:right w:val="single" w:sz="8" w:color="2D53A6"/>
            </w:tcBorders>
            <w:vMerge w:val="restart"/>
            <w:shd w:val="clear" w:color="auto" w:fill="2D53A6"/>
          </w:tcPr>
          <w:p>
            <w:pPr>
              <w:ind w:left="80"/>
              <w:spacing w:after="0"/>
              <w:rPr>
                <w:sz w:val="20"/>
                <w:szCs w:val="20"/>
                <w:color w:val="auto"/>
              </w:rPr>
            </w:pPr>
            <w:r>
              <w:rPr>
                <w:rFonts w:ascii="Arial" w:cs="Arial" w:eastAsia="Arial" w:hAnsi="Arial"/>
                <w:sz w:val="18"/>
                <w:szCs w:val="18"/>
                <w:b w:val="1"/>
                <w:bCs w:val="1"/>
                <w:color w:val="FFFFFF"/>
              </w:rPr>
              <w:t>Voting Matters</w:t>
            </w:r>
          </w:p>
        </w:tc>
        <w:tc>
          <w:tcPr>
            <w:tcW w:w="2240" w:type="dxa"/>
            <w:vAlign w:val="bottom"/>
            <w:shd w:val="clear" w:color="auto" w:fill="2D53A6"/>
          </w:tcPr>
          <w:p>
            <w:pPr>
              <w:ind w:left="60"/>
              <w:spacing w:after="0"/>
              <w:rPr>
                <w:sz w:val="20"/>
                <w:szCs w:val="20"/>
                <w:color w:val="auto"/>
              </w:rPr>
            </w:pPr>
            <w:r>
              <w:rPr>
                <w:rFonts w:ascii="Arial" w:cs="Arial" w:eastAsia="Arial" w:hAnsi="Arial"/>
                <w:sz w:val="18"/>
                <w:szCs w:val="18"/>
                <w:b w:val="1"/>
                <w:bCs w:val="1"/>
                <w:color w:val="FFFFFF"/>
              </w:rPr>
              <w:t>Board Vote</w:t>
            </w:r>
          </w:p>
        </w:tc>
        <w:tc>
          <w:tcPr>
            <w:tcW w:w="0" w:type="dxa"/>
            <w:vAlign w:val="bottom"/>
          </w:tcPr>
          <w:p>
            <w:pPr>
              <w:spacing w:after="0"/>
              <w:rPr>
                <w:sz w:val="1"/>
                <w:szCs w:val="1"/>
                <w:color w:val="auto"/>
              </w:rPr>
            </w:pPr>
          </w:p>
        </w:tc>
      </w:tr>
      <w:tr>
        <w:trPr>
          <w:trHeight w:val="139"/>
        </w:trPr>
        <w:tc>
          <w:tcPr>
            <w:tcW w:w="9000" w:type="dxa"/>
            <w:vAlign w:val="bottom"/>
            <w:tcBorders>
              <w:right w:val="single" w:sz="8" w:color="2D53A6"/>
            </w:tcBorders>
            <w:vMerge w:val="continue"/>
            <w:shd w:val="clear" w:color="auto" w:fill="2D53A6"/>
          </w:tcPr>
          <w:p>
            <w:pPr>
              <w:spacing w:after="0"/>
              <w:rPr>
                <w:sz w:val="12"/>
                <w:szCs w:val="12"/>
                <w:color w:val="auto"/>
              </w:rPr>
            </w:pPr>
          </w:p>
        </w:tc>
        <w:tc>
          <w:tcPr>
            <w:tcW w:w="2240" w:type="dxa"/>
            <w:vAlign w:val="bottom"/>
            <w:vMerge w:val="restart"/>
            <w:shd w:val="clear" w:color="auto" w:fill="2D53A6"/>
          </w:tcPr>
          <w:p>
            <w:pPr>
              <w:ind w:left="60"/>
              <w:spacing w:after="0"/>
              <w:rPr>
                <w:sz w:val="20"/>
                <w:szCs w:val="20"/>
                <w:color w:val="auto"/>
              </w:rPr>
            </w:pPr>
            <w:r>
              <w:rPr>
                <w:rFonts w:ascii="Arial" w:cs="Arial" w:eastAsia="Arial" w:hAnsi="Arial"/>
                <w:sz w:val="18"/>
                <w:szCs w:val="18"/>
                <w:b w:val="1"/>
                <w:bCs w:val="1"/>
                <w:color w:val="FFFFFF"/>
              </w:rPr>
              <w:t>Recommendation</w:t>
            </w:r>
          </w:p>
        </w:tc>
        <w:tc>
          <w:tcPr>
            <w:tcW w:w="0" w:type="dxa"/>
            <w:vAlign w:val="bottom"/>
          </w:tcPr>
          <w:p>
            <w:pPr>
              <w:spacing w:after="0"/>
              <w:rPr>
                <w:sz w:val="1"/>
                <w:szCs w:val="1"/>
                <w:color w:val="auto"/>
              </w:rPr>
            </w:pPr>
          </w:p>
        </w:tc>
      </w:tr>
      <w:tr>
        <w:trPr>
          <w:trHeight w:val="144"/>
        </w:trPr>
        <w:tc>
          <w:tcPr>
            <w:tcW w:w="9000" w:type="dxa"/>
            <w:vAlign w:val="bottom"/>
            <w:tcBorders>
              <w:bottom w:val="single" w:sz="8" w:color="2D53A6"/>
              <w:right w:val="single" w:sz="8" w:color="2D53A6"/>
            </w:tcBorders>
            <w:shd w:val="clear" w:color="auto" w:fill="2D53A6"/>
          </w:tcPr>
          <w:p>
            <w:pPr>
              <w:spacing w:after="0"/>
              <w:rPr>
                <w:sz w:val="12"/>
                <w:szCs w:val="12"/>
                <w:color w:val="auto"/>
              </w:rPr>
            </w:pPr>
          </w:p>
        </w:tc>
        <w:tc>
          <w:tcPr>
            <w:tcW w:w="2240" w:type="dxa"/>
            <w:vAlign w:val="bottom"/>
            <w:tcBorders>
              <w:bottom w:val="single" w:sz="8" w:color="2D53A6"/>
            </w:tcBorders>
            <w:vMerge w:val="continue"/>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9000" w:type="dxa"/>
            <w:vAlign w:val="bottom"/>
            <w:tcBorders>
              <w:right w:val="single" w:sz="8" w:color="2D53A6"/>
            </w:tcBorders>
          </w:tcPr>
          <w:p>
            <w:pPr>
              <w:ind w:left="80"/>
              <w:spacing w:after="0"/>
              <w:rPr>
                <w:sz w:val="20"/>
                <w:szCs w:val="20"/>
                <w:color w:val="auto"/>
              </w:rPr>
            </w:pPr>
            <w:r>
              <w:rPr>
                <w:rFonts w:ascii="Arial" w:cs="Arial" w:eastAsia="Arial" w:hAnsi="Arial"/>
                <w:sz w:val="18"/>
                <w:szCs w:val="18"/>
                <w:b w:val="1"/>
                <w:bCs w:val="1"/>
                <w:color w:val="auto"/>
              </w:rPr>
              <w:t>Proposal No. 1: Election of Three Class 1 Directors</w:t>
            </w:r>
          </w:p>
        </w:tc>
        <w:tc>
          <w:tcPr>
            <w:tcW w:w="2240" w:type="dxa"/>
            <w:vAlign w:val="bottom"/>
          </w:tcPr>
          <w:p>
            <w:pPr>
              <w:ind w:left="60"/>
              <w:spacing w:after="0"/>
              <w:rPr>
                <w:sz w:val="20"/>
                <w:szCs w:val="20"/>
                <w:color w:val="auto"/>
              </w:rPr>
            </w:pPr>
            <w:r>
              <w:rPr>
                <w:rFonts w:ascii="Arial" w:cs="Arial" w:eastAsia="Arial" w:hAnsi="Arial"/>
                <w:sz w:val="18"/>
                <w:szCs w:val="18"/>
                <w:b w:val="1"/>
                <w:bCs w:val="1"/>
                <w:color w:val="auto"/>
              </w:rPr>
              <w:t>√ FOR each Nominee</w:t>
            </w:r>
          </w:p>
        </w:tc>
        <w:tc>
          <w:tcPr>
            <w:tcW w:w="0" w:type="dxa"/>
            <w:vAlign w:val="bottom"/>
          </w:tcPr>
          <w:p>
            <w:pPr>
              <w:spacing w:after="0"/>
              <w:rPr>
                <w:sz w:val="1"/>
                <w:szCs w:val="1"/>
                <w:color w:val="auto"/>
              </w:rPr>
            </w:pPr>
          </w:p>
        </w:tc>
      </w:tr>
      <w:tr>
        <w:trPr>
          <w:trHeight w:val="42"/>
        </w:trPr>
        <w:tc>
          <w:tcPr>
            <w:tcW w:w="9000" w:type="dxa"/>
            <w:vAlign w:val="bottom"/>
            <w:tcBorders>
              <w:bottom w:val="single" w:sz="8" w:color="2D53A6"/>
              <w:right w:val="single" w:sz="8" w:color="2D53A6"/>
            </w:tcBorders>
          </w:tcPr>
          <w:p>
            <w:pPr>
              <w:spacing w:after="0"/>
              <w:rPr>
                <w:sz w:val="3"/>
                <w:szCs w:val="3"/>
                <w:color w:val="auto"/>
              </w:rPr>
            </w:pPr>
          </w:p>
        </w:tc>
        <w:tc>
          <w:tcPr>
            <w:tcW w:w="224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9000" w:type="dxa"/>
            <w:vAlign w:val="bottom"/>
            <w:tcBorders>
              <w:right w:val="single" w:sz="8" w:color="2D53A6"/>
            </w:tcBorders>
            <w:shd w:val="clear" w:color="auto" w:fill="E6E6E6"/>
          </w:tcPr>
          <w:p>
            <w:pPr>
              <w:ind w:left="80"/>
              <w:spacing w:after="0"/>
              <w:rPr>
                <w:sz w:val="20"/>
                <w:szCs w:val="20"/>
                <w:color w:val="auto"/>
              </w:rPr>
            </w:pPr>
            <w:r>
              <w:rPr>
                <w:rFonts w:ascii="Arial" w:cs="Arial" w:eastAsia="Arial" w:hAnsi="Arial"/>
                <w:sz w:val="18"/>
                <w:szCs w:val="18"/>
                <w:b w:val="1"/>
                <w:bCs w:val="1"/>
                <w:color w:val="auto"/>
              </w:rPr>
              <w:t>Proposal No. 2: Advisory vote to approve our Named Executive Officer</w:t>
            </w:r>
          </w:p>
        </w:tc>
        <w:tc>
          <w:tcPr>
            <w:tcW w:w="2240" w:type="dxa"/>
            <w:vAlign w:val="bottom"/>
            <w:vMerge w:val="restart"/>
            <w:shd w:val="clear" w:color="auto" w:fill="E6E6E6"/>
          </w:tcPr>
          <w:p>
            <w:pPr>
              <w:ind w:left="6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39"/>
        </w:trPr>
        <w:tc>
          <w:tcPr>
            <w:tcW w:w="9000" w:type="dxa"/>
            <w:vAlign w:val="bottom"/>
            <w:tcBorders>
              <w:right w:val="single" w:sz="8" w:color="2D53A6"/>
            </w:tcBorders>
            <w:vMerge w:val="restart"/>
            <w:shd w:val="clear" w:color="auto" w:fill="E6E6E6"/>
          </w:tcPr>
          <w:p>
            <w:pPr>
              <w:ind w:left="80"/>
              <w:spacing w:after="0"/>
              <w:rPr>
                <w:sz w:val="20"/>
                <w:szCs w:val="20"/>
                <w:color w:val="auto"/>
              </w:rPr>
            </w:pPr>
            <w:r>
              <w:rPr>
                <w:rFonts w:ascii="Arial" w:cs="Arial" w:eastAsia="Arial" w:hAnsi="Arial"/>
                <w:sz w:val="18"/>
                <w:szCs w:val="18"/>
                <w:b w:val="1"/>
                <w:bCs w:val="1"/>
                <w:color w:val="auto"/>
              </w:rPr>
              <w:t xml:space="preserve">Compensation, or </w:t>
            </w:r>
            <w:r>
              <w:rPr>
                <w:rFonts w:ascii="Arial" w:cs="Arial" w:eastAsia="Arial" w:hAnsi="Arial"/>
                <w:sz w:val="18"/>
                <w:szCs w:val="18"/>
                <w:color w:val="auto"/>
              </w:rPr>
              <w:t>“</w:t>
            </w:r>
            <w:r>
              <w:rPr>
                <w:rFonts w:ascii="Arial" w:cs="Arial" w:eastAsia="Arial" w:hAnsi="Arial"/>
                <w:sz w:val="18"/>
                <w:szCs w:val="18"/>
                <w:b w:val="1"/>
                <w:bCs w:val="1"/>
                <w:color w:val="auto"/>
              </w:rPr>
              <w:t>Say-on-Pay</w:t>
            </w:r>
            <w:r>
              <w:rPr>
                <w:rFonts w:ascii="Arial" w:cs="Arial" w:eastAsia="Arial" w:hAnsi="Arial"/>
                <w:sz w:val="18"/>
                <w:szCs w:val="18"/>
                <w:color w:val="auto"/>
              </w:rPr>
              <w:t>”</w:t>
            </w:r>
          </w:p>
        </w:tc>
        <w:tc>
          <w:tcPr>
            <w:tcW w:w="224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9000" w:type="dxa"/>
            <w:vAlign w:val="bottom"/>
            <w:tcBorders>
              <w:bottom w:val="single" w:sz="8" w:color="E6E6E6"/>
              <w:right w:val="single" w:sz="8" w:color="2D53A6"/>
            </w:tcBorders>
            <w:vMerge w:val="continue"/>
            <w:shd w:val="clear" w:color="auto" w:fill="E6E6E6"/>
          </w:tcPr>
          <w:p>
            <w:pPr>
              <w:spacing w:after="0"/>
              <w:rPr>
                <w:sz w:val="13"/>
                <w:szCs w:val="13"/>
                <w:color w:val="auto"/>
              </w:rPr>
            </w:pPr>
          </w:p>
        </w:tc>
        <w:tc>
          <w:tcPr>
            <w:tcW w:w="2240" w:type="dxa"/>
            <w:vAlign w:val="bottom"/>
            <w:tcBorders>
              <w:bottom w:val="single" w:sz="8" w:color="E6E6E6"/>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00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b w:val="1"/>
                <w:bCs w:val="1"/>
                <w:color w:val="auto"/>
              </w:rPr>
              <w:t>Proposal No. 3: Approve an amendment to our Amended and Restated Certificate of Incorporation to</w:t>
            </w:r>
          </w:p>
        </w:tc>
        <w:tc>
          <w:tcPr>
            <w:tcW w:w="2240" w:type="dxa"/>
            <w:vAlign w:val="bottom"/>
            <w:tcBorders>
              <w:top w:val="single" w:sz="8" w:color="2D53A6"/>
            </w:tcBorders>
            <w:vMerge w:val="restart"/>
          </w:tcPr>
          <w:p>
            <w:pPr>
              <w:ind w:left="6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39"/>
        </w:trPr>
        <w:tc>
          <w:tcPr>
            <w:tcW w:w="9000" w:type="dxa"/>
            <w:vAlign w:val="bottom"/>
            <w:tcBorders>
              <w:right w:val="single" w:sz="8" w:color="2D53A6"/>
            </w:tcBorders>
            <w:vMerge w:val="restart"/>
          </w:tcPr>
          <w:p>
            <w:pPr>
              <w:ind w:left="80"/>
              <w:spacing w:after="0"/>
              <w:rPr>
                <w:sz w:val="20"/>
                <w:szCs w:val="20"/>
                <w:color w:val="auto"/>
              </w:rPr>
            </w:pPr>
            <w:r>
              <w:rPr>
                <w:rFonts w:ascii="Arial" w:cs="Arial" w:eastAsia="Arial" w:hAnsi="Arial"/>
                <w:sz w:val="18"/>
                <w:szCs w:val="18"/>
                <w:b w:val="1"/>
                <w:bCs w:val="1"/>
                <w:color w:val="auto"/>
              </w:rPr>
              <w:t>increase the number of authorized shares of common stock from 90,000,000 to 150,000,000 shares</w:t>
            </w: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000" w:type="dxa"/>
            <w:vAlign w:val="bottom"/>
            <w:tcBorders>
              <w:right w:val="single" w:sz="8" w:color="2D53A6"/>
            </w:tcBorders>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9000" w:type="dxa"/>
            <w:vAlign w:val="bottom"/>
            <w:tcBorders>
              <w:bottom w:val="single" w:sz="8" w:color="2D53A6"/>
              <w:right w:val="single" w:sz="8" w:color="2D53A6"/>
            </w:tcBorders>
          </w:tcPr>
          <w:p>
            <w:pPr>
              <w:spacing w:after="0"/>
              <w:rPr>
                <w:sz w:val="3"/>
                <w:szCs w:val="3"/>
                <w:color w:val="auto"/>
              </w:rPr>
            </w:pPr>
          </w:p>
        </w:tc>
        <w:tc>
          <w:tcPr>
            <w:tcW w:w="224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900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b w:val="1"/>
                <w:bCs w:val="1"/>
                <w:color w:val="auto"/>
              </w:rPr>
              <w:t>Proposal No. 4: Approve the Cohu, Inc., 2026 Equity Incentive Plan</w:t>
            </w:r>
          </w:p>
        </w:tc>
        <w:tc>
          <w:tcPr>
            <w:tcW w:w="22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289"/>
        </w:trPr>
        <w:tc>
          <w:tcPr>
            <w:tcW w:w="900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b w:val="1"/>
                <w:bCs w:val="1"/>
                <w:color w:val="auto"/>
              </w:rPr>
              <w:t>Proposal No. 5: Approve the Amended and Restated Cohu, Inc., 1997 Employee Stock Purchase Plan</w:t>
            </w:r>
          </w:p>
        </w:tc>
        <w:tc>
          <w:tcPr>
            <w:tcW w:w="2240" w:type="dxa"/>
            <w:vAlign w:val="bottom"/>
            <w:tcBorders>
              <w:top w:val="single" w:sz="8" w:color="2D53A6"/>
            </w:tcBorders>
          </w:tcPr>
          <w:p>
            <w:pPr>
              <w:ind w:left="6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42"/>
        </w:trPr>
        <w:tc>
          <w:tcPr>
            <w:tcW w:w="9000" w:type="dxa"/>
            <w:vAlign w:val="bottom"/>
            <w:tcBorders>
              <w:bottom w:val="single" w:sz="8" w:color="2D53A6"/>
              <w:right w:val="single" w:sz="8" w:color="2D53A6"/>
            </w:tcBorders>
          </w:tcPr>
          <w:p>
            <w:pPr>
              <w:spacing w:after="0"/>
              <w:rPr>
                <w:sz w:val="3"/>
                <w:szCs w:val="3"/>
                <w:color w:val="auto"/>
              </w:rPr>
            </w:pPr>
          </w:p>
        </w:tc>
        <w:tc>
          <w:tcPr>
            <w:tcW w:w="224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9000" w:type="dxa"/>
            <w:vAlign w:val="bottom"/>
            <w:tcBorders>
              <w:right w:val="single" w:sz="8" w:color="2D53A6"/>
            </w:tcBorders>
            <w:shd w:val="clear" w:color="auto" w:fill="E6E6E6"/>
          </w:tcPr>
          <w:p>
            <w:pPr>
              <w:ind w:left="80"/>
              <w:spacing w:after="0"/>
              <w:rPr>
                <w:sz w:val="20"/>
                <w:szCs w:val="20"/>
                <w:color w:val="auto"/>
              </w:rPr>
            </w:pPr>
            <w:r>
              <w:rPr>
                <w:rFonts w:ascii="Arial" w:cs="Arial" w:eastAsia="Arial" w:hAnsi="Arial"/>
                <w:sz w:val="18"/>
                <w:szCs w:val="18"/>
                <w:b w:val="1"/>
                <w:bCs w:val="1"/>
                <w:color w:val="auto"/>
              </w:rPr>
              <w:t>Proposal No. 6: Ratification of the Appointment of Ernst &amp; Young LLP as our</w:t>
            </w:r>
          </w:p>
        </w:tc>
        <w:tc>
          <w:tcPr>
            <w:tcW w:w="2240" w:type="dxa"/>
            <w:vAlign w:val="bottom"/>
            <w:vMerge w:val="restart"/>
            <w:shd w:val="clear" w:color="auto" w:fill="E6E6E6"/>
          </w:tcPr>
          <w:p>
            <w:pPr>
              <w:ind w:left="6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39"/>
        </w:trPr>
        <w:tc>
          <w:tcPr>
            <w:tcW w:w="9000" w:type="dxa"/>
            <w:vAlign w:val="bottom"/>
            <w:tcBorders>
              <w:right w:val="single" w:sz="8" w:color="2D53A6"/>
            </w:tcBorders>
            <w:vMerge w:val="restart"/>
            <w:shd w:val="clear" w:color="auto" w:fill="E6E6E6"/>
          </w:tcPr>
          <w:p>
            <w:pPr>
              <w:ind w:left="80"/>
              <w:spacing w:after="0"/>
              <w:rPr>
                <w:sz w:val="20"/>
                <w:szCs w:val="20"/>
                <w:color w:val="auto"/>
              </w:rPr>
            </w:pPr>
            <w:r>
              <w:rPr>
                <w:rFonts w:ascii="Arial" w:cs="Arial" w:eastAsia="Arial" w:hAnsi="Arial"/>
                <w:sz w:val="18"/>
                <w:szCs w:val="18"/>
                <w:b w:val="1"/>
                <w:bCs w:val="1"/>
                <w:color w:val="auto"/>
              </w:rPr>
              <w:t>Independent Registered Public Accounting Firm for Fiscal Year 2026</w:t>
            </w:r>
          </w:p>
        </w:tc>
        <w:tc>
          <w:tcPr>
            <w:tcW w:w="224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9000" w:type="dxa"/>
            <w:vAlign w:val="bottom"/>
            <w:tcBorders>
              <w:bottom w:val="single" w:sz="8" w:color="E6E6E6"/>
              <w:right w:val="single" w:sz="8" w:color="2D53A6"/>
            </w:tcBorders>
            <w:vMerge w:val="continue"/>
            <w:shd w:val="clear" w:color="auto" w:fill="E6E6E6"/>
          </w:tcPr>
          <w:p>
            <w:pPr>
              <w:spacing w:after="0"/>
              <w:rPr>
                <w:sz w:val="13"/>
                <w:szCs w:val="13"/>
                <w:color w:val="auto"/>
              </w:rPr>
            </w:pPr>
          </w:p>
        </w:tc>
        <w:tc>
          <w:tcPr>
            <w:tcW w:w="2240" w:type="dxa"/>
            <w:vAlign w:val="bottom"/>
            <w:tcBorders>
              <w:bottom w:val="single" w:sz="8" w:color="E6E6E6"/>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00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b w:val="1"/>
                <w:bCs w:val="1"/>
                <w:color w:val="auto"/>
              </w:rPr>
              <w:t>Transaction of other business as may properly come before the annual meeting (including any</w:t>
            </w:r>
          </w:p>
        </w:tc>
        <w:tc>
          <w:tcPr>
            <w:tcW w:w="2240" w:type="dxa"/>
            <w:vAlign w:val="bottom"/>
            <w:tcBorders>
              <w:top w:val="single" w:sz="8" w:color="2D53A6"/>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9000" w:type="dxa"/>
            <w:vAlign w:val="bottom"/>
            <w:tcBorders>
              <w:right w:val="single" w:sz="8" w:color="2D53A6"/>
            </w:tcBorders>
          </w:tcPr>
          <w:p>
            <w:pPr>
              <w:ind w:left="80"/>
              <w:spacing w:after="0"/>
              <w:rPr>
                <w:sz w:val="20"/>
                <w:szCs w:val="20"/>
                <w:color w:val="auto"/>
              </w:rPr>
            </w:pPr>
            <w:r>
              <w:rPr>
                <w:rFonts w:ascii="Arial" w:cs="Arial" w:eastAsia="Arial" w:hAnsi="Arial"/>
                <w:sz w:val="18"/>
                <w:szCs w:val="18"/>
                <w:b w:val="1"/>
                <w:bCs w:val="1"/>
                <w:color w:val="auto"/>
              </w:rPr>
              <w:t>adjournment or postponement thereof)</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9000" w:type="dxa"/>
            <w:vAlign w:val="bottom"/>
            <w:tcBorders>
              <w:bottom w:val="single" w:sz="8" w:color="2D53A6"/>
              <w:right w:val="single" w:sz="8" w:color="2D53A6"/>
            </w:tcBorders>
          </w:tcPr>
          <w:p>
            <w:pPr>
              <w:spacing w:after="0"/>
              <w:rPr>
                <w:sz w:val="3"/>
                <w:szCs w:val="3"/>
                <w:color w:val="auto"/>
              </w:rPr>
            </w:pPr>
          </w:p>
        </w:tc>
        <w:tc>
          <w:tcPr>
            <w:tcW w:w="224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416"/>
        </w:trPr>
        <w:tc>
          <w:tcPr>
            <w:tcW w:w="9000" w:type="dxa"/>
            <w:vAlign w:val="bottom"/>
          </w:tcPr>
          <w:p>
            <w:pPr>
              <w:ind w:left="5580"/>
              <w:spacing w:after="0"/>
              <w:rPr>
                <w:sz w:val="20"/>
                <w:szCs w:val="20"/>
                <w:color w:val="auto"/>
              </w:rPr>
            </w:pPr>
            <w:r>
              <w:rPr>
                <w:rFonts w:ascii="Arial" w:cs="Arial" w:eastAsia="Arial" w:hAnsi="Arial"/>
                <w:sz w:val="18"/>
                <w:szCs w:val="18"/>
                <w:color w:val="auto"/>
              </w:rPr>
              <w:t>3</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900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Summary Information Regarding Our Directors</w:t>
      </w:r>
    </w:p>
    <w:p>
      <w:pPr>
        <w:spacing w:after="0" w:line="21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You are being asked to vote on the election of three (3) Class 1 director nominees. The following table provides summary information about each nominee as well as the remaining directors that are not standing for election at the 2026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More detailed biographical information is contained in the “Proposal No. 1: Election of Directors” section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Borders>
              <w:right w:val="single" w:sz="8" w:color="2D53A6"/>
            </w:tcBorders>
            <w:shd w:val="clear" w:color="auto" w:fill="2D53A6"/>
          </w:tcPr>
          <w:p>
            <w:pPr>
              <w:spacing w:after="0"/>
              <w:rPr>
                <w:sz w:val="20"/>
                <w:szCs w:val="20"/>
                <w:color w:val="auto"/>
              </w:rPr>
            </w:pPr>
          </w:p>
        </w:tc>
        <w:tc>
          <w:tcPr>
            <w:tcW w:w="920" w:type="dxa"/>
            <w:vAlign w:val="bottom"/>
            <w:tcBorders>
              <w:right w:val="single" w:sz="8" w:color="2D53A6"/>
            </w:tcBorders>
            <w:shd w:val="clear" w:color="auto" w:fill="2D53A6"/>
          </w:tcPr>
          <w:p>
            <w:pPr>
              <w:spacing w:after="0"/>
              <w:rPr>
                <w:sz w:val="20"/>
                <w:szCs w:val="20"/>
                <w:color w:val="auto"/>
              </w:rPr>
            </w:pPr>
          </w:p>
        </w:tc>
        <w:tc>
          <w:tcPr>
            <w:tcW w:w="960" w:type="dxa"/>
            <w:vAlign w:val="bottom"/>
            <w:tcBorders>
              <w:right w:val="single" w:sz="8" w:color="2D53A6"/>
            </w:tcBorders>
            <w:shd w:val="clear" w:color="auto" w:fill="2D53A6"/>
          </w:tcPr>
          <w:p>
            <w:pPr>
              <w:spacing w:after="0"/>
              <w:rPr>
                <w:sz w:val="20"/>
                <w:szCs w:val="20"/>
                <w:color w:val="auto"/>
              </w:rPr>
            </w:pPr>
          </w:p>
        </w:tc>
        <w:tc>
          <w:tcPr>
            <w:tcW w:w="1540" w:type="dxa"/>
            <w:vAlign w:val="bottom"/>
            <w:tcBorders>
              <w:right w:val="single" w:sz="8" w:color="2D53A6"/>
            </w:tcBorders>
            <w:shd w:val="clear" w:color="auto" w:fill="2D53A6"/>
          </w:tcPr>
          <w:p>
            <w:pPr>
              <w:spacing w:after="0"/>
              <w:rPr>
                <w:sz w:val="20"/>
                <w:szCs w:val="20"/>
                <w:color w:val="auto"/>
              </w:rPr>
            </w:pPr>
          </w:p>
        </w:tc>
        <w:tc>
          <w:tcPr>
            <w:tcW w:w="11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rPr>
              <w:t>Class and</w:t>
            </w:r>
          </w:p>
        </w:tc>
        <w:tc>
          <w:tcPr>
            <w:tcW w:w="660" w:type="dxa"/>
            <w:vAlign w:val="bottom"/>
            <w:tcBorders>
              <w:right w:val="single" w:sz="8" w:color="2D53A6"/>
            </w:tcBorders>
            <w:shd w:val="clear" w:color="auto" w:fill="2D53A6"/>
          </w:tcPr>
          <w:p>
            <w:pPr>
              <w:spacing w:after="0"/>
              <w:rPr>
                <w:sz w:val="20"/>
                <w:szCs w:val="20"/>
                <w:color w:val="auto"/>
              </w:rPr>
            </w:pPr>
          </w:p>
        </w:tc>
        <w:tc>
          <w:tcPr>
            <w:tcW w:w="700" w:type="dxa"/>
            <w:vAlign w:val="bottom"/>
            <w:tcBorders>
              <w:right w:val="single" w:sz="8" w:color="2D53A6"/>
            </w:tcBorders>
            <w:shd w:val="clear" w:color="auto" w:fill="2D53A6"/>
          </w:tcPr>
          <w:p>
            <w:pPr>
              <w:spacing w:after="0"/>
              <w:rPr>
                <w:sz w:val="20"/>
                <w:szCs w:val="20"/>
                <w:color w:val="auto"/>
              </w:rPr>
            </w:pPr>
          </w:p>
        </w:tc>
        <w:tc>
          <w:tcPr>
            <w:tcW w:w="660" w:type="dxa"/>
            <w:vAlign w:val="bottom"/>
            <w:tcBorders>
              <w:right w:val="single" w:sz="8" w:color="2D53A6"/>
            </w:tcBorders>
            <w:shd w:val="clear" w:color="auto" w:fill="2D53A6"/>
          </w:tcPr>
          <w:p>
            <w:pPr>
              <w:spacing w:after="0"/>
              <w:rPr>
                <w:sz w:val="20"/>
                <w:szCs w:val="20"/>
                <w:color w:val="auto"/>
              </w:rPr>
            </w:pPr>
          </w:p>
        </w:tc>
        <w:tc>
          <w:tcPr>
            <w:tcW w:w="2780" w:type="dxa"/>
            <w:vAlign w:val="bottom"/>
            <w:shd w:val="clear" w:color="auto" w:fill="2D53A6"/>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40" w:type="dxa"/>
            <w:vAlign w:val="bottom"/>
            <w:tcBorders>
              <w:right w:val="single" w:sz="8" w:color="2D53A6"/>
            </w:tcBorders>
            <w:shd w:val="clear" w:color="auto" w:fill="2D53A6"/>
          </w:tcPr>
          <w:p>
            <w:pPr>
              <w:ind w:left="60"/>
              <w:spacing w:after="0" w:line="202" w:lineRule="exact"/>
              <w:rPr>
                <w:sz w:val="20"/>
                <w:szCs w:val="20"/>
                <w:color w:val="auto"/>
              </w:rPr>
            </w:pPr>
            <w:r>
              <w:rPr>
                <w:rFonts w:ascii="Arial" w:cs="Arial" w:eastAsia="Arial" w:hAnsi="Arial"/>
                <w:sz w:val="18"/>
                <w:szCs w:val="18"/>
                <w:b w:val="1"/>
                <w:bCs w:val="1"/>
                <w:color w:val="FFFFFF"/>
              </w:rPr>
              <w:t>Name</w:t>
            </w:r>
          </w:p>
        </w:tc>
        <w:tc>
          <w:tcPr>
            <w:tcW w:w="92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Age</w:t>
            </w:r>
          </w:p>
        </w:tc>
        <w:tc>
          <w:tcPr>
            <w:tcW w:w="96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Since</w:t>
            </w:r>
          </w:p>
        </w:tc>
        <w:tc>
          <w:tcPr>
            <w:tcW w:w="154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Independent</w:t>
            </w:r>
            <w:r>
              <w:rPr>
                <w:rFonts w:ascii="Arial" w:cs="Arial" w:eastAsia="Arial" w:hAnsi="Arial"/>
                <w:sz w:val="14"/>
                <w:szCs w:val="14"/>
                <w:b w:val="1"/>
                <w:bCs w:val="1"/>
                <w:color w:val="FFFFFF"/>
                <w:w w:val="99"/>
              </w:rPr>
              <w:t>(1)</w:t>
            </w:r>
          </w:p>
        </w:tc>
        <w:tc>
          <w:tcPr>
            <w:tcW w:w="118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7"/>
              </w:rPr>
              <w:t>When Term</w:t>
            </w:r>
          </w:p>
        </w:tc>
        <w:tc>
          <w:tcPr>
            <w:tcW w:w="660" w:type="dxa"/>
            <w:vAlign w:val="bottom"/>
            <w:tcBorders>
              <w:right w:val="single" w:sz="8" w:color="2D53A6"/>
            </w:tcBorders>
            <w:shd w:val="clear" w:color="auto" w:fill="2D53A6"/>
          </w:tcPr>
          <w:p>
            <w:pPr>
              <w:ind w:left="180"/>
              <w:spacing w:after="0" w:line="202" w:lineRule="exact"/>
              <w:rPr>
                <w:sz w:val="20"/>
                <w:szCs w:val="20"/>
                <w:color w:val="auto"/>
              </w:rPr>
            </w:pPr>
            <w:r>
              <w:rPr>
                <w:rFonts w:ascii="Arial" w:cs="Arial" w:eastAsia="Arial" w:hAnsi="Arial"/>
                <w:sz w:val="18"/>
                <w:szCs w:val="18"/>
                <w:b w:val="1"/>
                <w:bCs w:val="1"/>
                <w:color w:val="FFFFFF"/>
              </w:rPr>
              <w:t>AC</w:t>
            </w:r>
          </w:p>
        </w:tc>
        <w:tc>
          <w:tcPr>
            <w:tcW w:w="70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CC</w:t>
            </w:r>
          </w:p>
        </w:tc>
        <w:tc>
          <w:tcPr>
            <w:tcW w:w="66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NGC</w:t>
            </w:r>
          </w:p>
        </w:tc>
        <w:tc>
          <w:tcPr>
            <w:tcW w:w="2780" w:type="dxa"/>
            <w:vAlign w:val="bottom"/>
            <w:shd w:val="clear" w:color="auto" w:fill="2D53A6"/>
          </w:tcPr>
          <w:p>
            <w:pPr>
              <w:ind w:left="40"/>
              <w:spacing w:after="0" w:line="202" w:lineRule="exact"/>
              <w:rPr>
                <w:sz w:val="20"/>
                <w:szCs w:val="20"/>
                <w:color w:val="auto"/>
              </w:rPr>
            </w:pPr>
            <w:r>
              <w:rPr>
                <w:rFonts w:ascii="Arial" w:cs="Arial" w:eastAsia="Arial" w:hAnsi="Arial"/>
                <w:sz w:val="18"/>
                <w:szCs w:val="18"/>
                <w:b w:val="1"/>
                <w:bCs w:val="1"/>
                <w:color w:val="FFFFFF"/>
              </w:rPr>
              <w:t>Other Current Public Boards</w:t>
            </w:r>
          </w:p>
        </w:tc>
        <w:tc>
          <w:tcPr>
            <w:tcW w:w="0" w:type="dxa"/>
            <w:vAlign w:val="bottom"/>
          </w:tcPr>
          <w:p>
            <w:pPr>
              <w:spacing w:after="0"/>
              <w:rPr>
                <w:sz w:val="1"/>
                <w:szCs w:val="1"/>
                <w:color w:val="auto"/>
              </w:rPr>
            </w:pPr>
          </w:p>
        </w:tc>
      </w:tr>
      <w:tr>
        <w:trPr>
          <w:trHeight w:val="269"/>
        </w:trPr>
        <w:tc>
          <w:tcPr>
            <w:tcW w:w="1840" w:type="dxa"/>
            <w:vAlign w:val="bottom"/>
            <w:tcBorders>
              <w:bottom w:val="single" w:sz="8" w:color="2D53A6"/>
              <w:right w:val="single" w:sz="8" w:color="2D53A6"/>
            </w:tcBorders>
            <w:shd w:val="clear" w:color="auto" w:fill="2D53A6"/>
          </w:tcPr>
          <w:p>
            <w:pPr>
              <w:spacing w:after="0"/>
              <w:rPr>
                <w:sz w:val="23"/>
                <w:szCs w:val="23"/>
                <w:color w:val="auto"/>
              </w:rPr>
            </w:pPr>
          </w:p>
        </w:tc>
        <w:tc>
          <w:tcPr>
            <w:tcW w:w="920" w:type="dxa"/>
            <w:vAlign w:val="bottom"/>
            <w:tcBorders>
              <w:bottom w:val="single" w:sz="8" w:color="2D53A6"/>
              <w:right w:val="single" w:sz="8" w:color="2D53A6"/>
            </w:tcBorders>
            <w:shd w:val="clear" w:color="auto" w:fill="2D53A6"/>
          </w:tcPr>
          <w:p>
            <w:pPr>
              <w:spacing w:after="0"/>
              <w:rPr>
                <w:sz w:val="23"/>
                <w:szCs w:val="23"/>
                <w:color w:val="auto"/>
              </w:rPr>
            </w:pPr>
          </w:p>
        </w:tc>
        <w:tc>
          <w:tcPr>
            <w:tcW w:w="960" w:type="dxa"/>
            <w:vAlign w:val="bottom"/>
            <w:tcBorders>
              <w:bottom w:val="single" w:sz="8" w:color="2D53A6"/>
              <w:right w:val="single" w:sz="8" w:color="2D53A6"/>
            </w:tcBorders>
            <w:shd w:val="clear" w:color="auto" w:fill="2D53A6"/>
          </w:tcPr>
          <w:p>
            <w:pPr>
              <w:spacing w:after="0"/>
              <w:rPr>
                <w:sz w:val="23"/>
                <w:szCs w:val="23"/>
                <w:color w:val="auto"/>
              </w:rPr>
            </w:pPr>
          </w:p>
        </w:tc>
        <w:tc>
          <w:tcPr>
            <w:tcW w:w="1540" w:type="dxa"/>
            <w:vAlign w:val="bottom"/>
            <w:tcBorders>
              <w:bottom w:val="single" w:sz="8" w:color="2D53A6"/>
              <w:right w:val="single" w:sz="8" w:color="2D53A6"/>
            </w:tcBorders>
            <w:shd w:val="clear" w:color="auto" w:fill="2D53A6"/>
          </w:tcPr>
          <w:p>
            <w:pPr>
              <w:spacing w:after="0"/>
              <w:rPr>
                <w:sz w:val="23"/>
                <w:szCs w:val="23"/>
                <w:color w:val="auto"/>
              </w:rPr>
            </w:pPr>
          </w:p>
        </w:tc>
        <w:tc>
          <w:tcPr>
            <w:tcW w:w="118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rPr>
              <w:t>Expires</w:t>
            </w:r>
          </w:p>
        </w:tc>
        <w:tc>
          <w:tcPr>
            <w:tcW w:w="660" w:type="dxa"/>
            <w:vAlign w:val="bottom"/>
            <w:tcBorders>
              <w:bottom w:val="single" w:sz="8" w:color="2D53A6"/>
              <w:right w:val="single" w:sz="8" w:color="2D53A6"/>
            </w:tcBorders>
            <w:shd w:val="clear" w:color="auto" w:fill="2D53A6"/>
          </w:tcPr>
          <w:p>
            <w:pPr>
              <w:spacing w:after="0"/>
              <w:rPr>
                <w:sz w:val="23"/>
                <w:szCs w:val="23"/>
                <w:color w:val="auto"/>
              </w:rPr>
            </w:pPr>
          </w:p>
        </w:tc>
        <w:tc>
          <w:tcPr>
            <w:tcW w:w="700" w:type="dxa"/>
            <w:vAlign w:val="bottom"/>
            <w:tcBorders>
              <w:bottom w:val="single" w:sz="8" w:color="2D53A6"/>
              <w:right w:val="single" w:sz="8" w:color="2D53A6"/>
            </w:tcBorders>
            <w:shd w:val="clear" w:color="auto" w:fill="2D53A6"/>
          </w:tcPr>
          <w:p>
            <w:pPr>
              <w:spacing w:after="0"/>
              <w:rPr>
                <w:sz w:val="23"/>
                <w:szCs w:val="23"/>
                <w:color w:val="auto"/>
              </w:rPr>
            </w:pPr>
          </w:p>
        </w:tc>
        <w:tc>
          <w:tcPr>
            <w:tcW w:w="660" w:type="dxa"/>
            <w:vAlign w:val="bottom"/>
            <w:tcBorders>
              <w:bottom w:val="single" w:sz="8" w:color="2D53A6"/>
              <w:right w:val="single" w:sz="8" w:color="2D53A6"/>
            </w:tcBorders>
            <w:shd w:val="clear" w:color="auto" w:fill="2D53A6"/>
          </w:tcPr>
          <w:p>
            <w:pPr>
              <w:spacing w:after="0"/>
              <w:rPr>
                <w:sz w:val="23"/>
                <w:szCs w:val="23"/>
                <w:color w:val="auto"/>
              </w:rPr>
            </w:pPr>
          </w:p>
        </w:tc>
        <w:tc>
          <w:tcPr>
            <w:tcW w:w="2780" w:type="dxa"/>
            <w:vAlign w:val="bottom"/>
            <w:tcBorders>
              <w:bottom w:val="single" w:sz="8" w:color="2D53A6"/>
            </w:tcBorders>
            <w:shd w:val="clear" w:color="auto" w:fill="2D53A6"/>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84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William E. Bendush</w:t>
            </w:r>
          </w:p>
        </w:tc>
        <w:tc>
          <w:tcPr>
            <w:tcW w:w="92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9"/>
              </w:rPr>
              <w:t>77</w:t>
            </w:r>
          </w:p>
        </w:tc>
        <w:tc>
          <w:tcPr>
            <w:tcW w:w="9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4"/>
              </w:rPr>
              <w:t>2011</w:t>
            </w:r>
          </w:p>
        </w:tc>
        <w:tc>
          <w:tcPr>
            <w:tcW w:w="15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6"/>
              </w:rPr>
              <w:t>Yes</w:t>
            </w:r>
          </w:p>
        </w:tc>
        <w:tc>
          <w:tcPr>
            <w:tcW w:w="11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9"/>
              </w:rPr>
              <w:t>1 -- 2026</w:t>
            </w:r>
          </w:p>
        </w:tc>
        <w:tc>
          <w:tcPr>
            <w:tcW w:w="660" w:type="dxa"/>
            <w:vAlign w:val="bottom"/>
            <w:tcBorders>
              <w:right w:val="single" w:sz="8" w:color="2D53A6"/>
            </w:tcBorders>
          </w:tcPr>
          <w:p>
            <w:pPr>
              <w:ind w:left="200"/>
              <w:spacing w:after="0"/>
              <w:rPr>
                <w:sz w:val="20"/>
                <w:szCs w:val="20"/>
                <w:color w:val="auto"/>
              </w:rPr>
            </w:pPr>
            <w:r>
              <w:rPr>
                <w:rFonts w:ascii="Arial" w:cs="Arial" w:eastAsia="Arial" w:hAnsi="Arial"/>
                <w:sz w:val="18"/>
                <w:szCs w:val="18"/>
                <w:color w:val="auto"/>
              </w:rPr>
              <w:t>C+</w:t>
            </w:r>
          </w:p>
        </w:tc>
        <w:tc>
          <w:tcPr>
            <w:tcW w:w="700" w:type="dxa"/>
            <w:vAlign w:val="bottom"/>
            <w:tcBorders>
              <w:right w:val="single" w:sz="8" w:color="2D53A6"/>
            </w:tcBorders>
          </w:tcPr>
          <w:p>
            <w:pPr>
              <w:spacing w:after="0"/>
              <w:rPr>
                <w:sz w:val="23"/>
                <w:szCs w:val="23"/>
                <w:color w:val="auto"/>
              </w:rPr>
            </w:pPr>
          </w:p>
        </w:tc>
        <w:tc>
          <w:tcPr>
            <w:tcW w:w="6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3"/>
              </w:rPr>
              <w:t>M</w:t>
            </w: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1840" w:type="dxa"/>
            <w:vAlign w:val="bottom"/>
            <w:tcBorders>
              <w:bottom w:val="single" w:sz="8" w:color="2D53A6"/>
              <w:right w:val="single" w:sz="8" w:color="2D53A6"/>
            </w:tcBorders>
          </w:tcPr>
          <w:p>
            <w:pPr>
              <w:spacing w:after="0"/>
              <w:rPr>
                <w:sz w:val="3"/>
                <w:szCs w:val="3"/>
                <w:color w:val="auto"/>
              </w:rPr>
            </w:pPr>
          </w:p>
        </w:tc>
        <w:tc>
          <w:tcPr>
            <w:tcW w:w="920" w:type="dxa"/>
            <w:vAlign w:val="bottom"/>
            <w:tcBorders>
              <w:bottom w:val="single" w:sz="8" w:color="2D53A6"/>
              <w:right w:val="single" w:sz="8" w:color="2D53A6"/>
            </w:tcBorders>
          </w:tcPr>
          <w:p>
            <w:pPr>
              <w:spacing w:after="0"/>
              <w:rPr>
                <w:sz w:val="3"/>
                <w:szCs w:val="3"/>
                <w:color w:val="auto"/>
              </w:rPr>
            </w:pPr>
          </w:p>
        </w:tc>
        <w:tc>
          <w:tcPr>
            <w:tcW w:w="960" w:type="dxa"/>
            <w:vAlign w:val="bottom"/>
            <w:tcBorders>
              <w:bottom w:val="single" w:sz="8" w:color="2D53A6"/>
              <w:right w:val="single" w:sz="8" w:color="2D53A6"/>
            </w:tcBorders>
          </w:tcPr>
          <w:p>
            <w:pPr>
              <w:spacing w:after="0"/>
              <w:rPr>
                <w:sz w:val="3"/>
                <w:szCs w:val="3"/>
                <w:color w:val="auto"/>
              </w:rPr>
            </w:pPr>
          </w:p>
        </w:tc>
        <w:tc>
          <w:tcPr>
            <w:tcW w:w="1540" w:type="dxa"/>
            <w:vAlign w:val="bottom"/>
            <w:tcBorders>
              <w:bottom w:val="single" w:sz="8" w:color="2D53A6"/>
              <w:right w:val="single" w:sz="8" w:color="2D53A6"/>
            </w:tcBorders>
          </w:tcPr>
          <w:p>
            <w:pPr>
              <w:spacing w:after="0"/>
              <w:rPr>
                <w:sz w:val="3"/>
                <w:szCs w:val="3"/>
                <w:color w:val="auto"/>
              </w:rPr>
            </w:pPr>
          </w:p>
        </w:tc>
        <w:tc>
          <w:tcPr>
            <w:tcW w:w="1180" w:type="dxa"/>
            <w:vAlign w:val="bottom"/>
            <w:tcBorders>
              <w:bottom w:val="single" w:sz="8" w:color="2D53A6"/>
              <w:right w:val="single" w:sz="8" w:color="2D53A6"/>
            </w:tcBorders>
          </w:tcPr>
          <w:p>
            <w:pPr>
              <w:spacing w:after="0"/>
              <w:rPr>
                <w:sz w:val="3"/>
                <w:szCs w:val="3"/>
                <w:color w:val="auto"/>
              </w:rPr>
            </w:pPr>
          </w:p>
        </w:tc>
        <w:tc>
          <w:tcPr>
            <w:tcW w:w="660" w:type="dxa"/>
            <w:vAlign w:val="bottom"/>
            <w:tcBorders>
              <w:bottom w:val="single" w:sz="8" w:color="2D53A6"/>
              <w:right w:val="single" w:sz="8" w:color="2D53A6"/>
            </w:tcBorders>
          </w:tcPr>
          <w:p>
            <w:pPr>
              <w:spacing w:after="0"/>
              <w:rPr>
                <w:sz w:val="3"/>
                <w:szCs w:val="3"/>
                <w:color w:val="auto"/>
              </w:rPr>
            </w:pPr>
          </w:p>
        </w:tc>
        <w:tc>
          <w:tcPr>
            <w:tcW w:w="700" w:type="dxa"/>
            <w:vAlign w:val="bottom"/>
            <w:tcBorders>
              <w:bottom w:val="single" w:sz="8" w:color="2D53A6"/>
              <w:right w:val="single" w:sz="8" w:color="2D53A6"/>
            </w:tcBorders>
          </w:tcPr>
          <w:p>
            <w:pPr>
              <w:spacing w:after="0"/>
              <w:rPr>
                <w:sz w:val="3"/>
                <w:szCs w:val="3"/>
                <w:color w:val="auto"/>
              </w:rPr>
            </w:pPr>
          </w:p>
        </w:tc>
        <w:tc>
          <w:tcPr>
            <w:tcW w:w="660" w:type="dxa"/>
            <w:vAlign w:val="bottom"/>
            <w:tcBorders>
              <w:bottom w:val="single" w:sz="8" w:color="2D53A6"/>
              <w:right w:val="single" w:sz="8" w:color="2D53A6"/>
            </w:tcBorders>
          </w:tcPr>
          <w:p>
            <w:pPr>
              <w:spacing w:after="0"/>
              <w:rPr>
                <w:sz w:val="3"/>
                <w:szCs w:val="3"/>
                <w:color w:val="auto"/>
              </w:rPr>
            </w:pPr>
          </w:p>
        </w:tc>
        <w:tc>
          <w:tcPr>
            <w:tcW w:w="278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1840" w:type="dxa"/>
            <w:vAlign w:val="bottom"/>
            <w:tcBorders>
              <w:right w:val="single" w:sz="8" w:color="2D53A6"/>
            </w:tcBorders>
            <w:vMerge w:val="restart"/>
            <w:shd w:val="clear" w:color="auto" w:fill="E6E6E6"/>
          </w:tcPr>
          <w:p>
            <w:pPr>
              <w:ind w:left="60"/>
              <w:spacing w:after="0"/>
              <w:rPr>
                <w:sz w:val="20"/>
                <w:szCs w:val="20"/>
                <w:color w:val="auto"/>
              </w:rPr>
            </w:pPr>
            <w:r>
              <w:rPr>
                <w:rFonts w:ascii="Arial" w:cs="Arial" w:eastAsia="Arial" w:hAnsi="Arial"/>
                <w:sz w:val="18"/>
                <w:szCs w:val="18"/>
                <w:color w:val="auto"/>
              </w:rPr>
              <w:t>Karen M. Rapp</w:t>
            </w:r>
          </w:p>
        </w:tc>
        <w:tc>
          <w:tcPr>
            <w:tcW w:w="9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58</w:t>
            </w:r>
          </w:p>
        </w:tc>
        <w:tc>
          <w:tcPr>
            <w:tcW w:w="9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2024</w:t>
            </w:r>
          </w:p>
        </w:tc>
        <w:tc>
          <w:tcPr>
            <w:tcW w:w="15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11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1 -- 2026</w:t>
            </w:r>
          </w:p>
        </w:tc>
        <w:tc>
          <w:tcPr>
            <w:tcW w:w="660" w:type="dxa"/>
            <w:vAlign w:val="bottom"/>
            <w:tcBorders>
              <w:right w:val="single" w:sz="8" w:color="2D53A6"/>
            </w:tcBorders>
            <w:vMerge w:val="restart"/>
            <w:shd w:val="clear" w:color="auto" w:fill="E6E6E6"/>
          </w:tcPr>
          <w:p>
            <w:pPr>
              <w:ind w:left="200"/>
              <w:spacing w:after="0"/>
              <w:rPr>
                <w:sz w:val="20"/>
                <w:szCs w:val="20"/>
                <w:color w:val="auto"/>
              </w:rPr>
            </w:pPr>
            <w:r>
              <w:rPr>
                <w:rFonts w:ascii="Arial" w:cs="Arial" w:eastAsia="Arial" w:hAnsi="Arial"/>
                <w:sz w:val="18"/>
                <w:szCs w:val="18"/>
                <w:color w:val="auto"/>
              </w:rPr>
              <w:t>M+</w:t>
            </w:r>
          </w:p>
        </w:tc>
        <w:tc>
          <w:tcPr>
            <w:tcW w:w="700" w:type="dxa"/>
            <w:vAlign w:val="bottom"/>
            <w:tcBorders>
              <w:right w:val="single" w:sz="8" w:color="2D53A6"/>
            </w:tcBorders>
            <w:shd w:val="clear" w:color="auto" w:fill="E6E6E6"/>
          </w:tcPr>
          <w:p>
            <w:pPr>
              <w:spacing w:after="0"/>
              <w:rPr>
                <w:sz w:val="20"/>
                <w:szCs w:val="20"/>
                <w:color w:val="auto"/>
              </w:rPr>
            </w:pPr>
          </w:p>
        </w:tc>
        <w:tc>
          <w:tcPr>
            <w:tcW w:w="660" w:type="dxa"/>
            <w:vAlign w:val="bottom"/>
            <w:tcBorders>
              <w:right w:val="single" w:sz="8" w:color="2D53A6"/>
            </w:tcBorders>
            <w:shd w:val="clear" w:color="auto" w:fill="E6E6E6"/>
          </w:tcPr>
          <w:p>
            <w:pPr>
              <w:spacing w:after="0"/>
              <w:rPr>
                <w:sz w:val="20"/>
                <w:szCs w:val="20"/>
                <w:color w:val="auto"/>
              </w:rPr>
            </w:pPr>
          </w:p>
        </w:tc>
        <w:tc>
          <w:tcPr>
            <w:tcW w:w="2780" w:type="dxa"/>
            <w:vAlign w:val="bottom"/>
            <w:shd w:val="clear" w:color="auto" w:fill="E6E6E6"/>
          </w:tcPr>
          <w:p>
            <w:pPr>
              <w:ind w:left="40"/>
              <w:spacing w:after="0"/>
              <w:rPr>
                <w:sz w:val="20"/>
                <w:szCs w:val="20"/>
                <w:color w:val="auto"/>
              </w:rPr>
            </w:pPr>
            <w:r>
              <w:rPr>
                <w:rFonts w:ascii="Arial" w:cs="Arial" w:eastAsia="Arial" w:hAnsi="Arial"/>
                <w:sz w:val="18"/>
                <w:szCs w:val="18"/>
                <w:color w:val="auto"/>
              </w:rPr>
              <w:t>Microchip Technology</w:t>
            </w:r>
          </w:p>
        </w:tc>
        <w:tc>
          <w:tcPr>
            <w:tcW w:w="0" w:type="dxa"/>
            <w:vAlign w:val="bottom"/>
          </w:tcPr>
          <w:p>
            <w:pPr>
              <w:spacing w:after="0"/>
              <w:rPr>
                <w:sz w:val="1"/>
                <w:szCs w:val="1"/>
                <w:color w:val="auto"/>
              </w:rPr>
            </w:pPr>
          </w:p>
        </w:tc>
      </w:tr>
      <w:tr>
        <w:trPr>
          <w:trHeight w:val="131"/>
        </w:trPr>
        <w:tc>
          <w:tcPr>
            <w:tcW w:w="1840" w:type="dxa"/>
            <w:vAlign w:val="bottom"/>
            <w:tcBorders>
              <w:right w:val="single" w:sz="8" w:color="2D53A6"/>
            </w:tcBorders>
            <w:vMerge w:val="continue"/>
            <w:shd w:val="clear" w:color="auto" w:fill="E6E6E6"/>
          </w:tcPr>
          <w:p>
            <w:pPr>
              <w:spacing w:after="0"/>
              <w:rPr>
                <w:sz w:val="11"/>
                <w:szCs w:val="11"/>
                <w:color w:val="auto"/>
              </w:rPr>
            </w:pPr>
          </w:p>
        </w:tc>
        <w:tc>
          <w:tcPr>
            <w:tcW w:w="920" w:type="dxa"/>
            <w:vAlign w:val="bottom"/>
            <w:tcBorders>
              <w:right w:val="single" w:sz="8" w:color="2D53A6"/>
            </w:tcBorders>
            <w:vMerge w:val="continue"/>
            <w:shd w:val="clear" w:color="auto" w:fill="E6E6E6"/>
          </w:tcPr>
          <w:p>
            <w:pPr>
              <w:spacing w:after="0"/>
              <w:rPr>
                <w:sz w:val="11"/>
                <w:szCs w:val="11"/>
                <w:color w:val="auto"/>
              </w:rPr>
            </w:pPr>
          </w:p>
        </w:tc>
        <w:tc>
          <w:tcPr>
            <w:tcW w:w="960" w:type="dxa"/>
            <w:vAlign w:val="bottom"/>
            <w:tcBorders>
              <w:right w:val="single" w:sz="8" w:color="2D53A6"/>
            </w:tcBorders>
            <w:vMerge w:val="continue"/>
            <w:shd w:val="clear" w:color="auto" w:fill="E6E6E6"/>
          </w:tcPr>
          <w:p>
            <w:pPr>
              <w:spacing w:after="0"/>
              <w:rPr>
                <w:sz w:val="11"/>
                <w:szCs w:val="11"/>
                <w:color w:val="auto"/>
              </w:rPr>
            </w:pPr>
          </w:p>
        </w:tc>
        <w:tc>
          <w:tcPr>
            <w:tcW w:w="1540" w:type="dxa"/>
            <w:vAlign w:val="bottom"/>
            <w:tcBorders>
              <w:right w:val="single" w:sz="8" w:color="2D53A6"/>
            </w:tcBorders>
            <w:vMerge w:val="continue"/>
            <w:shd w:val="clear" w:color="auto" w:fill="E6E6E6"/>
          </w:tcPr>
          <w:p>
            <w:pPr>
              <w:spacing w:after="0"/>
              <w:rPr>
                <w:sz w:val="11"/>
                <w:szCs w:val="11"/>
                <w:color w:val="auto"/>
              </w:rPr>
            </w:pPr>
          </w:p>
        </w:tc>
        <w:tc>
          <w:tcPr>
            <w:tcW w:w="1180" w:type="dxa"/>
            <w:vAlign w:val="bottom"/>
            <w:tcBorders>
              <w:right w:val="single" w:sz="8" w:color="2D53A6"/>
            </w:tcBorders>
            <w:vMerge w:val="continue"/>
            <w:shd w:val="clear" w:color="auto" w:fill="E6E6E6"/>
          </w:tcPr>
          <w:p>
            <w:pPr>
              <w:spacing w:after="0"/>
              <w:rPr>
                <w:sz w:val="11"/>
                <w:szCs w:val="11"/>
                <w:color w:val="auto"/>
              </w:rPr>
            </w:pPr>
          </w:p>
        </w:tc>
        <w:tc>
          <w:tcPr>
            <w:tcW w:w="66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shd w:val="clear" w:color="auto" w:fill="E6E6E6"/>
          </w:tcPr>
          <w:p>
            <w:pPr>
              <w:spacing w:after="0"/>
              <w:rPr>
                <w:sz w:val="11"/>
                <w:szCs w:val="11"/>
                <w:color w:val="auto"/>
              </w:rPr>
            </w:pPr>
          </w:p>
        </w:tc>
        <w:tc>
          <w:tcPr>
            <w:tcW w:w="660" w:type="dxa"/>
            <w:vAlign w:val="bottom"/>
            <w:tcBorders>
              <w:right w:val="single" w:sz="8" w:color="2D53A6"/>
            </w:tcBorders>
            <w:shd w:val="clear" w:color="auto" w:fill="E6E6E6"/>
          </w:tcPr>
          <w:p>
            <w:pPr>
              <w:spacing w:after="0"/>
              <w:rPr>
                <w:sz w:val="11"/>
                <w:szCs w:val="11"/>
                <w:color w:val="auto"/>
              </w:rPr>
            </w:pPr>
          </w:p>
        </w:tc>
        <w:tc>
          <w:tcPr>
            <w:tcW w:w="2780" w:type="dxa"/>
            <w:vAlign w:val="bottom"/>
            <w:vMerge w:val="restart"/>
            <w:shd w:val="clear" w:color="auto" w:fill="E6E6E6"/>
          </w:tcPr>
          <w:p>
            <w:pPr>
              <w:ind w:left="40"/>
              <w:spacing w:after="0"/>
              <w:rPr>
                <w:sz w:val="20"/>
                <w:szCs w:val="20"/>
                <w:color w:val="auto"/>
              </w:rPr>
            </w:pPr>
            <w:r>
              <w:rPr>
                <w:rFonts w:ascii="Arial" w:cs="Arial" w:eastAsia="Arial" w:hAnsi="Arial"/>
                <w:sz w:val="18"/>
                <w:szCs w:val="18"/>
                <w:color w:val="auto"/>
              </w:rPr>
              <w:t>Incorporated, Plexus Corp.</w:t>
            </w:r>
          </w:p>
        </w:tc>
        <w:tc>
          <w:tcPr>
            <w:tcW w:w="0" w:type="dxa"/>
            <w:vAlign w:val="bottom"/>
          </w:tcPr>
          <w:p>
            <w:pPr>
              <w:spacing w:after="0"/>
              <w:rPr>
                <w:sz w:val="1"/>
                <w:szCs w:val="1"/>
                <w:color w:val="auto"/>
              </w:rPr>
            </w:pPr>
          </w:p>
        </w:tc>
      </w:tr>
      <w:tr>
        <w:trPr>
          <w:trHeight w:val="144"/>
        </w:trPr>
        <w:tc>
          <w:tcPr>
            <w:tcW w:w="1840" w:type="dxa"/>
            <w:vAlign w:val="bottom"/>
            <w:tcBorders>
              <w:bottom w:val="single" w:sz="8" w:color="E6E6E6"/>
              <w:right w:val="single" w:sz="8" w:color="2D53A6"/>
            </w:tcBorders>
            <w:shd w:val="clear" w:color="auto" w:fill="E6E6E6"/>
          </w:tcPr>
          <w:p>
            <w:pPr>
              <w:spacing w:after="0"/>
              <w:rPr>
                <w:sz w:val="12"/>
                <w:szCs w:val="12"/>
                <w:color w:val="auto"/>
              </w:rPr>
            </w:pPr>
          </w:p>
        </w:tc>
        <w:tc>
          <w:tcPr>
            <w:tcW w:w="920" w:type="dxa"/>
            <w:vAlign w:val="bottom"/>
            <w:tcBorders>
              <w:bottom w:val="single" w:sz="8" w:color="E6E6E6"/>
              <w:right w:val="single" w:sz="8" w:color="2D53A6"/>
            </w:tcBorders>
            <w:shd w:val="clear" w:color="auto" w:fill="E6E6E6"/>
          </w:tcPr>
          <w:p>
            <w:pPr>
              <w:spacing w:after="0"/>
              <w:rPr>
                <w:sz w:val="12"/>
                <w:szCs w:val="12"/>
                <w:color w:val="auto"/>
              </w:rPr>
            </w:pPr>
          </w:p>
        </w:tc>
        <w:tc>
          <w:tcPr>
            <w:tcW w:w="960" w:type="dxa"/>
            <w:vAlign w:val="bottom"/>
            <w:tcBorders>
              <w:bottom w:val="single" w:sz="8" w:color="E6E6E6"/>
              <w:right w:val="single" w:sz="8" w:color="2D53A6"/>
            </w:tcBorders>
            <w:shd w:val="clear" w:color="auto" w:fill="E6E6E6"/>
          </w:tcPr>
          <w:p>
            <w:pPr>
              <w:spacing w:after="0"/>
              <w:rPr>
                <w:sz w:val="12"/>
                <w:szCs w:val="12"/>
                <w:color w:val="auto"/>
              </w:rPr>
            </w:pPr>
          </w:p>
        </w:tc>
        <w:tc>
          <w:tcPr>
            <w:tcW w:w="1540" w:type="dxa"/>
            <w:vAlign w:val="bottom"/>
            <w:tcBorders>
              <w:bottom w:val="single" w:sz="8" w:color="E6E6E6"/>
              <w:right w:val="single" w:sz="8" w:color="2D53A6"/>
            </w:tcBorders>
            <w:shd w:val="clear" w:color="auto" w:fill="E6E6E6"/>
          </w:tcPr>
          <w:p>
            <w:pPr>
              <w:spacing w:after="0"/>
              <w:rPr>
                <w:sz w:val="12"/>
                <w:szCs w:val="12"/>
                <w:color w:val="auto"/>
              </w:rPr>
            </w:pPr>
          </w:p>
        </w:tc>
        <w:tc>
          <w:tcPr>
            <w:tcW w:w="1180" w:type="dxa"/>
            <w:vAlign w:val="bottom"/>
            <w:tcBorders>
              <w:bottom w:val="single" w:sz="8" w:color="E6E6E6"/>
              <w:right w:val="single" w:sz="8" w:color="2D53A6"/>
            </w:tcBorders>
            <w:shd w:val="clear" w:color="auto" w:fill="E6E6E6"/>
          </w:tcPr>
          <w:p>
            <w:pPr>
              <w:spacing w:after="0"/>
              <w:rPr>
                <w:sz w:val="12"/>
                <w:szCs w:val="12"/>
                <w:color w:val="auto"/>
              </w:rPr>
            </w:pPr>
          </w:p>
        </w:tc>
        <w:tc>
          <w:tcPr>
            <w:tcW w:w="660" w:type="dxa"/>
            <w:vAlign w:val="bottom"/>
            <w:tcBorders>
              <w:bottom w:val="single" w:sz="8" w:color="E6E6E6"/>
              <w:right w:val="single" w:sz="8" w:color="2D53A6"/>
            </w:tcBorders>
            <w:shd w:val="clear" w:color="auto" w:fill="E6E6E6"/>
          </w:tcPr>
          <w:p>
            <w:pPr>
              <w:spacing w:after="0"/>
              <w:rPr>
                <w:sz w:val="12"/>
                <w:szCs w:val="12"/>
                <w:color w:val="auto"/>
              </w:rPr>
            </w:pPr>
          </w:p>
        </w:tc>
        <w:tc>
          <w:tcPr>
            <w:tcW w:w="700" w:type="dxa"/>
            <w:vAlign w:val="bottom"/>
            <w:tcBorders>
              <w:bottom w:val="single" w:sz="8" w:color="E6E6E6"/>
              <w:right w:val="single" w:sz="8" w:color="2D53A6"/>
            </w:tcBorders>
            <w:shd w:val="clear" w:color="auto" w:fill="E6E6E6"/>
          </w:tcPr>
          <w:p>
            <w:pPr>
              <w:spacing w:after="0"/>
              <w:rPr>
                <w:sz w:val="12"/>
                <w:szCs w:val="12"/>
                <w:color w:val="auto"/>
              </w:rPr>
            </w:pPr>
          </w:p>
        </w:tc>
        <w:tc>
          <w:tcPr>
            <w:tcW w:w="660" w:type="dxa"/>
            <w:vAlign w:val="bottom"/>
            <w:tcBorders>
              <w:bottom w:val="single" w:sz="8" w:color="E6E6E6"/>
              <w:right w:val="single" w:sz="8" w:color="2D53A6"/>
            </w:tcBorders>
            <w:shd w:val="clear" w:color="auto" w:fill="E6E6E6"/>
          </w:tcPr>
          <w:p>
            <w:pPr>
              <w:spacing w:after="0"/>
              <w:rPr>
                <w:sz w:val="12"/>
                <w:szCs w:val="12"/>
                <w:color w:val="auto"/>
              </w:rPr>
            </w:pPr>
          </w:p>
        </w:tc>
        <w:tc>
          <w:tcPr>
            <w:tcW w:w="2780" w:type="dxa"/>
            <w:vAlign w:val="bottom"/>
            <w:tcBorders>
              <w:bottom w:val="single" w:sz="8" w:color="E6E6E6"/>
            </w:tcBorders>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840" w:type="dxa"/>
            <w:vAlign w:val="bottom"/>
            <w:tcBorders>
              <w:top w:val="single" w:sz="8" w:color="2D53A6"/>
              <w:right w:val="single" w:sz="8" w:color="2D53A6"/>
            </w:tcBorders>
            <w:vMerge w:val="restart"/>
          </w:tcPr>
          <w:p>
            <w:pPr>
              <w:ind w:left="60"/>
              <w:spacing w:after="0"/>
              <w:rPr>
                <w:sz w:val="20"/>
                <w:szCs w:val="20"/>
                <w:color w:val="auto"/>
              </w:rPr>
            </w:pPr>
            <w:r>
              <w:rPr>
                <w:rFonts w:ascii="Arial" w:cs="Arial" w:eastAsia="Arial" w:hAnsi="Arial"/>
                <w:sz w:val="18"/>
                <w:szCs w:val="18"/>
                <w:color w:val="auto"/>
              </w:rPr>
              <w:t>Nina L. Richardson</w:t>
            </w:r>
          </w:p>
        </w:tc>
        <w:tc>
          <w:tcPr>
            <w:tcW w:w="92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67</w:t>
            </w:r>
          </w:p>
        </w:tc>
        <w:tc>
          <w:tcPr>
            <w:tcW w:w="96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2019</w:t>
            </w:r>
          </w:p>
        </w:tc>
        <w:tc>
          <w:tcPr>
            <w:tcW w:w="154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6"/>
              </w:rPr>
              <w:t>Yes</w:t>
            </w:r>
          </w:p>
        </w:tc>
        <w:tc>
          <w:tcPr>
            <w:tcW w:w="118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1 -- 2026</w:t>
            </w:r>
          </w:p>
        </w:tc>
        <w:tc>
          <w:tcPr>
            <w:tcW w:w="660" w:type="dxa"/>
            <w:vAlign w:val="bottom"/>
            <w:tcBorders>
              <w:top w:val="single" w:sz="8" w:color="2D53A6"/>
              <w:right w:val="single" w:sz="8" w:color="2D53A6"/>
            </w:tcBorders>
          </w:tcPr>
          <w:p>
            <w:pPr>
              <w:spacing w:after="0"/>
              <w:rPr>
                <w:sz w:val="20"/>
                <w:szCs w:val="20"/>
                <w:color w:val="auto"/>
              </w:rPr>
            </w:pPr>
          </w:p>
        </w:tc>
        <w:tc>
          <w:tcPr>
            <w:tcW w:w="70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3"/>
              </w:rPr>
              <w:t>M</w:t>
            </w:r>
          </w:p>
        </w:tc>
        <w:tc>
          <w:tcPr>
            <w:tcW w:w="660" w:type="dxa"/>
            <w:vAlign w:val="bottom"/>
            <w:tcBorders>
              <w:top w:val="single" w:sz="8" w:color="2D53A6"/>
              <w:right w:val="single" w:sz="8" w:color="2D53A6"/>
            </w:tcBorders>
          </w:tcPr>
          <w:p>
            <w:pPr>
              <w:spacing w:after="0"/>
              <w:rPr>
                <w:sz w:val="20"/>
                <w:szCs w:val="20"/>
                <w:color w:val="auto"/>
              </w:rPr>
            </w:pPr>
          </w:p>
        </w:tc>
        <w:tc>
          <w:tcPr>
            <w:tcW w:w="2780" w:type="dxa"/>
            <w:vAlign w:val="bottom"/>
            <w:tcBorders>
              <w:top w:val="single" w:sz="8" w:color="2D53A6"/>
            </w:tcBorders>
          </w:tcPr>
          <w:p>
            <w:pPr>
              <w:ind w:left="40"/>
              <w:spacing w:after="0"/>
              <w:rPr>
                <w:sz w:val="20"/>
                <w:szCs w:val="20"/>
                <w:color w:val="auto"/>
              </w:rPr>
            </w:pPr>
            <w:r>
              <w:rPr>
                <w:rFonts w:ascii="Arial" w:cs="Arial" w:eastAsia="Arial" w:hAnsi="Arial"/>
                <w:sz w:val="18"/>
                <w:szCs w:val="18"/>
                <w:color w:val="auto"/>
              </w:rPr>
              <w:t>Resideo Technologies, Inc.,</w:t>
            </w:r>
          </w:p>
        </w:tc>
        <w:tc>
          <w:tcPr>
            <w:tcW w:w="0" w:type="dxa"/>
            <w:vAlign w:val="bottom"/>
          </w:tcPr>
          <w:p>
            <w:pPr>
              <w:spacing w:after="0"/>
              <w:rPr>
                <w:sz w:val="1"/>
                <w:szCs w:val="1"/>
                <w:color w:val="auto"/>
              </w:rPr>
            </w:pPr>
          </w:p>
        </w:tc>
      </w:tr>
      <w:tr>
        <w:trPr>
          <w:trHeight w:val="131"/>
        </w:trPr>
        <w:tc>
          <w:tcPr>
            <w:tcW w:w="1840" w:type="dxa"/>
            <w:vAlign w:val="bottom"/>
            <w:tcBorders>
              <w:right w:val="single" w:sz="8" w:color="2D53A6"/>
            </w:tcBorders>
            <w:vMerge w:val="continue"/>
          </w:tcPr>
          <w:p>
            <w:pPr>
              <w:spacing w:after="0"/>
              <w:rPr>
                <w:sz w:val="11"/>
                <w:szCs w:val="11"/>
                <w:color w:val="auto"/>
              </w:rPr>
            </w:pPr>
          </w:p>
        </w:tc>
        <w:tc>
          <w:tcPr>
            <w:tcW w:w="920" w:type="dxa"/>
            <w:vAlign w:val="bottom"/>
            <w:tcBorders>
              <w:right w:val="single" w:sz="8" w:color="2D53A6"/>
            </w:tcBorders>
            <w:vMerge w:val="continue"/>
          </w:tcPr>
          <w:p>
            <w:pPr>
              <w:spacing w:after="0"/>
              <w:rPr>
                <w:sz w:val="11"/>
                <w:szCs w:val="11"/>
                <w:color w:val="auto"/>
              </w:rPr>
            </w:pPr>
          </w:p>
        </w:tc>
        <w:tc>
          <w:tcPr>
            <w:tcW w:w="960" w:type="dxa"/>
            <w:vAlign w:val="bottom"/>
            <w:tcBorders>
              <w:right w:val="single" w:sz="8" w:color="2D53A6"/>
            </w:tcBorders>
            <w:vMerge w:val="continue"/>
          </w:tcPr>
          <w:p>
            <w:pPr>
              <w:spacing w:after="0"/>
              <w:rPr>
                <w:sz w:val="11"/>
                <w:szCs w:val="11"/>
                <w:color w:val="auto"/>
              </w:rPr>
            </w:pPr>
          </w:p>
        </w:tc>
        <w:tc>
          <w:tcPr>
            <w:tcW w:w="1540" w:type="dxa"/>
            <w:vAlign w:val="bottom"/>
            <w:tcBorders>
              <w:right w:val="single" w:sz="8" w:color="2D53A6"/>
            </w:tcBorders>
            <w:vMerge w:val="continue"/>
          </w:tcPr>
          <w:p>
            <w:pPr>
              <w:spacing w:after="0"/>
              <w:rPr>
                <w:sz w:val="11"/>
                <w:szCs w:val="11"/>
                <w:color w:val="auto"/>
              </w:rPr>
            </w:pPr>
          </w:p>
        </w:tc>
        <w:tc>
          <w:tcPr>
            <w:tcW w:w="1180" w:type="dxa"/>
            <w:vAlign w:val="bottom"/>
            <w:tcBorders>
              <w:right w:val="single" w:sz="8" w:color="2D53A6"/>
            </w:tcBorders>
            <w:vMerge w:val="continue"/>
          </w:tcPr>
          <w:p>
            <w:pPr>
              <w:spacing w:after="0"/>
              <w:rPr>
                <w:sz w:val="11"/>
                <w:szCs w:val="11"/>
                <w:color w:val="auto"/>
              </w:rPr>
            </w:pPr>
          </w:p>
        </w:tc>
        <w:tc>
          <w:tcPr>
            <w:tcW w:w="660" w:type="dxa"/>
            <w:vAlign w:val="bottom"/>
            <w:tcBorders>
              <w:right w:val="single" w:sz="8" w:color="2D53A6"/>
            </w:tcBorders>
          </w:tcPr>
          <w:p>
            <w:pPr>
              <w:spacing w:after="0"/>
              <w:rPr>
                <w:sz w:val="11"/>
                <w:szCs w:val="11"/>
                <w:color w:val="auto"/>
              </w:rPr>
            </w:pPr>
          </w:p>
        </w:tc>
        <w:tc>
          <w:tcPr>
            <w:tcW w:w="700" w:type="dxa"/>
            <w:vAlign w:val="bottom"/>
            <w:tcBorders>
              <w:right w:val="single" w:sz="8" w:color="2D53A6"/>
            </w:tcBorders>
            <w:vMerge w:val="continue"/>
          </w:tcPr>
          <w:p>
            <w:pPr>
              <w:spacing w:after="0"/>
              <w:rPr>
                <w:sz w:val="11"/>
                <w:szCs w:val="11"/>
                <w:color w:val="auto"/>
              </w:rPr>
            </w:pPr>
          </w:p>
        </w:tc>
        <w:tc>
          <w:tcPr>
            <w:tcW w:w="660" w:type="dxa"/>
            <w:vAlign w:val="bottom"/>
            <w:tcBorders>
              <w:right w:val="single" w:sz="8" w:color="2D53A6"/>
            </w:tcBorders>
          </w:tcPr>
          <w:p>
            <w:pPr>
              <w:spacing w:after="0"/>
              <w:rPr>
                <w:sz w:val="11"/>
                <w:szCs w:val="11"/>
                <w:color w:val="auto"/>
              </w:rPr>
            </w:pPr>
          </w:p>
        </w:tc>
        <w:tc>
          <w:tcPr>
            <w:tcW w:w="2780" w:type="dxa"/>
            <w:vAlign w:val="bottom"/>
            <w:vMerge w:val="restart"/>
          </w:tcPr>
          <w:p>
            <w:pPr>
              <w:ind w:left="40"/>
              <w:spacing w:after="0"/>
              <w:rPr>
                <w:sz w:val="20"/>
                <w:szCs w:val="20"/>
                <w:color w:val="auto"/>
              </w:rPr>
            </w:pPr>
            <w:r>
              <w:rPr>
                <w:rFonts w:ascii="Arial" w:cs="Arial" w:eastAsia="Arial" w:hAnsi="Arial"/>
                <w:sz w:val="18"/>
                <w:szCs w:val="18"/>
                <w:color w:val="auto"/>
              </w:rPr>
              <w:t>Silicon Laboratories Inc.</w:t>
            </w:r>
          </w:p>
        </w:tc>
        <w:tc>
          <w:tcPr>
            <w:tcW w:w="0" w:type="dxa"/>
            <w:vAlign w:val="bottom"/>
          </w:tcPr>
          <w:p>
            <w:pPr>
              <w:spacing w:after="0"/>
              <w:rPr>
                <w:sz w:val="1"/>
                <w:szCs w:val="1"/>
                <w:color w:val="auto"/>
              </w:rPr>
            </w:pPr>
          </w:p>
        </w:tc>
      </w:tr>
      <w:tr>
        <w:trPr>
          <w:trHeight w:val="108"/>
        </w:trPr>
        <w:tc>
          <w:tcPr>
            <w:tcW w:w="1840" w:type="dxa"/>
            <w:vAlign w:val="bottom"/>
            <w:tcBorders>
              <w:right w:val="single" w:sz="8" w:color="2D53A6"/>
            </w:tcBorders>
          </w:tcPr>
          <w:p>
            <w:pPr>
              <w:spacing w:after="0"/>
              <w:rPr>
                <w:sz w:val="9"/>
                <w:szCs w:val="9"/>
                <w:color w:val="auto"/>
              </w:rPr>
            </w:pPr>
          </w:p>
        </w:tc>
        <w:tc>
          <w:tcPr>
            <w:tcW w:w="920" w:type="dxa"/>
            <w:vAlign w:val="bottom"/>
            <w:tcBorders>
              <w:right w:val="single" w:sz="8" w:color="2D53A6"/>
            </w:tcBorders>
          </w:tcPr>
          <w:p>
            <w:pPr>
              <w:spacing w:after="0"/>
              <w:rPr>
                <w:sz w:val="9"/>
                <w:szCs w:val="9"/>
                <w:color w:val="auto"/>
              </w:rPr>
            </w:pPr>
          </w:p>
        </w:tc>
        <w:tc>
          <w:tcPr>
            <w:tcW w:w="960" w:type="dxa"/>
            <w:vAlign w:val="bottom"/>
            <w:tcBorders>
              <w:right w:val="single" w:sz="8" w:color="2D53A6"/>
            </w:tcBorders>
          </w:tcPr>
          <w:p>
            <w:pPr>
              <w:spacing w:after="0"/>
              <w:rPr>
                <w:sz w:val="9"/>
                <w:szCs w:val="9"/>
                <w:color w:val="auto"/>
              </w:rPr>
            </w:pPr>
          </w:p>
        </w:tc>
        <w:tc>
          <w:tcPr>
            <w:tcW w:w="1540" w:type="dxa"/>
            <w:vAlign w:val="bottom"/>
            <w:tcBorders>
              <w:right w:val="single" w:sz="8" w:color="2D53A6"/>
            </w:tcBorders>
          </w:tcPr>
          <w:p>
            <w:pPr>
              <w:spacing w:after="0"/>
              <w:rPr>
                <w:sz w:val="9"/>
                <w:szCs w:val="9"/>
                <w:color w:val="auto"/>
              </w:rPr>
            </w:pPr>
          </w:p>
        </w:tc>
        <w:tc>
          <w:tcPr>
            <w:tcW w:w="1180" w:type="dxa"/>
            <w:vAlign w:val="bottom"/>
            <w:tcBorders>
              <w:right w:val="single" w:sz="8" w:color="2D53A6"/>
            </w:tcBorders>
          </w:tcPr>
          <w:p>
            <w:pPr>
              <w:spacing w:after="0"/>
              <w:rPr>
                <w:sz w:val="9"/>
                <w:szCs w:val="9"/>
                <w:color w:val="auto"/>
              </w:rPr>
            </w:pPr>
          </w:p>
        </w:tc>
        <w:tc>
          <w:tcPr>
            <w:tcW w:w="660" w:type="dxa"/>
            <w:vAlign w:val="bottom"/>
            <w:tcBorders>
              <w:right w:val="single" w:sz="8" w:color="2D53A6"/>
            </w:tcBorders>
          </w:tcPr>
          <w:p>
            <w:pPr>
              <w:spacing w:after="0"/>
              <w:rPr>
                <w:sz w:val="9"/>
                <w:szCs w:val="9"/>
                <w:color w:val="auto"/>
              </w:rPr>
            </w:pPr>
          </w:p>
        </w:tc>
        <w:tc>
          <w:tcPr>
            <w:tcW w:w="700" w:type="dxa"/>
            <w:vAlign w:val="bottom"/>
            <w:tcBorders>
              <w:right w:val="single" w:sz="8" w:color="2D53A6"/>
            </w:tcBorders>
          </w:tcPr>
          <w:p>
            <w:pPr>
              <w:spacing w:after="0"/>
              <w:rPr>
                <w:sz w:val="9"/>
                <w:szCs w:val="9"/>
                <w:color w:val="auto"/>
              </w:rPr>
            </w:pPr>
          </w:p>
        </w:tc>
        <w:tc>
          <w:tcPr>
            <w:tcW w:w="660" w:type="dxa"/>
            <w:vAlign w:val="bottom"/>
            <w:tcBorders>
              <w:right w:val="single" w:sz="8" w:color="2D53A6"/>
            </w:tcBorders>
          </w:tcPr>
          <w:p>
            <w:pPr>
              <w:spacing w:after="0"/>
              <w:rPr>
                <w:sz w:val="9"/>
                <w:szCs w:val="9"/>
                <w:color w:val="auto"/>
              </w:rPr>
            </w:pPr>
          </w:p>
        </w:tc>
        <w:tc>
          <w:tcPr>
            <w:tcW w:w="2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840" w:type="dxa"/>
            <w:vAlign w:val="bottom"/>
            <w:tcBorders>
              <w:bottom w:val="single" w:sz="8" w:color="2D53A6"/>
              <w:right w:val="single" w:sz="8" w:color="2D53A6"/>
            </w:tcBorders>
          </w:tcPr>
          <w:p>
            <w:pPr>
              <w:spacing w:after="0"/>
              <w:rPr>
                <w:sz w:val="3"/>
                <w:szCs w:val="3"/>
                <w:color w:val="auto"/>
              </w:rPr>
            </w:pPr>
          </w:p>
        </w:tc>
        <w:tc>
          <w:tcPr>
            <w:tcW w:w="920" w:type="dxa"/>
            <w:vAlign w:val="bottom"/>
            <w:tcBorders>
              <w:bottom w:val="single" w:sz="8" w:color="2D53A6"/>
              <w:right w:val="single" w:sz="8" w:color="2D53A6"/>
            </w:tcBorders>
          </w:tcPr>
          <w:p>
            <w:pPr>
              <w:spacing w:after="0"/>
              <w:rPr>
                <w:sz w:val="3"/>
                <w:szCs w:val="3"/>
                <w:color w:val="auto"/>
              </w:rPr>
            </w:pPr>
          </w:p>
        </w:tc>
        <w:tc>
          <w:tcPr>
            <w:tcW w:w="960" w:type="dxa"/>
            <w:vAlign w:val="bottom"/>
            <w:tcBorders>
              <w:bottom w:val="single" w:sz="8" w:color="2D53A6"/>
              <w:right w:val="single" w:sz="8" w:color="2D53A6"/>
            </w:tcBorders>
          </w:tcPr>
          <w:p>
            <w:pPr>
              <w:spacing w:after="0"/>
              <w:rPr>
                <w:sz w:val="3"/>
                <w:szCs w:val="3"/>
                <w:color w:val="auto"/>
              </w:rPr>
            </w:pPr>
          </w:p>
        </w:tc>
        <w:tc>
          <w:tcPr>
            <w:tcW w:w="1540" w:type="dxa"/>
            <w:vAlign w:val="bottom"/>
            <w:tcBorders>
              <w:bottom w:val="single" w:sz="8" w:color="2D53A6"/>
              <w:right w:val="single" w:sz="8" w:color="2D53A6"/>
            </w:tcBorders>
          </w:tcPr>
          <w:p>
            <w:pPr>
              <w:spacing w:after="0"/>
              <w:rPr>
                <w:sz w:val="3"/>
                <w:szCs w:val="3"/>
                <w:color w:val="auto"/>
              </w:rPr>
            </w:pPr>
          </w:p>
        </w:tc>
        <w:tc>
          <w:tcPr>
            <w:tcW w:w="1180" w:type="dxa"/>
            <w:vAlign w:val="bottom"/>
            <w:tcBorders>
              <w:bottom w:val="single" w:sz="8" w:color="2D53A6"/>
              <w:right w:val="single" w:sz="8" w:color="2D53A6"/>
            </w:tcBorders>
          </w:tcPr>
          <w:p>
            <w:pPr>
              <w:spacing w:after="0"/>
              <w:rPr>
                <w:sz w:val="3"/>
                <w:szCs w:val="3"/>
                <w:color w:val="auto"/>
              </w:rPr>
            </w:pPr>
          </w:p>
        </w:tc>
        <w:tc>
          <w:tcPr>
            <w:tcW w:w="660" w:type="dxa"/>
            <w:vAlign w:val="bottom"/>
            <w:tcBorders>
              <w:bottom w:val="single" w:sz="8" w:color="2D53A6"/>
              <w:right w:val="single" w:sz="8" w:color="2D53A6"/>
            </w:tcBorders>
          </w:tcPr>
          <w:p>
            <w:pPr>
              <w:spacing w:after="0"/>
              <w:rPr>
                <w:sz w:val="3"/>
                <w:szCs w:val="3"/>
                <w:color w:val="auto"/>
              </w:rPr>
            </w:pPr>
          </w:p>
        </w:tc>
        <w:tc>
          <w:tcPr>
            <w:tcW w:w="700" w:type="dxa"/>
            <w:vAlign w:val="bottom"/>
            <w:tcBorders>
              <w:bottom w:val="single" w:sz="8" w:color="2D53A6"/>
              <w:right w:val="single" w:sz="8" w:color="2D53A6"/>
            </w:tcBorders>
          </w:tcPr>
          <w:p>
            <w:pPr>
              <w:spacing w:after="0"/>
              <w:rPr>
                <w:sz w:val="3"/>
                <w:szCs w:val="3"/>
                <w:color w:val="auto"/>
              </w:rPr>
            </w:pPr>
          </w:p>
        </w:tc>
        <w:tc>
          <w:tcPr>
            <w:tcW w:w="660" w:type="dxa"/>
            <w:vAlign w:val="bottom"/>
            <w:tcBorders>
              <w:bottom w:val="single" w:sz="8" w:color="2D53A6"/>
              <w:right w:val="single" w:sz="8" w:color="2D53A6"/>
            </w:tcBorders>
          </w:tcPr>
          <w:p>
            <w:pPr>
              <w:spacing w:after="0"/>
              <w:rPr>
                <w:sz w:val="3"/>
                <w:szCs w:val="3"/>
                <w:color w:val="auto"/>
              </w:rPr>
            </w:pPr>
          </w:p>
        </w:tc>
        <w:tc>
          <w:tcPr>
            <w:tcW w:w="278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260" w:type="dxa"/>
            <w:vAlign w:val="bottom"/>
            <w:gridSpan w:val="4"/>
          </w:tcPr>
          <w:p>
            <w:pPr>
              <w:ind w:left="60"/>
              <w:spacing w:after="0"/>
              <w:rPr>
                <w:sz w:val="20"/>
                <w:szCs w:val="20"/>
                <w:color w:val="auto"/>
              </w:rPr>
            </w:pPr>
            <w:r>
              <w:rPr>
                <w:rFonts w:ascii="Arial" w:cs="Arial" w:eastAsia="Arial" w:hAnsi="Arial"/>
                <w:sz w:val="18"/>
                <w:szCs w:val="18"/>
                <w:i w:val="1"/>
                <w:iCs w:val="1"/>
                <w:color w:val="auto"/>
              </w:rPr>
              <w:t>Other Directors Not Standing for Election in 2026</w:t>
            </w: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1840" w:type="dxa"/>
            <w:vAlign w:val="bottom"/>
            <w:tcBorders>
              <w:bottom w:val="single" w:sz="8" w:color="2D53A6"/>
            </w:tcBorders>
          </w:tcPr>
          <w:p>
            <w:pPr>
              <w:spacing w:after="0"/>
              <w:rPr>
                <w:sz w:val="3"/>
                <w:szCs w:val="3"/>
                <w:color w:val="auto"/>
              </w:rPr>
            </w:pPr>
          </w:p>
        </w:tc>
        <w:tc>
          <w:tcPr>
            <w:tcW w:w="920" w:type="dxa"/>
            <w:vAlign w:val="bottom"/>
            <w:tcBorders>
              <w:bottom w:val="single" w:sz="8" w:color="2D53A6"/>
            </w:tcBorders>
          </w:tcPr>
          <w:p>
            <w:pPr>
              <w:spacing w:after="0"/>
              <w:rPr>
                <w:sz w:val="3"/>
                <w:szCs w:val="3"/>
                <w:color w:val="auto"/>
              </w:rPr>
            </w:pPr>
          </w:p>
        </w:tc>
        <w:tc>
          <w:tcPr>
            <w:tcW w:w="960" w:type="dxa"/>
            <w:vAlign w:val="bottom"/>
            <w:tcBorders>
              <w:bottom w:val="single" w:sz="8" w:color="2D53A6"/>
            </w:tcBorders>
          </w:tcPr>
          <w:p>
            <w:pPr>
              <w:spacing w:after="0"/>
              <w:rPr>
                <w:sz w:val="3"/>
                <w:szCs w:val="3"/>
                <w:color w:val="auto"/>
              </w:rPr>
            </w:pPr>
          </w:p>
        </w:tc>
        <w:tc>
          <w:tcPr>
            <w:tcW w:w="1540" w:type="dxa"/>
            <w:vAlign w:val="bottom"/>
            <w:tcBorders>
              <w:bottom w:val="single" w:sz="8" w:color="2D53A6"/>
            </w:tcBorders>
          </w:tcPr>
          <w:p>
            <w:pPr>
              <w:spacing w:after="0"/>
              <w:rPr>
                <w:sz w:val="3"/>
                <w:szCs w:val="3"/>
                <w:color w:val="auto"/>
              </w:rPr>
            </w:pPr>
          </w:p>
        </w:tc>
        <w:tc>
          <w:tcPr>
            <w:tcW w:w="1180" w:type="dxa"/>
            <w:vAlign w:val="bottom"/>
            <w:tcBorders>
              <w:bottom w:val="single" w:sz="8" w:color="2D53A6"/>
            </w:tcBorders>
          </w:tcPr>
          <w:p>
            <w:pPr>
              <w:spacing w:after="0"/>
              <w:rPr>
                <w:sz w:val="3"/>
                <w:szCs w:val="3"/>
                <w:color w:val="auto"/>
              </w:rPr>
            </w:pPr>
          </w:p>
        </w:tc>
        <w:tc>
          <w:tcPr>
            <w:tcW w:w="660" w:type="dxa"/>
            <w:vAlign w:val="bottom"/>
            <w:tcBorders>
              <w:bottom w:val="single" w:sz="8" w:color="2D53A6"/>
            </w:tcBorders>
          </w:tcPr>
          <w:p>
            <w:pPr>
              <w:spacing w:after="0"/>
              <w:rPr>
                <w:sz w:val="3"/>
                <w:szCs w:val="3"/>
                <w:color w:val="auto"/>
              </w:rPr>
            </w:pPr>
          </w:p>
        </w:tc>
        <w:tc>
          <w:tcPr>
            <w:tcW w:w="700" w:type="dxa"/>
            <w:vAlign w:val="bottom"/>
            <w:tcBorders>
              <w:bottom w:val="single" w:sz="8" w:color="2D53A6"/>
            </w:tcBorders>
          </w:tcPr>
          <w:p>
            <w:pPr>
              <w:spacing w:after="0"/>
              <w:rPr>
                <w:sz w:val="3"/>
                <w:szCs w:val="3"/>
                <w:color w:val="auto"/>
              </w:rPr>
            </w:pPr>
          </w:p>
        </w:tc>
        <w:tc>
          <w:tcPr>
            <w:tcW w:w="660" w:type="dxa"/>
            <w:vAlign w:val="bottom"/>
            <w:tcBorders>
              <w:bottom w:val="single" w:sz="8" w:color="2D53A6"/>
            </w:tcBorders>
          </w:tcPr>
          <w:p>
            <w:pPr>
              <w:spacing w:after="0"/>
              <w:rPr>
                <w:sz w:val="3"/>
                <w:szCs w:val="3"/>
                <w:color w:val="auto"/>
              </w:rPr>
            </w:pPr>
          </w:p>
        </w:tc>
        <w:tc>
          <w:tcPr>
            <w:tcW w:w="278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184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Steven J. Bilodeau</w:t>
            </w:r>
          </w:p>
        </w:tc>
        <w:tc>
          <w:tcPr>
            <w:tcW w:w="9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67</w:t>
            </w:r>
          </w:p>
        </w:tc>
        <w:tc>
          <w:tcPr>
            <w:tcW w:w="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2009</w:t>
            </w:r>
          </w:p>
        </w:tc>
        <w:tc>
          <w:tcPr>
            <w:tcW w:w="15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11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3 -- 2028</w:t>
            </w:r>
          </w:p>
        </w:tc>
        <w:tc>
          <w:tcPr>
            <w:tcW w:w="660" w:type="dxa"/>
            <w:vAlign w:val="bottom"/>
            <w:tcBorders>
              <w:bottom w:val="single" w:sz="8" w:color="E6E6E6"/>
              <w:right w:val="single" w:sz="8" w:color="2D53A6"/>
            </w:tcBorders>
            <w:shd w:val="clear" w:color="auto" w:fill="E6E6E6"/>
          </w:tcPr>
          <w:p>
            <w:pPr>
              <w:spacing w:after="0"/>
              <w:rPr>
                <w:sz w:val="24"/>
                <w:szCs w:val="24"/>
                <w:color w:val="auto"/>
              </w:rPr>
            </w:pPr>
          </w:p>
        </w:tc>
        <w:tc>
          <w:tcPr>
            <w:tcW w:w="70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C</w:t>
            </w:r>
          </w:p>
        </w:tc>
        <w:tc>
          <w:tcPr>
            <w:tcW w:w="6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M</w:t>
            </w:r>
          </w:p>
        </w:tc>
        <w:tc>
          <w:tcPr>
            <w:tcW w:w="278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84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Andrew M. Caggia</w:t>
            </w:r>
          </w:p>
        </w:tc>
        <w:tc>
          <w:tcPr>
            <w:tcW w:w="92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77</w:t>
            </w:r>
          </w:p>
        </w:tc>
        <w:tc>
          <w:tcPr>
            <w:tcW w:w="9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2014</w:t>
            </w:r>
          </w:p>
        </w:tc>
        <w:tc>
          <w:tcPr>
            <w:tcW w:w="15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6"/>
              </w:rPr>
              <w:t>Yes</w:t>
            </w:r>
          </w:p>
        </w:tc>
        <w:tc>
          <w:tcPr>
            <w:tcW w:w="11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2 -- 2027</w:t>
            </w:r>
          </w:p>
        </w:tc>
        <w:tc>
          <w:tcPr>
            <w:tcW w:w="660" w:type="dxa"/>
            <w:vAlign w:val="bottom"/>
            <w:tcBorders>
              <w:top w:val="single" w:sz="8" w:color="2D53A6"/>
              <w:right w:val="single" w:sz="8" w:color="2D53A6"/>
            </w:tcBorders>
          </w:tcPr>
          <w:p>
            <w:pPr>
              <w:spacing w:after="0"/>
              <w:rPr>
                <w:sz w:val="23"/>
                <w:szCs w:val="23"/>
                <w:color w:val="auto"/>
              </w:rPr>
            </w:pPr>
          </w:p>
        </w:tc>
        <w:tc>
          <w:tcPr>
            <w:tcW w:w="700" w:type="dxa"/>
            <w:vAlign w:val="bottom"/>
            <w:tcBorders>
              <w:top w:val="single" w:sz="8" w:color="2D53A6"/>
              <w:right w:val="single" w:sz="8" w:color="2D53A6"/>
            </w:tcBorders>
          </w:tcPr>
          <w:p>
            <w:pPr>
              <w:spacing w:after="0"/>
              <w:rPr>
                <w:sz w:val="23"/>
                <w:szCs w:val="23"/>
                <w:color w:val="auto"/>
              </w:rPr>
            </w:pPr>
          </w:p>
        </w:tc>
        <w:tc>
          <w:tcPr>
            <w:tcW w:w="6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C</w:t>
            </w:r>
          </w:p>
        </w:tc>
        <w:tc>
          <w:tcPr>
            <w:tcW w:w="2780" w:type="dxa"/>
            <w:vAlign w:val="bottom"/>
            <w:tcBorders>
              <w:top w:val="single" w:sz="8" w:color="2D53A6"/>
            </w:tcBorders>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1840" w:type="dxa"/>
            <w:vAlign w:val="bottom"/>
            <w:tcBorders>
              <w:bottom w:val="single" w:sz="8" w:color="2D53A6"/>
              <w:right w:val="single" w:sz="8" w:color="2D53A6"/>
            </w:tcBorders>
          </w:tcPr>
          <w:p>
            <w:pPr>
              <w:spacing w:after="0"/>
              <w:rPr>
                <w:sz w:val="3"/>
                <w:szCs w:val="3"/>
                <w:color w:val="auto"/>
              </w:rPr>
            </w:pPr>
          </w:p>
        </w:tc>
        <w:tc>
          <w:tcPr>
            <w:tcW w:w="920" w:type="dxa"/>
            <w:vAlign w:val="bottom"/>
            <w:tcBorders>
              <w:bottom w:val="single" w:sz="8" w:color="2D53A6"/>
              <w:right w:val="single" w:sz="8" w:color="2D53A6"/>
            </w:tcBorders>
          </w:tcPr>
          <w:p>
            <w:pPr>
              <w:spacing w:after="0"/>
              <w:rPr>
                <w:sz w:val="3"/>
                <w:szCs w:val="3"/>
                <w:color w:val="auto"/>
              </w:rPr>
            </w:pPr>
          </w:p>
        </w:tc>
        <w:tc>
          <w:tcPr>
            <w:tcW w:w="960" w:type="dxa"/>
            <w:vAlign w:val="bottom"/>
            <w:tcBorders>
              <w:bottom w:val="single" w:sz="8" w:color="2D53A6"/>
              <w:right w:val="single" w:sz="8" w:color="2D53A6"/>
            </w:tcBorders>
          </w:tcPr>
          <w:p>
            <w:pPr>
              <w:spacing w:after="0"/>
              <w:rPr>
                <w:sz w:val="3"/>
                <w:szCs w:val="3"/>
                <w:color w:val="auto"/>
              </w:rPr>
            </w:pPr>
          </w:p>
        </w:tc>
        <w:tc>
          <w:tcPr>
            <w:tcW w:w="1540" w:type="dxa"/>
            <w:vAlign w:val="bottom"/>
            <w:tcBorders>
              <w:bottom w:val="single" w:sz="8" w:color="2D53A6"/>
              <w:right w:val="single" w:sz="8" w:color="2D53A6"/>
            </w:tcBorders>
          </w:tcPr>
          <w:p>
            <w:pPr>
              <w:spacing w:after="0"/>
              <w:rPr>
                <w:sz w:val="3"/>
                <w:szCs w:val="3"/>
                <w:color w:val="auto"/>
              </w:rPr>
            </w:pPr>
          </w:p>
        </w:tc>
        <w:tc>
          <w:tcPr>
            <w:tcW w:w="1180" w:type="dxa"/>
            <w:vAlign w:val="bottom"/>
            <w:tcBorders>
              <w:bottom w:val="single" w:sz="8" w:color="2D53A6"/>
              <w:right w:val="single" w:sz="8" w:color="2D53A6"/>
            </w:tcBorders>
          </w:tcPr>
          <w:p>
            <w:pPr>
              <w:spacing w:after="0"/>
              <w:rPr>
                <w:sz w:val="3"/>
                <w:szCs w:val="3"/>
                <w:color w:val="auto"/>
              </w:rPr>
            </w:pPr>
          </w:p>
        </w:tc>
        <w:tc>
          <w:tcPr>
            <w:tcW w:w="660" w:type="dxa"/>
            <w:vAlign w:val="bottom"/>
            <w:tcBorders>
              <w:bottom w:val="single" w:sz="8" w:color="2D53A6"/>
              <w:right w:val="single" w:sz="8" w:color="2D53A6"/>
            </w:tcBorders>
          </w:tcPr>
          <w:p>
            <w:pPr>
              <w:spacing w:after="0"/>
              <w:rPr>
                <w:sz w:val="3"/>
                <w:szCs w:val="3"/>
                <w:color w:val="auto"/>
              </w:rPr>
            </w:pPr>
          </w:p>
        </w:tc>
        <w:tc>
          <w:tcPr>
            <w:tcW w:w="700" w:type="dxa"/>
            <w:vAlign w:val="bottom"/>
            <w:tcBorders>
              <w:bottom w:val="single" w:sz="8" w:color="2D53A6"/>
              <w:right w:val="single" w:sz="8" w:color="2D53A6"/>
            </w:tcBorders>
          </w:tcPr>
          <w:p>
            <w:pPr>
              <w:spacing w:after="0"/>
              <w:rPr>
                <w:sz w:val="3"/>
                <w:szCs w:val="3"/>
                <w:color w:val="auto"/>
              </w:rPr>
            </w:pPr>
          </w:p>
        </w:tc>
        <w:tc>
          <w:tcPr>
            <w:tcW w:w="660" w:type="dxa"/>
            <w:vAlign w:val="bottom"/>
            <w:tcBorders>
              <w:bottom w:val="single" w:sz="8" w:color="2D53A6"/>
              <w:right w:val="single" w:sz="8" w:color="2D53A6"/>
            </w:tcBorders>
          </w:tcPr>
          <w:p>
            <w:pPr>
              <w:spacing w:after="0"/>
              <w:rPr>
                <w:sz w:val="3"/>
                <w:szCs w:val="3"/>
                <w:color w:val="auto"/>
              </w:rPr>
            </w:pPr>
          </w:p>
        </w:tc>
        <w:tc>
          <w:tcPr>
            <w:tcW w:w="278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184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James A. Donahue</w:t>
            </w:r>
          </w:p>
        </w:tc>
        <w:tc>
          <w:tcPr>
            <w:tcW w:w="9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77</w:t>
            </w:r>
          </w:p>
        </w:tc>
        <w:tc>
          <w:tcPr>
            <w:tcW w:w="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1999</w:t>
            </w:r>
          </w:p>
        </w:tc>
        <w:tc>
          <w:tcPr>
            <w:tcW w:w="15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No</w:t>
            </w:r>
          </w:p>
        </w:tc>
        <w:tc>
          <w:tcPr>
            <w:tcW w:w="11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3 -- 2028</w:t>
            </w:r>
          </w:p>
        </w:tc>
        <w:tc>
          <w:tcPr>
            <w:tcW w:w="660" w:type="dxa"/>
            <w:vAlign w:val="bottom"/>
            <w:tcBorders>
              <w:bottom w:val="single" w:sz="8" w:color="E6E6E6"/>
              <w:right w:val="single" w:sz="8" w:color="2D53A6"/>
            </w:tcBorders>
            <w:shd w:val="clear" w:color="auto" w:fill="E6E6E6"/>
          </w:tcPr>
          <w:p>
            <w:pPr>
              <w:spacing w:after="0"/>
              <w:rPr>
                <w:sz w:val="24"/>
                <w:szCs w:val="24"/>
                <w:color w:val="auto"/>
              </w:rPr>
            </w:pPr>
          </w:p>
        </w:tc>
        <w:tc>
          <w:tcPr>
            <w:tcW w:w="700" w:type="dxa"/>
            <w:vAlign w:val="bottom"/>
            <w:tcBorders>
              <w:bottom w:val="single" w:sz="8" w:color="E6E6E6"/>
              <w:right w:val="single" w:sz="8" w:color="2D53A6"/>
            </w:tcBorders>
            <w:shd w:val="clear" w:color="auto" w:fill="E6E6E6"/>
          </w:tcPr>
          <w:p>
            <w:pPr>
              <w:spacing w:after="0"/>
              <w:rPr>
                <w:sz w:val="24"/>
                <w:szCs w:val="24"/>
                <w:color w:val="auto"/>
              </w:rPr>
            </w:pPr>
          </w:p>
        </w:tc>
        <w:tc>
          <w:tcPr>
            <w:tcW w:w="660" w:type="dxa"/>
            <w:vAlign w:val="bottom"/>
            <w:tcBorders>
              <w:bottom w:val="single" w:sz="8" w:color="E6E6E6"/>
              <w:right w:val="single" w:sz="8" w:color="2D53A6"/>
            </w:tcBorders>
            <w:shd w:val="clear" w:color="auto" w:fill="E6E6E6"/>
          </w:tcPr>
          <w:p>
            <w:pPr>
              <w:spacing w:after="0"/>
              <w:rPr>
                <w:sz w:val="24"/>
                <w:szCs w:val="24"/>
                <w:color w:val="auto"/>
              </w:rPr>
            </w:pPr>
          </w:p>
        </w:tc>
        <w:tc>
          <w:tcPr>
            <w:tcW w:w="278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84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Yon Y. Jorden</w:t>
            </w:r>
          </w:p>
        </w:tc>
        <w:tc>
          <w:tcPr>
            <w:tcW w:w="92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71</w:t>
            </w:r>
          </w:p>
        </w:tc>
        <w:tc>
          <w:tcPr>
            <w:tcW w:w="9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2021</w:t>
            </w:r>
          </w:p>
        </w:tc>
        <w:tc>
          <w:tcPr>
            <w:tcW w:w="15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6"/>
              </w:rPr>
              <w:t>Yes</w:t>
            </w:r>
          </w:p>
        </w:tc>
        <w:tc>
          <w:tcPr>
            <w:tcW w:w="11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2 -- 2027</w:t>
            </w:r>
          </w:p>
        </w:tc>
        <w:tc>
          <w:tcPr>
            <w:tcW w:w="660" w:type="dxa"/>
            <w:vAlign w:val="bottom"/>
            <w:tcBorders>
              <w:top w:val="single" w:sz="8" w:color="2D53A6"/>
              <w:right w:val="single" w:sz="8" w:color="2D53A6"/>
            </w:tcBorders>
          </w:tcPr>
          <w:p>
            <w:pPr>
              <w:ind w:left="200"/>
              <w:spacing w:after="0"/>
              <w:rPr>
                <w:sz w:val="20"/>
                <w:szCs w:val="20"/>
                <w:color w:val="auto"/>
              </w:rPr>
            </w:pPr>
            <w:r>
              <w:rPr>
                <w:rFonts w:ascii="Arial" w:cs="Arial" w:eastAsia="Arial" w:hAnsi="Arial"/>
                <w:sz w:val="18"/>
                <w:szCs w:val="18"/>
                <w:color w:val="auto"/>
              </w:rPr>
              <w:t>M+</w:t>
            </w:r>
          </w:p>
        </w:tc>
        <w:tc>
          <w:tcPr>
            <w:tcW w:w="700" w:type="dxa"/>
            <w:vAlign w:val="bottom"/>
            <w:tcBorders>
              <w:top w:val="single" w:sz="8" w:color="2D53A6"/>
              <w:right w:val="single" w:sz="8" w:color="2D53A6"/>
            </w:tcBorders>
          </w:tcPr>
          <w:p>
            <w:pPr>
              <w:spacing w:after="0"/>
              <w:rPr>
                <w:sz w:val="23"/>
                <w:szCs w:val="23"/>
                <w:color w:val="auto"/>
              </w:rPr>
            </w:pPr>
          </w:p>
        </w:tc>
        <w:tc>
          <w:tcPr>
            <w:tcW w:w="6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M</w:t>
            </w:r>
          </w:p>
        </w:tc>
        <w:tc>
          <w:tcPr>
            <w:tcW w:w="2780" w:type="dxa"/>
            <w:vAlign w:val="bottom"/>
            <w:tcBorders>
              <w:top w:val="single" w:sz="8" w:color="2D53A6"/>
            </w:tcBorders>
          </w:tcPr>
          <w:p>
            <w:pPr>
              <w:ind w:left="40"/>
              <w:spacing w:after="0"/>
              <w:rPr>
                <w:sz w:val="20"/>
                <w:szCs w:val="20"/>
                <w:color w:val="auto"/>
              </w:rPr>
            </w:pPr>
            <w:r>
              <w:rPr>
                <w:rFonts w:ascii="Arial" w:cs="Arial" w:eastAsia="Arial" w:hAnsi="Arial"/>
                <w:sz w:val="18"/>
                <w:szCs w:val="18"/>
                <w:color w:val="auto"/>
              </w:rPr>
              <w:t>Alignment Healthcare, Inc.</w:t>
            </w:r>
          </w:p>
        </w:tc>
        <w:tc>
          <w:tcPr>
            <w:tcW w:w="0" w:type="dxa"/>
            <w:vAlign w:val="bottom"/>
          </w:tcPr>
          <w:p>
            <w:pPr>
              <w:spacing w:after="0"/>
              <w:rPr>
                <w:sz w:val="1"/>
                <w:szCs w:val="1"/>
                <w:color w:val="auto"/>
              </w:rPr>
            </w:pPr>
          </w:p>
        </w:tc>
      </w:tr>
      <w:tr>
        <w:trPr>
          <w:trHeight w:val="36"/>
        </w:trPr>
        <w:tc>
          <w:tcPr>
            <w:tcW w:w="1840" w:type="dxa"/>
            <w:vAlign w:val="bottom"/>
            <w:tcBorders>
              <w:bottom w:val="single" w:sz="8" w:color="2D53A6"/>
              <w:right w:val="single" w:sz="8" w:color="2D53A6"/>
            </w:tcBorders>
          </w:tcPr>
          <w:p>
            <w:pPr>
              <w:spacing w:after="0"/>
              <w:rPr>
                <w:sz w:val="3"/>
                <w:szCs w:val="3"/>
                <w:color w:val="auto"/>
              </w:rPr>
            </w:pPr>
          </w:p>
        </w:tc>
        <w:tc>
          <w:tcPr>
            <w:tcW w:w="920" w:type="dxa"/>
            <w:vAlign w:val="bottom"/>
            <w:tcBorders>
              <w:bottom w:val="single" w:sz="8" w:color="2D53A6"/>
              <w:right w:val="single" w:sz="8" w:color="2D53A6"/>
            </w:tcBorders>
          </w:tcPr>
          <w:p>
            <w:pPr>
              <w:spacing w:after="0"/>
              <w:rPr>
                <w:sz w:val="3"/>
                <w:szCs w:val="3"/>
                <w:color w:val="auto"/>
              </w:rPr>
            </w:pPr>
          </w:p>
        </w:tc>
        <w:tc>
          <w:tcPr>
            <w:tcW w:w="960" w:type="dxa"/>
            <w:vAlign w:val="bottom"/>
            <w:tcBorders>
              <w:bottom w:val="single" w:sz="8" w:color="2D53A6"/>
              <w:right w:val="single" w:sz="8" w:color="2D53A6"/>
            </w:tcBorders>
          </w:tcPr>
          <w:p>
            <w:pPr>
              <w:spacing w:after="0"/>
              <w:rPr>
                <w:sz w:val="3"/>
                <w:szCs w:val="3"/>
                <w:color w:val="auto"/>
              </w:rPr>
            </w:pPr>
          </w:p>
        </w:tc>
        <w:tc>
          <w:tcPr>
            <w:tcW w:w="1540" w:type="dxa"/>
            <w:vAlign w:val="bottom"/>
            <w:tcBorders>
              <w:bottom w:val="single" w:sz="8" w:color="2D53A6"/>
              <w:right w:val="single" w:sz="8" w:color="2D53A6"/>
            </w:tcBorders>
          </w:tcPr>
          <w:p>
            <w:pPr>
              <w:spacing w:after="0"/>
              <w:rPr>
                <w:sz w:val="3"/>
                <w:szCs w:val="3"/>
                <w:color w:val="auto"/>
              </w:rPr>
            </w:pPr>
          </w:p>
        </w:tc>
        <w:tc>
          <w:tcPr>
            <w:tcW w:w="1180" w:type="dxa"/>
            <w:vAlign w:val="bottom"/>
            <w:tcBorders>
              <w:bottom w:val="single" w:sz="8" w:color="2D53A6"/>
              <w:right w:val="single" w:sz="8" w:color="2D53A6"/>
            </w:tcBorders>
          </w:tcPr>
          <w:p>
            <w:pPr>
              <w:spacing w:after="0"/>
              <w:rPr>
                <w:sz w:val="3"/>
                <w:szCs w:val="3"/>
                <w:color w:val="auto"/>
              </w:rPr>
            </w:pPr>
          </w:p>
        </w:tc>
        <w:tc>
          <w:tcPr>
            <w:tcW w:w="660" w:type="dxa"/>
            <w:vAlign w:val="bottom"/>
            <w:tcBorders>
              <w:bottom w:val="single" w:sz="8" w:color="2D53A6"/>
              <w:right w:val="single" w:sz="8" w:color="2D53A6"/>
            </w:tcBorders>
          </w:tcPr>
          <w:p>
            <w:pPr>
              <w:spacing w:after="0"/>
              <w:rPr>
                <w:sz w:val="3"/>
                <w:szCs w:val="3"/>
                <w:color w:val="auto"/>
              </w:rPr>
            </w:pPr>
          </w:p>
        </w:tc>
        <w:tc>
          <w:tcPr>
            <w:tcW w:w="700" w:type="dxa"/>
            <w:vAlign w:val="bottom"/>
            <w:tcBorders>
              <w:bottom w:val="single" w:sz="8" w:color="2D53A6"/>
              <w:right w:val="single" w:sz="8" w:color="2D53A6"/>
            </w:tcBorders>
          </w:tcPr>
          <w:p>
            <w:pPr>
              <w:spacing w:after="0"/>
              <w:rPr>
                <w:sz w:val="3"/>
                <w:szCs w:val="3"/>
                <w:color w:val="auto"/>
              </w:rPr>
            </w:pPr>
          </w:p>
        </w:tc>
        <w:tc>
          <w:tcPr>
            <w:tcW w:w="660" w:type="dxa"/>
            <w:vAlign w:val="bottom"/>
            <w:tcBorders>
              <w:bottom w:val="single" w:sz="8" w:color="2D53A6"/>
              <w:right w:val="single" w:sz="8" w:color="2D53A6"/>
            </w:tcBorders>
          </w:tcPr>
          <w:p>
            <w:pPr>
              <w:spacing w:after="0"/>
              <w:rPr>
                <w:sz w:val="3"/>
                <w:szCs w:val="3"/>
                <w:color w:val="auto"/>
              </w:rPr>
            </w:pPr>
          </w:p>
        </w:tc>
        <w:tc>
          <w:tcPr>
            <w:tcW w:w="278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184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Andreas W. Mattes</w:t>
            </w:r>
          </w:p>
        </w:tc>
        <w:tc>
          <w:tcPr>
            <w:tcW w:w="9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64</w:t>
            </w:r>
          </w:p>
        </w:tc>
        <w:tc>
          <w:tcPr>
            <w:tcW w:w="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2022</w:t>
            </w:r>
          </w:p>
        </w:tc>
        <w:tc>
          <w:tcPr>
            <w:tcW w:w="15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11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3 -- 2028</w:t>
            </w:r>
          </w:p>
        </w:tc>
        <w:tc>
          <w:tcPr>
            <w:tcW w:w="660" w:type="dxa"/>
            <w:vAlign w:val="bottom"/>
            <w:tcBorders>
              <w:bottom w:val="single" w:sz="8" w:color="E6E6E6"/>
              <w:right w:val="single" w:sz="8" w:color="2D53A6"/>
            </w:tcBorders>
            <w:shd w:val="clear" w:color="auto" w:fill="E6E6E6"/>
          </w:tcPr>
          <w:p>
            <w:pPr>
              <w:spacing w:after="0"/>
              <w:rPr>
                <w:sz w:val="24"/>
                <w:szCs w:val="24"/>
                <w:color w:val="auto"/>
              </w:rPr>
            </w:pPr>
          </w:p>
        </w:tc>
        <w:tc>
          <w:tcPr>
            <w:tcW w:w="70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M</w:t>
            </w:r>
          </w:p>
        </w:tc>
        <w:tc>
          <w:tcPr>
            <w:tcW w:w="660" w:type="dxa"/>
            <w:vAlign w:val="bottom"/>
            <w:tcBorders>
              <w:bottom w:val="single" w:sz="8" w:color="E6E6E6"/>
              <w:right w:val="single" w:sz="8" w:color="2D53A6"/>
            </w:tcBorders>
            <w:shd w:val="clear" w:color="auto" w:fill="E6E6E6"/>
          </w:tcPr>
          <w:p>
            <w:pPr>
              <w:spacing w:after="0"/>
              <w:rPr>
                <w:sz w:val="24"/>
                <w:szCs w:val="24"/>
                <w:color w:val="auto"/>
              </w:rPr>
            </w:pPr>
          </w:p>
        </w:tc>
        <w:tc>
          <w:tcPr>
            <w:tcW w:w="27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ams-OSRAM AG, AT&amp;S AG</w:t>
            </w:r>
          </w:p>
        </w:tc>
        <w:tc>
          <w:tcPr>
            <w:tcW w:w="0" w:type="dxa"/>
            <w:vAlign w:val="bottom"/>
          </w:tcPr>
          <w:p>
            <w:pPr>
              <w:spacing w:after="0"/>
              <w:rPr>
                <w:sz w:val="1"/>
                <w:szCs w:val="1"/>
                <w:color w:val="auto"/>
              </w:rPr>
            </w:pPr>
          </w:p>
        </w:tc>
      </w:tr>
      <w:tr>
        <w:trPr>
          <w:trHeight w:val="268"/>
        </w:trPr>
        <w:tc>
          <w:tcPr>
            <w:tcW w:w="184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Luis A. Müller</w:t>
            </w:r>
          </w:p>
        </w:tc>
        <w:tc>
          <w:tcPr>
            <w:tcW w:w="92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56</w:t>
            </w:r>
          </w:p>
        </w:tc>
        <w:tc>
          <w:tcPr>
            <w:tcW w:w="9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2014</w:t>
            </w:r>
          </w:p>
        </w:tc>
        <w:tc>
          <w:tcPr>
            <w:tcW w:w="15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No</w:t>
            </w:r>
          </w:p>
        </w:tc>
        <w:tc>
          <w:tcPr>
            <w:tcW w:w="11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2 -- 2027</w:t>
            </w:r>
          </w:p>
        </w:tc>
        <w:tc>
          <w:tcPr>
            <w:tcW w:w="660" w:type="dxa"/>
            <w:vAlign w:val="bottom"/>
            <w:tcBorders>
              <w:top w:val="single" w:sz="8" w:color="2D53A6"/>
              <w:right w:val="single" w:sz="8" w:color="2D53A6"/>
            </w:tcBorders>
          </w:tcPr>
          <w:p>
            <w:pPr>
              <w:spacing w:after="0"/>
              <w:rPr>
                <w:sz w:val="23"/>
                <w:szCs w:val="23"/>
                <w:color w:val="auto"/>
              </w:rPr>
            </w:pPr>
          </w:p>
        </w:tc>
        <w:tc>
          <w:tcPr>
            <w:tcW w:w="700" w:type="dxa"/>
            <w:vAlign w:val="bottom"/>
            <w:tcBorders>
              <w:top w:val="single" w:sz="8" w:color="2D53A6"/>
              <w:right w:val="single" w:sz="8" w:color="2D53A6"/>
            </w:tcBorders>
          </w:tcPr>
          <w:p>
            <w:pPr>
              <w:spacing w:after="0"/>
              <w:rPr>
                <w:sz w:val="23"/>
                <w:szCs w:val="23"/>
                <w:color w:val="auto"/>
              </w:rPr>
            </w:pPr>
          </w:p>
        </w:tc>
        <w:tc>
          <w:tcPr>
            <w:tcW w:w="660" w:type="dxa"/>
            <w:vAlign w:val="bottom"/>
            <w:tcBorders>
              <w:top w:val="single" w:sz="8" w:color="2D53A6"/>
              <w:right w:val="single" w:sz="8" w:color="2D53A6"/>
            </w:tcBorders>
          </w:tcPr>
          <w:p>
            <w:pPr>
              <w:spacing w:after="0"/>
              <w:rPr>
                <w:sz w:val="23"/>
                <w:szCs w:val="23"/>
                <w:color w:val="auto"/>
              </w:rPr>
            </w:pPr>
          </w:p>
        </w:tc>
        <w:tc>
          <w:tcPr>
            <w:tcW w:w="2780" w:type="dxa"/>
            <w:vAlign w:val="bottom"/>
            <w:tcBorders>
              <w:top w:val="single" w:sz="8" w:color="2D53A6"/>
            </w:tcBorders>
          </w:tcPr>
          <w:p>
            <w:pPr>
              <w:ind w:left="40"/>
              <w:spacing w:after="0"/>
              <w:rPr>
                <w:sz w:val="20"/>
                <w:szCs w:val="20"/>
                <w:color w:val="auto"/>
              </w:rPr>
            </w:pPr>
            <w:r>
              <w:rPr>
                <w:rFonts w:ascii="Arial" w:cs="Arial" w:eastAsia="Arial" w:hAnsi="Arial"/>
                <w:sz w:val="18"/>
                <w:szCs w:val="18"/>
                <w:color w:val="auto"/>
              </w:rPr>
              <w:t>Ralliant, Inc.</w:t>
            </w:r>
          </w:p>
        </w:tc>
        <w:tc>
          <w:tcPr>
            <w:tcW w:w="0" w:type="dxa"/>
            <w:vAlign w:val="bottom"/>
          </w:tcPr>
          <w:p>
            <w:pPr>
              <w:spacing w:after="0"/>
              <w:rPr>
                <w:sz w:val="1"/>
                <w:szCs w:val="1"/>
                <w:color w:val="auto"/>
              </w:rPr>
            </w:pPr>
          </w:p>
        </w:tc>
      </w:tr>
      <w:tr>
        <w:trPr>
          <w:trHeight w:val="36"/>
        </w:trPr>
        <w:tc>
          <w:tcPr>
            <w:tcW w:w="1840" w:type="dxa"/>
            <w:vAlign w:val="bottom"/>
            <w:tcBorders>
              <w:bottom w:val="single" w:sz="8" w:color="2D53A6"/>
              <w:right w:val="single" w:sz="8" w:color="2D53A6"/>
            </w:tcBorders>
          </w:tcPr>
          <w:p>
            <w:pPr>
              <w:spacing w:after="0"/>
              <w:rPr>
                <w:sz w:val="3"/>
                <w:szCs w:val="3"/>
                <w:color w:val="auto"/>
              </w:rPr>
            </w:pPr>
          </w:p>
        </w:tc>
        <w:tc>
          <w:tcPr>
            <w:tcW w:w="920" w:type="dxa"/>
            <w:vAlign w:val="bottom"/>
            <w:tcBorders>
              <w:bottom w:val="single" w:sz="8" w:color="2D53A6"/>
              <w:right w:val="single" w:sz="8" w:color="2D53A6"/>
            </w:tcBorders>
          </w:tcPr>
          <w:p>
            <w:pPr>
              <w:spacing w:after="0"/>
              <w:rPr>
                <w:sz w:val="3"/>
                <w:szCs w:val="3"/>
                <w:color w:val="auto"/>
              </w:rPr>
            </w:pPr>
          </w:p>
        </w:tc>
        <w:tc>
          <w:tcPr>
            <w:tcW w:w="960" w:type="dxa"/>
            <w:vAlign w:val="bottom"/>
            <w:tcBorders>
              <w:bottom w:val="single" w:sz="8" w:color="2D53A6"/>
              <w:right w:val="single" w:sz="8" w:color="2D53A6"/>
            </w:tcBorders>
          </w:tcPr>
          <w:p>
            <w:pPr>
              <w:spacing w:after="0"/>
              <w:rPr>
                <w:sz w:val="3"/>
                <w:szCs w:val="3"/>
                <w:color w:val="auto"/>
              </w:rPr>
            </w:pPr>
          </w:p>
        </w:tc>
        <w:tc>
          <w:tcPr>
            <w:tcW w:w="1540" w:type="dxa"/>
            <w:vAlign w:val="bottom"/>
            <w:tcBorders>
              <w:bottom w:val="single" w:sz="8" w:color="2D53A6"/>
              <w:right w:val="single" w:sz="8" w:color="2D53A6"/>
            </w:tcBorders>
          </w:tcPr>
          <w:p>
            <w:pPr>
              <w:spacing w:after="0"/>
              <w:rPr>
                <w:sz w:val="3"/>
                <w:szCs w:val="3"/>
                <w:color w:val="auto"/>
              </w:rPr>
            </w:pPr>
          </w:p>
        </w:tc>
        <w:tc>
          <w:tcPr>
            <w:tcW w:w="1180" w:type="dxa"/>
            <w:vAlign w:val="bottom"/>
            <w:tcBorders>
              <w:bottom w:val="single" w:sz="8" w:color="2D53A6"/>
              <w:right w:val="single" w:sz="8" w:color="2D53A6"/>
            </w:tcBorders>
          </w:tcPr>
          <w:p>
            <w:pPr>
              <w:spacing w:after="0"/>
              <w:rPr>
                <w:sz w:val="3"/>
                <w:szCs w:val="3"/>
                <w:color w:val="auto"/>
              </w:rPr>
            </w:pPr>
          </w:p>
        </w:tc>
        <w:tc>
          <w:tcPr>
            <w:tcW w:w="660" w:type="dxa"/>
            <w:vAlign w:val="bottom"/>
            <w:tcBorders>
              <w:bottom w:val="single" w:sz="8" w:color="2D53A6"/>
              <w:right w:val="single" w:sz="8" w:color="2D53A6"/>
            </w:tcBorders>
          </w:tcPr>
          <w:p>
            <w:pPr>
              <w:spacing w:after="0"/>
              <w:rPr>
                <w:sz w:val="3"/>
                <w:szCs w:val="3"/>
                <w:color w:val="auto"/>
              </w:rPr>
            </w:pPr>
          </w:p>
        </w:tc>
        <w:tc>
          <w:tcPr>
            <w:tcW w:w="700" w:type="dxa"/>
            <w:vAlign w:val="bottom"/>
            <w:tcBorders>
              <w:bottom w:val="single" w:sz="8" w:color="2D53A6"/>
              <w:right w:val="single" w:sz="8" w:color="2D53A6"/>
            </w:tcBorders>
          </w:tcPr>
          <w:p>
            <w:pPr>
              <w:spacing w:after="0"/>
              <w:rPr>
                <w:sz w:val="3"/>
                <w:szCs w:val="3"/>
                <w:color w:val="auto"/>
              </w:rPr>
            </w:pPr>
          </w:p>
        </w:tc>
        <w:tc>
          <w:tcPr>
            <w:tcW w:w="660" w:type="dxa"/>
            <w:vAlign w:val="bottom"/>
            <w:tcBorders>
              <w:bottom w:val="single" w:sz="8" w:color="2D53A6"/>
              <w:right w:val="single" w:sz="8" w:color="2D53A6"/>
            </w:tcBorders>
          </w:tcPr>
          <w:p>
            <w:pPr>
              <w:spacing w:after="0"/>
              <w:rPr>
                <w:sz w:val="3"/>
                <w:szCs w:val="3"/>
                <w:color w:val="auto"/>
              </w:rPr>
            </w:pPr>
          </w:p>
        </w:tc>
        <w:tc>
          <w:tcPr>
            <w:tcW w:w="278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Independence is determined annually by the board of directors in accordance with the Company’s corporate governance guidelines and Nasdaq rules.</w:t>
      </w: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AC - Audit Committee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CC - Compensation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NGC - Nominating and Governance Committee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 - Chair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 - Member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 Also qualifies as an audit committee financial expert (as determined based on SEC rules)</w:t>
      </w:r>
    </w:p>
    <w:p>
      <w:pPr>
        <w:spacing w:after="0" w:line="174" w:lineRule="exact"/>
        <w:rPr>
          <w:sz w:val="20"/>
          <w:szCs w:val="20"/>
          <w:color w:val="auto"/>
        </w:rPr>
      </w:pPr>
    </w:p>
    <w:p>
      <w:pPr>
        <w:sectPr>
          <w:pgSz w:w="11900" w:h="16838" w:orient="portrait"/>
          <w:cols w:equalWidth="0" w:num="2">
            <w:col w:w="3020" w:space="360"/>
            <w:col w:w="7860"/>
          </w:cols>
          <w:pgMar w:left="320" w:top="121" w:right="339" w:bottom="1440" w:gutter="0" w:footer="0" w:header="0"/>
          <w:type w:val="continuous"/>
        </w:sectPr>
      </w:pPr>
    </w:p>
    <w:p>
      <w:pPr>
        <w:spacing w:after="0"/>
        <w:rPr>
          <w:sz w:val="20"/>
          <w:szCs w:val="20"/>
          <w:color w:val="auto"/>
        </w:rPr>
      </w:pPr>
      <w:r>
        <w:rPr>
          <w:rFonts w:ascii="Arial" w:cs="Arial" w:eastAsia="Arial" w:hAnsi="Arial"/>
          <w:sz w:val="25"/>
          <w:szCs w:val="25"/>
          <w:b w:val="1"/>
          <w:bCs w:val="1"/>
          <w:color w:val="2D53A6"/>
        </w:rPr>
        <w:t>Director Key Requirements, Skills and Experience Highlights</w:t>
      </w:r>
    </w:p>
    <w:p>
      <w:pPr>
        <w:spacing w:after="0" w:line="21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following matrix provides information regarding the members of our Board, including certain types of knowledge, skills, experiences and attributes possessed by one or more of our directors which our Board believes are relevant to our business.</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right w:val="single" w:sz="8" w:color="2D53A6"/>
            </w:tcBorders>
            <w:shd w:val="clear" w:color="auto" w:fill="2D53A6"/>
          </w:tcPr>
          <w:p>
            <w:pPr>
              <w:ind w:left="20"/>
              <w:spacing w:after="0"/>
              <w:rPr>
                <w:sz w:val="20"/>
                <w:szCs w:val="20"/>
                <w:color w:val="auto"/>
              </w:rPr>
            </w:pPr>
            <w:r>
              <w:rPr>
                <w:rFonts w:ascii="Arial" w:cs="Arial" w:eastAsia="Arial" w:hAnsi="Arial"/>
                <w:sz w:val="20"/>
                <w:szCs w:val="20"/>
                <w:b w:val="1"/>
                <w:bCs w:val="1"/>
                <w:color w:val="FFFFFF"/>
              </w:rPr>
              <w:t>Key Qualifications, Skills and</w:t>
            </w:r>
          </w:p>
        </w:tc>
        <w:tc>
          <w:tcPr>
            <w:tcW w:w="720" w:type="dxa"/>
            <w:vAlign w:val="bottom"/>
            <w:tcBorders>
              <w:right w:val="single" w:sz="8" w:color="2D53A6"/>
            </w:tcBorders>
            <w:vMerge w:val="restart"/>
            <w:shd w:val="clear" w:color="auto" w:fill="2D53A6"/>
          </w:tcPr>
          <w:p>
            <w:pPr>
              <w:ind w:left="120"/>
              <w:spacing w:after="0"/>
              <w:rPr>
                <w:sz w:val="20"/>
                <w:szCs w:val="20"/>
                <w:color w:val="auto"/>
              </w:rPr>
            </w:pPr>
            <w:r>
              <w:rPr>
                <w:rFonts w:ascii="Arial" w:cs="Arial" w:eastAsia="Arial" w:hAnsi="Arial"/>
                <w:sz w:val="11"/>
                <w:szCs w:val="11"/>
                <w:b w:val="1"/>
                <w:bCs w:val="1"/>
                <w:color w:val="FFFFFF"/>
              </w:rPr>
              <w:t>Bendush</w:t>
            </w:r>
          </w:p>
        </w:tc>
        <w:tc>
          <w:tcPr>
            <w:tcW w:w="740" w:type="dxa"/>
            <w:vAlign w:val="bottom"/>
            <w:tcBorders>
              <w:right w:val="single" w:sz="8" w:color="2D53A6"/>
            </w:tcBorders>
            <w:vMerge w:val="restart"/>
            <w:shd w:val="clear" w:color="auto" w:fill="2D53A6"/>
          </w:tcPr>
          <w:p>
            <w:pPr>
              <w:ind w:left="120"/>
              <w:spacing w:after="0"/>
              <w:rPr>
                <w:sz w:val="20"/>
                <w:szCs w:val="20"/>
                <w:color w:val="auto"/>
              </w:rPr>
            </w:pPr>
            <w:r>
              <w:rPr>
                <w:rFonts w:ascii="Arial" w:cs="Arial" w:eastAsia="Arial" w:hAnsi="Arial"/>
                <w:sz w:val="11"/>
                <w:szCs w:val="11"/>
                <w:b w:val="1"/>
                <w:bCs w:val="1"/>
                <w:color w:val="FFFFFF"/>
              </w:rPr>
              <w:t>Bilodeau</w:t>
            </w:r>
          </w:p>
        </w:tc>
        <w:tc>
          <w:tcPr>
            <w:tcW w:w="760" w:type="dxa"/>
            <w:vAlign w:val="bottom"/>
            <w:tcBorders>
              <w:right w:val="single" w:sz="8" w:color="2D53A6"/>
            </w:tcBorders>
            <w:vMerge w:val="restart"/>
            <w:shd w:val="clear" w:color="auto" w:fill="2D53A6"/>
          </w:tcPr>
          <w:p>
            <w:pPr>
              <w:ind w:left="180"/>
              <w:spacing w:after="0"/>
              <w:rPr>
                <w:sz w:val="20"/>
                <w:szCs w:val="20"/>
                <w:color w:val="auto"/>
              </w:rPr>
            </w:pPr>
            <w:r>
              <w:rPr>
                <w:rFonts w:ascii="Arial" w:cs="Arial" w:eastAsia="Arial" w:hAnsi="Arial"/>
                <w:sz w:val="11"/>
                <w:szCs w:val="11"/>
                <w:b w:val="1"/>
                <w:bCs w:val="1"/>
                <w:color w:val="FFFFFF"/>
              </w:rPr>
              <w:t>Caggia</w:t>
            </w:r>
          </w:p>
        </w:tc>
        <w:tc>
          <w:tcPr>
            <w:tcW w:w="740" w:type="dxa"/>
            <w:vAlign w:val="bottom"/>
            <w:tcBorders>
              <w:right w:val="single" w:sz="8" w:color="2D53A6"/>
            </w:tcBorders>
            <w:vMerge w:val="restart"/>
            <w:shd w:val="clear" w:color="auto" w:fill="2D53A6"/>
          </w:tcPr>
          <w:p>
            <w:pPr>
              <w:ind w:left="120"/>
              <w:spacing w:after="0"/>
              <w:rPr>
                <w:sz w:val="20"/>
                <w:szCs w:val="20"/>
                <w:color w:val="auto"/>
              </w:rPr>
            </w:pPr>
            <w:r>
              <w:rPr>
                <w:rFonts w:ascii="Arial" w:cs="Arial" w:eastAsia="Arial" w:hAnsi="Arial"/>
                <w:sz w:val="11"/>
                <w:szCs w:val="11"/>
                <w:b w:val="1"/>
                <w:bCs w:val="1"/>
                <w:color w:val="FFFFFF"/>
              </w:rPr>
              <w:t>Donahue</w:t>
            </w:r>
          </w:p>
        </w:tc>
        <w:tc>
          <w:tcPr>
            <w:tcW w:w="7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1"/>
                <w:szCs w:val="11"/>
                <w:b w:val="1"/>
                <w:bCs w:val="1"/>
                <w:color w:val="FFFFFF"/>
                <w:w w:val="98"/>
              </w:rPr>
              <w:t>Jorden</w:t>
            </w:r>
          </w:p>
        </w:tc>
        <w:tc>
          <w:tcPr>
            <w:tcW w:w="7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1"/>
                <w:szCs w:val="11"/>
                <w:b w:val="1"/>
                <w:bCs w:val="1"/>
                <w:color w:val="FFFFFF"/>
                <w:w w:val="97"/>
              </w:rPr>
              <w:t>Mattes</w:t>
            </w:r>
          </w:p>
        </w:tc>
        <w:tc>
          <w:tcPr>
            <w:tcW w:w="740" w:type="dxa"/>
            <w:vAlign w:val="bottom"/>
            <w:tcBorders>
              <w:right w:val="single" w:sz="8" w:color="2D53A6"/>
            </w:tcBorders>
            <w:vMerge w:val="restart"/>
            <w:shd w:val="clear" w:color="auto" w:fill="2D53A6"/>
          </w:tcPr>
          <w:p>
            <w:pPr>
              <w:ind w:left="200"/>
              <w:spacing w:after="0"/>
              <w:rPr>
                <w:sz w:val="20"/>
                <w:szCs w:val="20"/>
                <w:color w:val="auto"/>
              </w:rPr>
            </w:pPr>
            <w:r>
              <w:rPr>
                <w:rFonts w:ascii="Arial" w:cs="Arial" w:eastAsia="Arial" w:hAnsi="Arial"/>
                <w:sz w:val="11"/>
                <w:szCs w:val="11"/>
                <w:b w:val="1"/>
                <w:bCs w:val="1"/>
                <w:color w:val="FFFFFF"/>
              </w:rPr>
              <w:t>M</w:t>
            </w:r>
            <w:r>
              <w:rPr>
                <w:rFonts w:ascii="Arial" w:cs="Arial" w:eastAsia="Arial" w:hAnsi="Arial"/>
                <w:sz w:val="11"/>
                <w:szCs w:val="11"/>
                <w:color w:val="FFFFFF"/>
              </w:rPr>
              <w:t>ü</w:t>
            </w:r>
            <w:r>
              <w:rPr>
                <w:rFonts w:ascii="Arial" w:cs="Arial" w:eastAsia="Arial" w:hAnsi="Arial"/>
                <w:sz w:val="11"/>
                <w:szCs w:val="11"/>
                <w:b w:val="1"/>
                <w:bCs w:val="1"/>
                <w:color w:val="FFFFFF"/>
              </w:rPr>
              <w:t>ller</w:t>
            </w:r>
          </w:p>
        </w:tc>
        <w:tc>
          <w:tcPr>
            <w:tcW w:w="7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1"/>
                <w:szCs w:val="11"/>
                <w:b w:val="1"/>
                <w:bCs w:val="1"/>
                <w:color w:val="FFFFFF"/>
              </w:rPr>
              <w:t>Rapp</w:t>
            </w:r>
          </w:p>
        </w:tc>
        <w:tc>
          <w:tcPr>
            <w:tcW w:w="800" w:type="dxa"/>
            <w:vAlign w:val="bottom"/>
            <w:vMerge w:val="restart"/>
            <w:shd w:val="clear" w:color="auto" w:fill="2D53A6"/>
          </w:tcPr>
          <w:p>
            <w:pPr>
              <w:jc w:val="center"/>
              <w:spacing w:after="0"/>
              <w:rPr>
                <w:sz w:val="20"/>
                <w:szCs w:val="20"/>
                <w:color w:val="auto"/>
              </w:rPr>
            </w:pPr>
            <w:r>
              <w:rPr>
                <w:rFonts w:ascii="Arial" w:cs="Arial" w:eastAsia="Arial" w:hAnsi="Arial"/>
                <w:sz w:val="11"/>
                <w:szCs w:val="11"/>
                <w:b w:val="1"/>
                <w:bCs w:val="1"/>
                <w:color w:val="FFFFFF"/>
                <w:w w:val="99"/>
              </w:rPr>
              <w:t>Richardson</w:t>
            </w:r>
          </w:p>
        </w:tc>
        <w:tc>
          <w:tcPr>
            <w:tcW w:w="0" w:type="dxa"/>
            <w:vAlign w:val="bottom"/>
          </w:tcPr>
          <w:p>
            <w:pPr>
              <w:spacing w:after="0"/>
              <w:rPr>
                <w:sz w:val="1"/>
                <w:szCs w:val="1"/>
                <w:color w:val="auto"/>
              </w:rPr>
            </w:pPr>
          </w:p>
        </w:tc>
      </w:tr>
      <w:tr>
        <w:trPr>
          <w:trHeight w:val="104"/>
        </w:trPr>
        <w:tc>
          <w:tcPr>
            <w:tcW w:w="4580" w:type="dxa"/>
            <w:vAlign w:val="bottom"/>
            <w:tcBorders>
              <w:right w:val="single" w:sz="8" w:color="2D53A6"/>
            </w:tcBorders>
            <w:vMerge w:val="restart"/>
            <w:shd w:val="clear" w:color="auto" w:fill="2D53A6"/>
          </w:tcPr>
          <w:p>
            <w:pPr>
              <w:ind w:left="20"/>
              <w:spacing w:after="0"/>
              <w:rPr>
                <w:sz w:val="20"/>
                <w:szCs w:val="20"/>
                <w:color w:val="auto"/>
              </w:rPr>
            </w:pPr>
            <w:r>
              <w:rPr>
                <w:rFonts w:ascii="Arial" w:cs="Arial" w:eastAsia="Arial" w:hAnsi="Arial"/>
                <w:sz w:val="20"/>
                <w:szCs w:val="20"/>
                <w:b w:val="1"/>
                <w:bCs w:val="1"/>
                <w:color w:val="FFFFFF"/>
              </w:rPr>
              <w:t>Experiences of our Directors</w:t>
            </w:r>
          </w:p>
        </w:tc>
        <w:tc>
          <w:tcPr>
            <w:tcW w:w="720" w:type="dxa"/>
            <w:vAlign w:val="bottom"/>
            <w:tcBorders>
              <w:right w:val="single" w:sz="8" w:color="2D53A6"/>
            </w:tcBorders>
            <w:vMerge w:val="continue"/>
            <w:shd w:val="clear" w:color="auto" w:fill="2D53A6"/>
          </w:tcPr>
          <w:p>
            <w:pPr>
              <w:spacing w:after="0"/>
              <w:rPr>
                <w:sz w:val="9"/>
                <w:szCs w:val="9"/>
                <w:color w:val="auto"/>
              </w:rPr>
            </w:pPr>
          </w:p>
        </w:tc>
        <w:tc>
          <w:tcPr>
            <w:tcW w:w="740" w:type="dxa"/>
            <w:vAlign w:val="bottom"/>
            <w:tcBorders>
              <w:right w:val="single" w:sz="8" w:color="2D53A6"/>
            </w:tcBorders>
            <w:vMerge w:val="continue"/>
            <w:shd w:val="clear" w:color="auto" w:fill="2D53A6"/>
          </w:tcPr>
          <w:p>
            <w:pPr>
              <w:spacing w:after="0"/>
              <w:rPr>
                <w:sz w:val="9"/>
                <w:szCs w:val="9"/>
                <w:color w:val="auto"/>
              </w:rPr>
            </w:pPr>
          </w:p>
        </w:tc>
        <w:tc>
          <w:tcPr>
            <w:tcW w:w="760" w:type="dxa"/>
            <w:vAlign w:val="bottom"/>
            <w:tcBorders>
              <w:right w:val="single" w:sz="8" w:color="2D53A6"/>
            </w:tcBorders>
            <w:vMerge w:val="continue"/>
            <w:shd w:val="clear" w:color="auto" w:fill="2D53A6"/>
          </w:tcPr>
          <w:p>
            <w:pPr>
              <w:spacing w:after="0"/>
              <w:rPr>
                <w:sz w:val="9"/>
                <w:szCs w:val="9"/>
                <w:color w:val="auto"/>
              </w:rPr>
            </w:pPr>
          </w:p>
        </w:tc>
        <w:tc>
          <w:tcPr>
            <w:tcW w:w="740" w:type="dxa"/>
            <w:vAlign w:val="bottom"/>
            <w:tcBorders>
              <w:right w:val="single" w:sz="8" w:color="2D53A6"/>
            </w:tcBorders>
            <w:vMerge w:val="continue"/>
            <w:shd w:val="clear" w:color="auto" w:fill="2D53A6"/>
          </w:tcPr>
          <w:p>
            <w:pPr>
              <w:spacing w:after="0"/>
              <w:rPr>
                <w:sz w:val="9"/>
                <w:szCs w:val="9"/>
                <w:color w:val="auto"/>
              </w:rPr>
            </w:pPr>
          </w:p>
        </w:tc>
        <w:tc>
          <w:tcPr>
            <w:tcW w:w="740" w:type="dxa"/>
            <w:vAlign w:val="bottom"/>
            <w:tcBorders>
              <w:right w:val="single" w:sz="8" w:color="2D53A6"/>
            </w:tcBorders>
            <w:vMerge w:val="continue"/>
            <w:shd w:val="clear" w:color="auto" w:fill="2D53A6"/>
          </w:tcPr>
          <w:p>
            <w:pPr>
              <w:spacing w:after="0"/>
              <w:rPr>
                <w:sz w:val="9"/>
                <w:szCs w:val="9"/>
                <w:color w:val="auto"/>
              </w:rPr>
            </w:pPr>
          </w:p>
        </w:tc>
        <w:tc>
          <w:tcPr>
            <w:tcW w:w="720" w:type="dxa"/>
            <w:vAlign w:val="bottom"/>
            <w:tcBorders>
              <w:right w:val="single" w:sz="8" w:color="2D53A6"/>
            </w:tcBorders>
            <w:vMerge w:val="continue"/>
            <w:shd w:val="clear" w:color="auto" w:fill="2D53A6"/>
          </w:tcPr>
          <w:p>
            <w:pPr>
              <w:spacing w:after="0"/>
              <w:rPr>
                <w:sz w:val="9"/>
                <w:szCs w:val="9"/>
                <w:color w:val="auto"/>
              </w:rPr>
            </w:pPr>
          </w:p>
        </w:tc>
        <w:tc>
          <w:tcPr>
            <w:tcW w:w="740" w:type="dxa"/>
            <w:vAlign w:val="bottom"/>
            <w:tcBorders>
              <w:right w:val="single" w:sz="8" w:color="2D53A6"/>
            </w:tcBorders>
            <w:vMerge w:val="continue"/>
            <w:shd w:val="clear" w:color="auto" w:fill="2D53A6"/>
          </w:tcPr>
          <w:p>
            <w:pPr>
              <w:spacing w:after="0"/>
              <w:rPr>
                <w:sz w:val="9"/>
                <w:szCs w:val="9"/>
                <w:color w:val="auto"/>
              </w:rPr>
            </w:pPr>
          </w:p>
        </w:tc>
        <w:tc>
          <w:tcPr>
            <w:tcW w:w="700" w:type="dxa"/>
            <w:vAlign w:val="bottom"/>
            <w:tcBorders>
              <w:right w:val="single" w:sz="8" w:color="2D53A6"/>
            </w:tcBorders>
            <w:vMerge w:val="continue"/>
            <w:shd w:val="clear" w:color="auto" w:fill="2D53A6"/>
          </w:tcPr>
          <w:p>
            <w:pPr>
              <w:spacing w:after="0"/>
              <w:rPr>
                <w:sz w:val="9"/>
                <w:szCs w:val="9"/>
                <w:color w:val="auto"/>
              </w:rPr>
            </w:pPr>
          </w:p>
        </w:tc>
        <w:tc>
          <w:tcPr>
            <w:tcW w:w="8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580" w:type="dxa"/>
            <w:vAlign w:val="bottom"/>
            <w:tcBorders>
              <w:right w:val="single" w:sz="8" w:color="2D53A6"/>
            </w:tcBorders>
            <w:vMerge w:val="continue"/>
            <w:shd w:val="clear" w:color="auto" w:fill="2D53A6"/>
          </w:tcPr>
          <w:p>
            <w:pPr>
              <w:spacing w:after="0"/>
              <w:rPr>
                <w:sz w:val="14"/>
                <w:szCs w:val="14"/>
                <w:color w:val="auto"/>
              </w:rPr>
            </w:pPr>
          </w:p>
        </w:tc>
        <w:tc>
          <w:tcPr>
            <w:tcW w:w="720" w:type="dxa"/>
            <w:vAlign w:val="bottom"/>
            <w:tcBorders>
              <w:right w:val="single" w:sz="8" w:color="2D53A6"/>
            </w:tcBorders>
            <w:shd w:val="clear" w:color="auto" w:fill="2D53A6"/>
          </w:tcPr>
          <w:p>
            <w:pPr>
              <w:spacing w:after="0"/>
              <w:rPr>
                <w:sz w:val="14"/>
                <w:szCs w:val="14"/>
                <w:color w:val="auto"/>
              </w:rPr>
            </w:pPr>
          </w:p>
        </w:tc>
        <w:tc>
          <w:tcPr>
            <w:tcW w:w="740" w:type="dxa"/>
            <w:vAlign w:val="bottom"/>
            <w:tcBorders>
              <w:right w:val="single" w:sz="8" w:color="2D53A6"/>
            </w:tcBorders>
            <w:shd w:val="clear" w:color="auto" w:fill="2D53A6"/>
          </w:tcPr>
          <w:p>
            <w:pPr>
              <w:spacing w:after="0"/>
              <w:rPr>
                <w:sz w:val="14"/>
                <w:szCs w:val="14"/>
                <w:color w:val="auto"/>
              </w:rPr>
            </w:pPr>
          </w:p>
        </w:tc>
        <w:tc>
          <w:tcPr>
            <w:tcW w:w="760" w:type="dxa"/>
            <w:vAlign w:val="bottom"/>
            <w:tcBorders>
              <w:right w:val="single" w:sz="8" w:color="2D53A6"/>
            </w:tcBorders>
            <w:shd w:val="clear" w:color="auto" w:fill="2D53A6"/>
          </w:tcPr>
          <w:p>
            <w:pPr>
              <w:spacing w:after="0"/>
              <w:rPr>
                <w:sz w:val="14"/>
                <w:szCs w:val="14"/>
                <w:color w:val="auto"/>
              </w:rPr>
            </w:pPr>
          </w:p>
        </w:tc>
        <w:tc>
          <w:tcPr>
            <w:tcW w:w="740" w:type="dxa"/>
            <w:vAlign w:val="bottom"/>
            <w:tcBorders>
              <w:right w:val="single" w:sz="8" w:color="2D53A6"/>
            </w:tcBorders>
            <w:shd w:val="clear" w:color="auto" w:fill="2D53A6"/>
          </w:tcPr>
          <w:p>
            <w:pPr>
              <w:spacing w:after="0"/>
              <w:rPr>
                <w:sz w:val="14"/>
                <w:szCs w:val="14"/>
                <w:color w:val="auto"/>
              </w:rPr>
            </w:pPr>
          </w:p>
        </w:tc>
        <w:tc>
          <w:tcPr>
            <w:tcW w:w="740" w:type="dxa"/>
            <w:vAlign w:val="bottom"/>
            <w:tcBorders>
              <w:right w:val="single" w:sz="8" w:color="2D53A6"/>
            </w:tcBorders>
            <w:shd w:val="clear" w:color="auto" w:fill="2D53A6"/>
          </w:tcPr>
          <w:p>
            <w:pPr>
              <w:spacing w:after="0"/>
              <w:rPr>
                <w:sz w:val="14"/>
                <w:szCs w:val="14"/>
                <w:color w:val="auto"/>
              </w:rPr>
            </w:pPr>
          </w:p>
        </w:tc>
        <w:tc>
          <w:tcPr>
            <w:tcW w:w="720" w:type="dxa"/>
            <w:vAlign w:val="bottom"/>
            <w:tcBorders>
              <w:right w:val="single" w:sz="8" w:color="2D53A6"/>
            </w:tcBorders>
            <w:shd w:val="clear" w:color="auto" w:fill="2D53A6"/>
          </w:tcPr>
          <w:p>
            <w:pPr>
              <w:spacing w:after="0"/>
              <w:rPr>
                <w:sz w:val="14"/>
                <w:szCs w:val="14"/>
                <w:color w:val="auto"/>
              </w:rPr>
            </w:pPr>
          </w:p>
        </w:tc>
        <w:tc>
          <w:tcPr>
            <w:tcW w:w="740" w:type="dxa"/>
            <w:vAlign w:val="bottom"/>
            <w:tcBorders>
              <w:right w:val="single" w:sz="8" w:color="2D53A6"/>
            </w:tcBorders>
            <w:shd w:val="clear" w:color="auto" w:fill="2D53A6"/>
          </w:tcPr>
          <w:p>
            <w:pPr>
              <w:spacing w:after="0"/>
              <w:rPr>
                <w:sz w:val="14"/>
                <w:szCs w:val="14"/>
                <w:color w:val="auto"/>
              </w:rPr>
            </w:pPr>
          </w:p>
        </w:tc>
        <w:tc>
          <w:tcPr>
            <w:tcW w:w="700" w:type="dxa"/>
            <w:vAlign w:val="bottom"/>
            <w:tcBorders>
              <w:right w:val="single" w:sz="8" w:color="2D53A6"/>
            </w:tcBorders>
            <w:shd w:val="clear" w:color="auto" w:fill="2D53A6"/>
          </w:tcPr>
          <w:p>
            <w:pPr>
              <w:spacing w:after="0"/>
              <w:rPr>
                <w:sz w:val="14"/>
                <w:szCs w:val="14"/>
                <w:color w:val="auto"/>
              </w:rPr>
            </w:pPr>
          </w:p>
        </w:tc>
        <w:tc>
          <w:tcPr>
            <w:tcW w:w="800" w:type="dxa"/>
            <w:vAlign w:val="bottom"/>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580" w:type="dxa"/>
            <w:vAlign w:val="bottom"/>
            <w:tcBorders>
              <w:right w:val="single" w:sz="8" w:color="2D53A6"/>
            </w:tcBorders>
          </w:tcPr>
          <w:p>
            <w:pPr>
              <w:ind w:left="20"/>
              <w:spacing w:after="0" w:line="197" w:lineRule="exact"/>
              <w:rPr>
                <w:sz w:val="20"/>
                <w:szCs w:val="20"/>
                <w:color w:val="auto"/>
              </w:rPr>
            </w:pPr>
            <w:r>
              <w:rPr>
                <w:rFonts w:ascii="Arial" w:cs="Arial" w:eastAsia="Arial" w:hAnsi="Arial"/>
                <w:sz w:val="18"/>
                <w:szCs w:val="18"/>
                <w:b w:val="1"/>
                <w:bCs w:val="1"/>
                <w:color w:val="auto"/>
              </w:rPr>
              <w:t xml:space="preserve">Industry Knowledge </w:t>
            </w:r>
            <w:r>
              <w:rPr>
                <w:rFonts w:ascii="Arial" w:cs="Arial" w:eastAsia="Arial" w:hAnsi="Arial"/>
                <w:sz w:val="18"/>
                <w:szCs w:val="18"/>
                <w:color w:val="auto"/>
              </w:rPr>
              <w:t>– Knowledge of and experience</w:t>
            </w:r>
          </w:p>
        </w:tc>
        <w:tc>
          <w:tcPr>
            <w:tcW w:w="720" w:type="dxa"/>
            <w:vAlign w:val="bottom"/>
            <w:tcBorders>
              <w:right w:val="single" w:sz="8" w:color="2D53A6"/>
            </w:tcBorders>
          </w:tcPr>
          <w:p>
            <w:pPr>
              <w:spacing w:after="0"/>
              <w:rPr>
                <w:sz w:val="17"/>
                <w:szCs w:val="17"/>
                <w:color w:val="auto"/>
              </w:rPr>
            </w:pPr>
          </w:p>
        </w:tc>
        <w:tc>
          <w:tcPr>
            <w:tcW w:w="740" w:type="dxa"/>
            <w:vAlign w:val="bottom"/>
            <w:tcBorders>
              <w:right w:val="single" w:sz="8" w:color="2D53A6"/>
            </w:tcBorders>
          </w:tcPr>
          <w:p>
            <w:pPr>
              <w:spacing w:after="0"/>
              <w:rPr>
                <w:sz w:val="17"/>
                <w:szCs w:val="17"/>
                <w:color w:val="auto"/>
              </w:rPr>
            </w:pPr>
          </w:p>
        </w:tc>
        <w:tc>
          <w:tcPr>
            <w:tcW w:w="760" w:type="dxa"/>
            <w:vAlign w:val="bottom"/>
            <w:tcBorders>
              <w:right w:val="single" w:sz="8" w:color="2D53A6"/>
            </w:tcBorders>
          </w:tcPr>
          <w:p>
            <w:pPr>
              <w:spacing w:after="0"/>
              <w:rPr>
                <w:sz w:val="17"/>
                <w:szCs w:val="17"/>
                <w:color w:val="auto"/>
              </w:rPr>
            </w:pPr>
          </w:p>
        </w:tc>
        <w:tc>
          <w:tcPr>
            <w:tcW w:w="740" w:type="dxa"/>
            <w:vAlign w:val="bottom"/>
            <w:tcBorders>
              <w:right w:val="single" w:sz="8" w:color="2D53A6"/>
            </w:tcBorders>
          </w:tcPr>
          <w:p>
            <w:pPr>
              <w:spacing w:after="0"/>
              <w:rPr>
                <w:sz w:val="17"/>
                <w:szCs w:val="17"/>
                <w:color w:val="auto"/>
              </w:rPr>
            </w:pPr>
          </w:p>
        </w:tc>
        <w:tc>
          <w:tcPr>
            <w:tcW w:w="740" w:type="dxa"/>
            <w:vAlign w:val="bottom"/>
            <w:tcBorders>
              <w:right w:val="single" w:sz="8" w:color="2D53A6"/>
            </w:tcBorders>
          </w:tcPr>
          <w:p>
            <w:pPr>
              <w:spacing w:after="0"/>
              <w:rPr>
                <w:sz w:val="17"/>
                <w:szCs w:val="17"/>
                <w:color w:val="auto"/>
              </w:rPr>
            </w:pPr>
          </w:p>
        </w:tc>
        <w:tc>
          <w:tcPr>
            <w:tcW w:w="720" w:type="dxa"/>
            <w:vAlign w:val="bottom"/>
            <w:tcBorders>
              <w:right w:val="single" w:sz="8" w:color="2D53A6"/>
            </w:tcBorders>
          </w:tcPr>
          <w:p>
            <w:pPr>
              <w:spacing w:after="0"/>
              <w:rPr>
                <w:sz w:val="17"/>
                <w:szCs w:val="17"/>
                <w:color w:val="auto"/>
              </w:rPr>
            </w:pPr>
          </w:p>
        </w:tc>
        <w:tc>
          <w:tcPr>
            <w:tcW w:w="740" w:type="dxa"/>
            <w:vAlign w:val="bottom"/>
            <w:tcBorders>
              <w:right w:val="single" w:sz="8" w:color="2D53A6"/>
            </w:tcBorders>
          </w:tcPr>
          <w:p>
            <w:pPr>
              <w:spacing w:after="0"/>
              <w:rPr>
                <w:sz w:val="17"/>
                <w:szCs w:val="17"/>
                <w:color w:val="auto"/>
              </w:rPr>
            </w:pPr>
          </w:p>
        </w:tc>
        <w:tc>
          <w:tcPr>
            <w:tcW w:w="700" w:type="dxa"/>
            <w:vAlign w:val="bottom"/>
            <w:tcBorders>
              <w:right w:val="single" w:sz="8" w:color="2D53A6"/>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tcPr>
          <w:p>
            <w:pPr>
              <w:ind w:left="20"/>
              <w:spacing w:after="0" w:line="202" w:lineRule="exact"/>
              <w:rPr>
                <w:sz w:val="20"/>
                <w:szCs w:val="20"/>
                <w:color w:val="auto"/>
              </w:rPr>
            </w:pPr>
            <w:r>
              <w:rPr>
                <w:rFonts w:ascii="Arial" w:cs="Arial" w:eastAsia="Arial" w:hAnsi="Arial"/>
                <w:sz w:val="18"/>
                <w:szCs w:val="18"/>
                <w:color w:val="auto"/>
              </w:rPr>
              <w:t>with our semiconductor equipment and broader</w:t>
            </w:r>
          </w:p>
        </w:tc>
        <w:tc>
          <w:tcPr>
            <w:tcW w:w="72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2D53A6"/>
              <w:right w:val="single" w:sz="8" w:color="2D53A6"/>
            </w:tcBorders>
          </w:tcPr>
          <w:p>
            <w:pPr>
              <w:ind w:left="20"/>
              <w:spacing w:after="0"/>
              <w:rPr>
                <w:sz w:val="20"/>
                <w:szCs w:val="20"/>
                <w:color w:val="auto"/>
              </w:rPr>
            </w:pPr>
            <w:r>
              <w:rPr>
                <w:rFonts w:ascii="Arial" w:cs="Arial" w:eastAsia="Arial" w:hAnsi="Arial"/>
                <w:sz w:val="18"/>
                <w:szCs w:val="18"/>
                <w:color w:val="auto"/>
              </w:rPr>
              <w:t>semiconductor markets</w:t>
            </w:r>
          </w:p>
        </w:tc>
        <w:tc>
          <w:tcPr>
            <w:tcW w:w="72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2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0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Borders>
              <w:right w:val="single" w:sz="8" w:color="2D53A6"/>
            </w:tcBorders>
            <w:shd w:val="clear" w:color="auto" w:fill="E6E6E6"/>
          </w:tcPr>
          <w:p>
            <w:pPr>
              <w:ind w:left="20"/>
              <w:spacing w:after="0" w:line="191" w:lineRule="exact"/>
              <w:rPr>
                <w:sz w:val="20"/>
                <w:szCs w:val="20"/>
                <w:color w:val="auto"/>
              </w:rPr>
            </w:pPr>
            <w:r>
              <w:rPr>
                <w:rFonts w:ascii="Arial" w:cs="Arial" w:eastAsia="Arial" w:hAnsi="Arial"/>
                <w:sz w:val="18"/>
                <w:szCs w:val="18"/>
                <w:b w:val="1"/>
                <w:bCs w:val="1"/>
                <w:color w:val="auto"/>
              </w:rPr>
              <w:t xml:space="preserve">Public Company Board Experience </w:t>
            </w:r>
            <w:r>
              <w:rPr>
                <w:rFonts w:ascii="Arial" w:cs="Arial" w:eastAsia="Arial" w:hAnsi="Arial"/>
                <w:sz w:val="18"/>
                <w:szCs w:val="18"/>
                <w:color w:val="auto"/>
              </w:rPr>
              <w:t>– Experience as</w:t>
            </w:r>
          </w:p>
        </w:tc>
        <w:tc>
          <w:tcPr>
            <w:tcW w:w="72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2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current or former member of other public company</w:t>
            </w:r>
          </w:p>
        </w:tc>
        <w:tc>
          <w:tcPr>
            <w:tcW w:w="7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4580" w:type="dxa"/>
            <w:vAlign w:val="bottom"/>
            <w:tcBorders>
              <w:right w:val="single" w:sz="8" w:color="2D53A6"/>
            </w:tcBorders>
            <w:vMerge w:val="restart"/>
            <w:shd w:val="clear" w:color="auto" w:fill="E6E6E6"/>
          </w:tcPr>
          <w:p>
            <w:pPr>
              <w:ind w:left="20"/>
              <w:spacing w:after="0" w:line="202" w:lineRule="exact"/>
              <w:rPr>
                <w:sz w:val="20"/>
                <w:szCs w:val="20"/>
                <w:color w:val="auto"/>
              </w:rPr>
            </w:pPr>
            <w:r>
              <w:rPr>
                <w:rFonts w:ascii="Arial" w:cs="Arial" w:eastAsia="Arial" w:hAnsi="Arial"/>
                <w:sz w:val="18"/>
                <w:szCs w:val="18"/>
                <w:color w:val="auto"/>
              </w:rPr>
              <w:t>boards in technology industries; experience with board</w:t>
            </w:r>
          </w:p>
        </w:tc>
        <w:tc>
          <w:tcPr>
            <w:tcW w:w="72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2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80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580" w:type="dxa"/>
            <w:vAlign w:val="bottom"/>
            <w:tcBorders>
              <w:right w:val="single" w:sz="8" w:color="2D53A6"/>
            </w:tcBorders>
            <w:vMerge w:val="continue"/>
            <w:shd w:val="clear" w:color="auto" w:fill="E6E6E6"/>
          </w:tcPr>
          <w:p>
            <w:pPr>
              <w:spacing w:after="0"/>
              <w:rPr>
                <w:sz w:val="6"/>
                <w:szCs w:val="6"/>
                <w:color w:val="auto"/>
              </w:rPr>
            </w:pPr>
          </w:p>
        </w:tc>
        <w:tc>
          <w:tcPr>
            <w:tcW w:w="72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2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8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governance requirements and practices</w:t>
            </w: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Borders>
              <w:right w:val="single" w:sz="8" w:color="2D53A6"/>
            </w:tcBorders>
          </w:tcPr>
          <w:p>
            <w:pPr>
              <w:ind w:left="20"/>
              <w:spacing w:after="0" w:line="191" w:lineRule="exact"/>
              <w:rPr>
                <w:sz w:val="20"/>
                <w:szCs w:val="20"/>
                <w:color w:val="auto"/>
              </w:rPr>
            </w:pPr>
            <w:r>
              <w:rPr>
                <w:rFonts w:ascii="Arial" w:cs="Arial" w:eastAsia="Arial" w:hAnsi="Arial"/>
                <w:sz w:val="18"/>
                <w:szCs w:val="18"/>
                <w:b w:val="1"/>
                <w:bCs w:val="1"/>
                <w:color w:val="auto"/>
              </w:rPr>
              <w:t xml:space="preserve">Leadership Experience </w:t>
            </w:r>
            <w:r>
              <w:rPr>
                <w:rFonts w:ascii="Arial" w:cs="Arial" w:eastAsia="Arial" w:hAnsi="Arial"/>
                <w:sz w:val="18"/>
                <w:szCs w:val="18"/>
                <w:color w:val="auto"/>
              </w:rPr>
              <w:t>– Experience as a current or</w:t>
            </w:r>
          </w:p>
        </w:tc>
        <w:tc>
          <w:tcPr>
            <w:tcW w:w="72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2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00" w:type="dxa"/>
            <w:vAlign w:val="bottom"/>
            <w:tcBorders>
              <w:right w:val="single" w:sz="8" w:color="2D53A6"/>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tcPr>
          <w:p>
            <w:pPr>
              <w:ind w:left="20"/>
              <w:spacing w:after="0" w:line="202" w:lineRule="exact"/>
              <w:rPr>
                <w:sz w:val="20"/>
                <w:szCs w:val="20"/>
                <w:color w:val="auto"/>
              </w:rPr>
            </w:pPr>
            <w:r>
              <w:rPr>
                <w:rFonts w:ascii="Arial" w:cs="Arial" w:eastAsia="Arial" w:hAnsi="Arial"/>
                <w:sz w:val="18"/>
                <w:szCs w:val="18"/>
                <w:color w:val="auto"/>
              </w:rPr>
              <w:t>former chief executive officer (“CEO”), president, chief</w:t>
            </w:r>
          </w:p>
        </w:tc>
        <w:tc>
          <w:tcPr>
            <w:tcW w:w="7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4580" w:type="dxa"/>
            <w:vAlign w:val="bottom"/>
            <w:tcBorders>
              <w:right w:val="single" w:sz="8" w:color="2D53A6"/>
            </w:tcBorders>
            <w:vMerge w:val="restart"/>
          </w:tcPr>
          <w:p>
            <w:pPr>
              <w:ind w:left="20"/>
              <w:spacing w:after="0" w:line="202" w:lineRule="exact"/>
              <w:rPr>
                <w:sz w:val="20"/>
                <w:szCs w:val="20"/>
                <w:color w:val="auto"/>
              </w:rPr>
            </w:pPr>
            <w:r>
              <w:rPr>
                <w:rFonts w:ascii="Arial" w:cs="Arial" w:eastAsia="Arial" w:hAnsi="Arial"/>
                <w:sz w:val="18"/>
                <w:szCs w:val="18"/>
                <w:color w:val="auto"/>
              </w:rPr>
              <w:t>financial officer (“CFO”), chief operating officer and/or</w:t>
            </w:r>
          </w:p>
        </w:tc>
        <w:tc>
          <w:tcPr>
            <w:tcW w:w="720" w:type="dxa"/>
            <w:vAlign w:val="bottom"/>
            <w:tcBorders>
              <w:right w:val="single" w:sz="8" w:color="2D53A6"/>
            </w:tcBorders>
            <w:vMerge w:val="continue"/>
          </w:tcPr>
          <w:p>
            <w:pPr>
              <w:spacing w:after="0"/>
              <w:rPr>
                <w:sz w:val="11"/>
                <w:szCs w:val="11"/>
                <w:color w:val="auto"/>
              </w:rPr>
            </w:pPr>
          </w:p>
        </w:tc>
        <w:tc>
          <w:tcPr>
            <w:tcW w:w="740" w:type="dxa"/>
            <w:vAlign w:val="bottom"/>
            <w:tcBorders>
              <w:right w:val="single" w:sz="8" w:color="2D53A6"/>
            </w:tcBorders>
            <w:vMerge w:val="continue"/>
          </w:tcPr>
          <w:p>
            <w:pPr>
              <w:spacing w:after="0"/>
              <w:rPr>
                <w:sz w:val="11"/>
                <w:szCs w:val="11"/>
                <w:color w:val="auto"/>
              </w:rPr>
            </w:pPr>
          </w:p>
        </w:tc>
        <w:tc>
          <w:tcPr>
            <w:tcW w:w="760" w:type="dxa"/>
            <w:vAlign w:val="bottom"/>
            <w:tcBorders>
              <w:right w:val="single" w:sz="8" w:color="2D53A6"/>
            </w:tcBorders>
            <w:vMerge w:val="continue"/>
          </w:tcPr>
          <w:p>
            <w:pPr>
              <w:spacing w:after="0"/>
              <w:rPr>
                <w:sz w:val="11"/>
                <w:szCs w:val="11"/>
                <w:color w:val="auto"/>
              </w:rPr>
            </w:pPr>
          </w:p>
        </w:tc>
        <w:tc>
          <w:tcPr>
            <w:tcW w:w="740" w:type="dxa"/>
            <w:vAlign w:val="bottom"/>
            <w:tcBorders>
              <w:right w:val="single" w:sz="8" w:color="2D53A6"/>
            </w:tcBorders>
            <w:vMerge w:val="continue"/>
          </w:tcPr>
          <w:p>
            <w:pPr>
              <w:spacing w:after="0"/>
              <w:rPr>
                <w:sz w:val="11"/>
                <w:szCs w:val="11"/>
                <w:color w:val="auto"/>
              </w:rPr>
            </w:pPr>
          </w:p>
        </w:tc>
        <w:tc>
          <w:tcPr>
            <w:tcW w:w="740" w:type="dxa"/>
            <w:vAlign w:val="bottom"/>
            <w:tcBorders>
              <w:right w:val="single" w:sz="8" w:color="2D53A6"/>
            </w:tcBorders>
            <w:vMerge w:val="continue"/>
          </w:tcPr>
          <w:p>
            <w:pPr>
              <w:spacing w:after="0"/>
              <w:rPr>
                <w:sz w:val="11"/>
                <w:szCs w:val="11"/>
                <w:color w:val="auto"/>
              </w:rPr>
            </w:pPr>
          </w:p>
        </w:tc>
        <w:tc>
          <w:tcPr>
            <w:tcW w:w="720" w:type="dxa"/>
            <w:vAlign w:val="bottom"/>
            <w:tcBorders>
              <w:right w:val="single" w:sz="8" w:color="2D53A6"/>
            </w:tcBorders>
            <w:vMerge w:val="continue"/>
          </w:tcPr>
          <w:p>
            <w:pPr>
              <w:spacing w:after="0"/>
              <w:rPr>
                <w:sz w:val="11"/>
                <w:szCs w:val="11"/>
                <w:color w:val="auto"/>
              </w:rPr>
            </w:pPr>
          </w:p>
        </w:tc>
        <w:tc>
          <w:tcPr>
            <w:tcW w:w="740" w:type="dxa"/>
            <w:vAlign w:val="bottom"/>
            <w:tcBorders>
              <w:right w:val="single" w:sz="8" w:color="2D53A6"/>
            </w:tcBorders>
            <w:vMerge w:val="continue"/>
          </w:tcPr>
          <w:p>
            <w:pPr>
              <w:spacing w:after="0"/>
              <w:rPr>
                <w:sz w:val="11"/>
                <w:szCs w:val="11"/>
                <w:color w:val="auto"/>
              </w:rPr>
            </w:pPr>
          </w:p>
        </w:tc>
        <w:tc>
          <w:tcPr>
            <w:tcW w:w="700" w:type="dxa"/>
            <w:vAlign w:val="bottom"/>
            <w:tcBorders>
              <w:right w:val="single" w:sz="8" w:color="2D53A6"/>
            </w:tcBorders>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580" w:type="dxa"/>
            <w:vAlign w:val="bottom"/>
            <w:tcBorders>
              <w:right w:val="single" w:sz="8" w:color="2D53A6"/>
            </w:tcBorders>
            <w:vMerge w:val="continue"/>
          </w:tcPr>
          <w:p>
            <w:pPr>
              <w:spacing w:after="0"/>
              <w:rPr>
                <w:sz w:val="6"/>
                <w:szCs w:val="6"/>
                <w:color w:val="auto"/>
              </w:rPr>
            </w:pPr>
          </w:p>
        </w:tc>
        <w:tc>
          <w:tcPr>
            <w:tcW w:w="720" w:type="dxa"/>
            <w:vAlign w:val="bottom"/>
            <w:tcBorders>
              <w:right w:val="single" w:sz="8" w:color="2D53A6"/>
            </w:tcBorders>
          </w:tcPr>
          <w:p>
            <w:pPr>
              <w:spacing w:after="0"/>
              <w:rPr>
                <w:sz w:val="6"/>
                <w:szCs w:val="6"/>
                <w:color w:val="auto"/>
              </w:rPr>
            </w:pPr>
          </w:p>
        </w:tc>
        <w:tc>
          <w:tcPr>
            <w:tcW w:w="740" w:type="dxa"/>
            <w:vAlign w:val="bottom"/>
            <w:tcBorders>
              <w:right w:val="single" w:sz="8" w:color="2D53A6"/>
            </w:tcBorders>
          </w:tcPr>
          <w:p>
            <w:pPr>
              <w:spacing w:after="0"/>
              <w:rPr>
                <w:sz w:val="6"/>
                <w:szCs w:val="6"/>
                <w:color w:val="auto"/>
              </w:rPr>
            </w:pPr>
          </w:p>
        </w:tc>
        <w:tc>
          <w:tcPr>
            <w:tcW w:w="760" w:type="dxa"/>
            <w:vAlign w:val="bottom"/>
            <w:tcBorders>
              <w:right w:val="single" w:sz="8" w:color="2D53A6"/>
            </w:tcBorders>
          </w:tcPr>
          <w:p>
            <w:pPr>
              <w:spacing w:after="0"/>
              <w:rPr>
                <w:sz w:val="6"/>
                <w:szCs w:val="6"/>
                <w:color w:val="auto"/>
              </w:rPr>
            </w:pPr>
          </w:p>
        </w:tc>
        <w:tc>
          <w:tcPr>
            <w:tcW w:w="740" w:type="dxa"/>
            <w:vAlign w:val="bottom"/>
            <w:tcBorders>
              <w:right w:val="single" w:sz="8" w:color="2D53A6"/>
            </w:tcBorders>
          </w:tcPr>
          <w:p>
            <w:pPr>
              <w:spacing w:after="0"/>
              <w:rPr>
                <w:sz w:val="6"/>
                <w:szCs w:val="6"/>
                <w:color w:val="auto"/>
              </w:rPr>
            </w:pPr>
          </w:p>
        </w:tc>
        <w:tc>
          <w:tcPr>
            <w:tcW w:w="740" w:type="dxa"/>
            <w:vAlign w:val="bottom"/>
            <w:tcBorders>
              <w:right w:val="single" w:sz="8" w:color="2D53A6"/>
            </w:tcBorders>
          </w:tcPr>
          <w:p>
            <w:pPr>
              <w:spacing w:after="0"/>
              <w:rPr>
                <w:sz w:val="6"/>
                <w:szCs w:val="6"/>
                <w:color w:val="auto"/>
              </w:rPr>
            </w:pPr>
          </w:p>
        </w:tc>
        <w:tc>
          <w:tcPr>
            <w:tcW w:w="720" w:type="dxa"/>
            <w:vAlign w:val="bottom"/>
            <w:tcBorders>
              <w:right w:val="single" w:sz="8" w:color="2D53A6"/>
            </w:tcBorders>
          </w:tcPr>
          <w:p>
            <w:pPr>
              <w:spacing w:after="0"/>
              <w:rPr>
                <w:sz w:val="6"/>
                <w:szCs w:val="6"/>
                <w:color w:val="auto"/>
              </w:rPr>
            </w:pPr>
          </w:p>
        </w:tc>
        <w:tc>
          <w:tcPr>
            <w:tcW w:w="740" w:type="dxa"/>
            <w:vAlign w:val="bottom"/>
            <w:tcBorders>
              <w:right w:val="single" w:sz="8" w:color="2D53A6"/>
            </w:tcBorders>
          </w:tcPr>
          <w:p>
            <w:pPr>
              <w:spacing w:after="0"/>
              <w:rPr>
                <w:sz w:val="6"/>
                <w:szCs w:val="6"/>
                <w:color w:val="auto"/>
              </w:rPr>
            </w:pPr>
          </w:p>
        </w:tc>
        <w:tc>
          <w:tcPr>
            <w:tcW w:w="700" w:type="dxa"/>
            <w:vAlign w:val="bottom"/>
            <w:tcBorders>
              <w:right w:val="single" w:sz="8" w:color="2D53A6"/>
            </w:tcBorders>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2D53A6"/>
              <w:right w:val="single" w:sz="8" w:color="2D53A6"/>
            </w:tcBorders>
          </w:tcPr>
          <w:p>
            <w:pPr>
              <w:ind w:left="20"/>
              <w:spacing w:after="0"/>
              <w:rPr>
                <w:sz w:val="20"/>
                <w:szCs w:val="20"/>
                <w:color w:val="auto"/>
              </w:rPr>
            </w:pPr>
            <w:r>
              <w:rPr>
                <w:rFonts w:ascii="Arial" w:cs="Arial" w:eastAsia="Arial" w:hAnsi="Arial"/>
                <w:sz w:val="18"/>
                <w:szCs w:val="18"/>
                <w:color w:val="auto"/>
              </w:rPr>
              <w:t>general manager of a significant business</w:t>
            </w:r>
          </w:p>
        </w:tc>
        <w:tc>
          <w:tcPr>
            <w:tcW w:w="72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2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0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Borders>
              <w:right w:val="single" w:sz="8" w:color="2D53A6"/>
            </w:tcBorders>
            <w:shd w:val="clear" w:color="auto" w:fill="E6E6E6"/>
          </w:tcPr>
          <w:p>
            <w:pPr>
              <w:ind w:left="20"/>
              <w:spacing w:after="0" w:line="191" w:lineRule="exact"/>
              <w:rPr>
                <w:sz w:val="20"/>
                <w:szCs w:val="20"/>
                <w:color w:val="auto"/>
              </w:rPr>
            </w:pPr>
            <w:r>
              <w:rPr>
                <w:rFonts w:ascii="Arial" w:cs="Arial" w:eastAsia="Arial" w:hAnsi="Arial"/>
                <w:sz w:val="18"/>
                <w:szCs w:val="18"/>
                <w:b w:val="1"/>
                <w:bCs w:val="1"/>
                <w:color w:val="auto"/>
              </w:rPr>
              <w:t xml:space="preserve">Customer/Deep Technology Knowledge </w:t>
            </w:r>
            <w:r>
              <w:rPr>
                <w:rFonts w:ascii="Arial" w:cs="Arial" w:eastAsia="Arial" w:hAnsi="Arial"/>
                <w:sz w:val="18"/>
                <w:szCs w:val="18"/>
                <w:color w:val="auto"/>
              </w:rPr>
              <w:t>– Deep</w:t>
            </w:r>
          </w:p>
        </w:tc>
        <w:tc>
          <w:tcPr>
            <w:tcW w:w="72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2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knowledge and understanding of semiconductor</w:t>
            </w: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shd w:val="clear" w:color="auto" w:fill="E6E6E6"/>
          </w:tcPr>
          <w:p>
            <w:pPr>
              <w:spacing w:after="0"/>
              <w:rPr>
                <w:sz w:val="17"/>
                <w:szCs w:val="17"/>
                <w:color w:val="auto"/>
              </w:rPr>
            </w:pPr>
          </w:p>
        </w:tc>
        <w:tc>
          <w:tcPr>
            <w:tcW w:w="7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580" w:type="dxa"/>
            <w:vAlign w:val="bottom"/>
            <w:tcBorders>
              <w:right w:val="single" w:sz="8" w:color="2D53A6"/>
            </w:tcBorders>
            <w:vMerge w:val="restart"/>
            <w:shd w:val="clear" w:color="auto" w:fill="E6E6E6"/>
          </w:tcPr>
          <w:p>
            <w:pPr>
              <w:ind w:left="20"/>
              <w:spacing w:after="0" w:line="202" w:lineRule="exact"/>
              <w:rPr>
                <w:sz w:val="20"/>
                <w:szCs w:val="20"/>
                <w:color w:val="auto"/>
              </w:rPr>
            </w:pPr>
            <w:r>
              <w:rPr>
                <w:rFonts w:ascii="Arial" w:cs="Arial" w:eastAsia="Arial" w:hAnsi="Arial"/>
                <w:sz w:val="18"/>
                <w:szCs w:val="18"/>
                <w:color w:val="auto"/>
              </w:rPr>
              <w:t>equipment technologies, including an understanding of</w:t>
            </w:r>
          </w:p>
        </w:tc>
        <w:tc>
          <w:tcPr>
            <w:tcW w:w="720" w:type="dxa"/>
            <w:vAlign w:val="bottom"/>
            <w:tcBorders>
              <w:right w:val="single" w:sz="8" w:color="2D53A6"/>
            </w:tcBorders>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shd w:val="clear" w:color="auto" w:fill="E6E6E6"/>
          </w:tcPr>
          <w:p>
            <w:pPr>
              <w:spacing w:after="0"/>
              <w:rPr>
                <w:sz w:val="11"/>
                <w:szCs w:val="11"/>
                <w:color w:val="auto"/>
              </w:rPr>
            </w:pPr>
          </w:p>
        </w:tc>
        <w:tc>
          <w:tcPr>
            <w:tcW w:w="72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80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580" w:type="dxa"/>
            <w:vAlign w:val="bottom"/>
            <w:tcBorders>
              <w:right w:val="single" w:sz="8" w:color="2D53A6"/>
            </w:tcBorders>
            <w:vMerge w:val="continue"/>
            <w:shd w:val="clear" w:color="auto" w:fill="E6E6E6"/>
          </w:tcPr>
          <w:p>
            <w:pPr>
              <w:spacing w:after="0"/>
              <w:rPr>
                <w:sz w:val="6"/>
                <w:szCs w:val="6"/>
                <w:color w:val="auto"/>
              </w:rPr>
            </w:pPr>
          </w:p>
        </w:tc>
        <w:tc>
          <w:tcPr>
            <w:tcW w:w="72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2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8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our customers’ markets and needs</w:t>
            </w: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Borders>
              <w:right w:val="single" w:sz="8" w:color="2D53A6"/>
            </w:tcBorders>
          </w:tcPr>
          <w:p>
            <w:pPr>
              <w:ind w:left="20"/>
              <w:spacing w:after="0" w:line="191" w:lineRule="exact"/>
              <w:rPr>
                <w:sz w:val="20"/>
                <w:szCs w:val="20"/>
                <w:color w:val="auto"/>
              </w:rPr>
            </w:pPr>
            <w:r>
              <w:rPr>
                <w:rFonts w:ascii="Arial" w:cs="Arial" w:eastAsia="Arial" w:hAnsi="Arial"/>
                <w:sz w:val="18"/>
                <w:szCs w:val="18"/>
                <w:b w:val="1"/>
                <w:bCs w:val="1"/>
                <w:color w:val="auto"/>
                <w:w w:val="99"/>
              </w:rPr>
              <w:t xml:space="preserve">Global Business Experience </w:t>
            </w:r>
            <w:r>
              <w:rPr>
                <w:rFonts w:ascii="Arial" w:cs="Arial" w:eastAsia="Arial" w:hAnsi="Arial"/>
                <w:sz w:val="18"/>
                <w:szCs w:val="18"/>
                <w:color w:val="auto"/>
                <w:w w:val="99"/>
              </w:rPr>
              <w:t>– Experience as a current</w:t>
            </w:r>
          </w:p>
        </w:tc>
        <w:tc>
          <w:tcPr>
            <w:tcW w:w="72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2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00" w:type="dxa"/>
            <w:vAlign w:val="bottom"/>
            <w:tcBorders>
              <w:right w:val="single" w:sz="8" w:color="2D53A6"/>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tcPr>
          <w:p>
            <w:pPr>
              <w:ind w:left="20"/>
              <w:spacing w:after="0" w:line="202" w:lineRule="exact"/>
              <w:rPr>
                <w:sz w:val="20"/>
                <w:szCs w:val="20"/>
                <w:color w:val="auto"/>
              </w:rPr>
            </w:pPr>
            <w:r>
              <w:rPr>
                <w:rFonts w:ascii="Arial" w:cs="Arial" w:eastAsia="Arial" w:hAnsi="Arial"/>
                <w:sz w:val="18"/>
                <w:szCs w:val="18"/>
                <w:color w:val="auto"/>
              </w:rPr>
              <w:t>or former business executive of a business with</w:t>
            </w:r>
          </w:p>
        </w:tc>
        <w:tc>
          <w:tcPr>
            <w:tcW w:w="72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2D53A6"/>
              <w:right w:val="single" w:sz="8" w:color="2D53A6"/>
            </w:tcBorders>
          </w:tcPr>
          <w:p>
            <w:pPr>
              <w:ind w:left="20"/>
              <w:spacing w:after="0"/>
              <w:rPr>
                <w:sz w:val="20"/>
                <w:szCs w:val="20"/>
                <w:color w:val="auto"/>
              </w:rPr>
            </w:pPr>
            <w:r>
              <w:rPr>
                <w:rFonts w:ascii="Arial" w:cs="Arial" w:eastAsia="Arial" w:hAnsi="Arial"/>
                <w:sz w:val="18"/>
                <w:szCs w:val="18"/>
                <w:color w:val="auto"/>
              </w:rPr>
              <w:t>significant global operations and customer base</w:t>
            </w:r>
          </w:p>
        </w:tc>
        <w:tc>
          <w:tcPr>
            <w:tcW w:w="72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2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0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Borders>
              <w:right w:val="single" w:sz="8" w:color="2D53A6"/>
            </w:tcBorders>
            <w:shd w:val="clear" w:color="auto" w:fill="E6E6E6"/>
          </w:tcPr>
          <w:p>
            <w:pPr>
              <w:ind w:left="20"/>
              <w:spacing w:after="0" w:line="191" w:lineRule="exact"/>
              <w:rPr>
                <w:sz w:val="20"/>
                <w:szCs w:val="20"/>
                <w:color w:val="auto"/>
              </w:rPr>
            </w:pPr>
            <w:r>
              <w:rPr>
                <w:rFonts w:ascii="Arial" w:cs="Arial" w:eastAsia="Arial" w:hAnsi="Arial"/>
                <w:sz w:val="18"/>
                <w:szCs w:val="18"/>
                <w:b w:val="1"/>
                <w:bCs w:val="1"/>
                <w:color w:val="auto"/>
              </w:rPr>
              <w:t xml:space="preserve">Finance and Accounting </w:t>
            </w:r>
            <w:r>
              <w:rPr>
                <w:rFonts w:ascii="Arial" w:cs="Arial" w:eastAsia="Arial" w:hAnsi="Arial"/>
                <w:sz w:val="18"/>
                <w:szCs w:val="18"/>
                <w:color w:val="auto"/>
              </w:rPr>
              <w:t>– Experience as current or</w:t>
            </w:r>
          </w:p>
        </w:tc>
        <w:tc>
          <w:tcPr>
            <w:tcW w:w="72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2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former public company executive directly responsible for</w:t>
            </w:r>
          </w:p>
        </w:tc>
        <w:tc>
          <w:tcPr>
            <w:tcW w:w="7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580" w:type="dxa"/>
            <w:vAlign w:val="bottom"/>
            <w:tcBorders>
              <w:right w:val="single" w:sz="8" w:color="2D53A6"/>
            </w:tcBorders>
            <w:vMerge w:val="restart"/>
            <w:shd w:val="clear" w:color="auto" w:fill="E6E6E6"/>
          </w:tcPr>
          <w:p>
            <w:pPr>
              <w:ind w:left="20"/>
              <w:spacing w:after="0" w:line="202" w:lineRule="exact"/>
              <w:rPr>
                <w:sz w:val="20"/>
                <w:szCs w:val="20"/>
                <w:color w:val="auto"/>
              </w:rPr>
            </w:pPr>
            <w:r>
              <w:rPr>
                <w:rFonts w:ascii="Arial" w:cs="Arial" w:eastAsia="Arial" w:hAnsi="Arial"/>
                <w:sz w:val="18"/>
                <w:szCs w:val="18"/>
                <w:color w:val="auto"/>
                <w:w w:val="99"/>
              </w:rPr>
              <w:t>accounting operations and financial reporting with a level</w:t>
            </w:r>
          </w:p>
        </w:tc>
        <w:tc>
          <w:tcPr>
            <w:tcW w:w="72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2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80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580" w:type="dxa"/>
            <w:vAlign w:val="bottom"/>
            <w:tcBorders>
              <w:right w:val="single" w:sz="8" w:color="2D53A6"/>
            </w:tcBorders>
            <w:vMerge w:val="continue"/>
            <w:shd w:val="clear" w:color="auto" w:fill="E6E6E6"/>
          </w:tcPr>
          <w:p>
            <w:pPr>
              <w:spacing w:after="0"/>
              <w:rPr>
                <w:sz w:val="6"/>
                <w:szCs w:val="6"/>
                <w:color w:val="auto"/>
              </w:rPr>
            </w:pPr>
          </w:p>
        </w:tc>
        <w:tc>
          <w:tcPr>
            <w:tcW w:w="72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2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8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of complexity comparable to the Company</w:t>
            </w: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Borders>
              <w:right w:val="single" w:sz="8" w:color="2D53A6"/>
            </w:tcBorders>
          </w:tcPr>
          <w:p>
            <w:pPr>
              <w:ind w:left="20"/>
              <w:spacing w:after="0" w:line="191" w:lineRule="exact"/>
              <w:rPr>
                <w:sz w:val="20"/>
                <w:szCs w:val="20"/>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 Experience as a current or former senior</w:t>
            </w:r>
          </w:p>
        </w:tc>
        <w:tc>
          <w:tcPr>
            <w:tcW w:w="72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2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00" w:type="dxa"/>
            <w:vAlign w:val="bottom"/>
            <w:tcBorders>
              <w:right w:val="single" w:sz="8" w:color="2D53A6"/>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tcPr>
          <w:p>
            <w:pPr>
              <w:ind w:left="20"/>
              <w:spacing w:after="0" w:line="202" w:lineRule="exact"/>
              <w:rPr>
                <w:sz w:val="20"/>
                <w:szCs w:val="20"/>
                <w:color w:val="auto"/>
              </w:rPr>
            </w:pPr>
            <w:r>
              <w:rPr>
                <w:rFonts w:ascii="Arial" w:cs="Arial" w:eastAsia="Arial" w:hAnsi="Arial"/>
                <w:sz w:val="18"/>
                <w:szCs w:val="18"/>
                <w:color w:val="auto"/>
              </w:rPr>
              <w:t>executive in operational roles, with complex global</w:t>
            </w:r>
          </w:p>
        </w:tc>
        <w:tc>
          <w:tcPr>
            <w:tcW w:w="720" w:type="dxa"/>
            <w:vAlign w:val="bottom"/>
            <w:tcBorders>
              <w:right w:val="single" w:sz="8" w:color="2D53A6"/>
            </w:tcBorders>
          </w:tcPr>
          <w:p>
            <w:pPr>
              <w:spacing w:after="0"/>
              <w:rPr>
                <w:sz w:val="17"/>
                <w:szCs w:val="17"/>
                <w:color w:val="auto"/>
              </w:rPr>
            </w:pP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spacing w:after="0"/>
              <w:rPr>
                <w:sz w:val="17"/>
                <w:szCs w:val="17"/>
                <w:color w:val="auto"/>
              </w:rPr>
            </w:pP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spacing w:after="0"/>
              <w:rPr>
                <w:sz w:val="17"/>
                <w:szCs w:val="17"/>
                <w:color w:val="auto"/>
              </w:rPr>
            </w:pPr>
          </w:p>
        </w:tc>
        <w:tc>
          <w:tcPr>
            <w:tcW w:w="72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2D53A6"/>
              <w:right w:val="single" w:sz="8" w:color="2D53A6"/>
            </w:tcBorders>
          </w:tcPr>
          <w:p>
            <w:pPr>
              <w:ind w:left="20"/>
              <w:spacing w:after="0"/>
              <w:rPr>
                <w:sz w:val="20"/>
                <w:szCs w:val="20"/>
                <w:color w:val="auto"/>
              </w:rPr>
            </w:pPr>
            <w:r>
              <w:rPr>
                <w:rFonts w:ascii="Arial" w:cs="Arial" w:eastAsia="Arial" w:hAnsi="Arial"/>
                <w:sz w:val="18"/>
                <w:szCs w:val="18"/>
                <w:color w:val="auto"/>
              </w:rPr>
              <w:t>operations and supply chain</w:t>
            </w:r>
          </w:p>
        </w:tc>
        <w:tc>
          <w:tcPr>
            <w:tcW w:w="72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2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0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Borders>
              <w:right w:val="single" w:sz="8" w:color="2D53A6"/>
            </w:tcBorders>
            <w:shd w:val="clear" w:color="auto" w:fill="E6E6E6"/>
          </w:tcPr>
          <w:p>
            <w:pPr>
              <w:ind w:left="20"/>
              <w:spacing w:after="0" w:line="191" w:lineRule="exact"/>
              <w:rPr>
                <w:sz w:val="20"/>
                <w:szCs w:val="20"/>
                <w:color w:val="auto"/>
              </w:rPr>
            </w:pPr>
            <w:r>
              <w:rPr>
                <w:rFonts w:ascii="Arial" w:cs="Arial" w:eastAsia="Arial" w:hAnsi="Arial"/>
                <w:sz w:val="18"/>
                <w:szCs w:val="18"/>
                <w:b w:val="1"/>
                <w:bCs w:val="1"/>
                <w:color w:val="auto"/>
                <w:w w:val="99"/>
              </w:rPr>
              <w:t xml:space="preserve">Human Capital Management Experience </w:t>
            </w:r>
            <w:r>
              <w:rPr>
                <w:rFonts w:ascii="Arial" w:cs="Arial" w:eastAsia="Arial" w:hAnsi="Arial"/>
                <w:sz w:val="18"/>
                <w:szCs w:val="18"/>
                <w:color w:val="auto"/>
                <w:w w:val="99"/>
              </w:rPr>
              <w:t>– Experience</w:t>
            </w:r>
          </w:p>
        </w:tc>
        <w:tc>
          <w:tcPr>
            <w:tcW w:w="72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2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serving as a member of the compensation committee of</w:t>
            </w: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w w:val="99"/>
              </w:rPr>
              <w:t>a public company, head of human resources, or as direct</w:t>
            </w: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manager of the head of human resources, or other</w:t>
            </w:r>
          </w:p>
        </w:tc>
        <w:tc>
          <w:tcPr>
            <w:tcW w:w="7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4580" w:type="dxa"/>
            <w:vAlign w:val="bottom"/>
            <w:tcBorders>
              <w:right w:val="single" w:sz="8" w:color="2D53A6"/>
            </w:tcBorders>
            <w:vMerge w:val="restart"/>
            <w:shd w:val="clear" w:color="auto" w:fill="E6E6E6"/>
          </w:tcPr>
          <w:p>
            <w:pPr>
              <w:ind w:left="20"/>
              <w:spacing w:after="0" w:line="202" w:lineRule="exact"/>
              <w:rPr>
                <w:sz w:val="20"/>
                <w:szCs w:val="20"/>
                <w:color w:val="auto"/>
              </w:rPr>
            </w:pPr>
            <w:r>
              <w:rPr>
                <w:rFonts w:ascii="Arial" w:cs="Arial" w:eastAsia="Arial" w:hAnsi="Arial"/>
                <w:sz w:val="18"/>
                <w:szCs w:val="18"/>
                <w:color w:val="auto"/>
              </w:rPr>
              <w:t>experience in setting HCM policies in large</w:t>
            </w:r>
          </w:p>
        </w:tc>
        <w:tc>
          <w:tcPr>
            <w:tcW w:w="72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2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80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580" w:type="dxa"/>
            <w:vAlign w:val="bottom"/>
            <w:tcBorders>
              <w:right w:val="single" w:sz="8" w:color="2D53A6"/>
            </w:tcBorders>
            <w:vMerge w:val="continue"/>
            <w:shd w:val="clear" w:color="auto" w:fill="E6E6E6"/>
          </w:tcPr>
          <w:p>
            <w:pPr>
              <w:spacing w:after="0"/>
              <w:rPr>
                <w:sz w:val="6"/>
                <w:szCs w:val="6"/>
                <w:color w:val="auto"/>
              </w:rPr>
            </w:pPr>
          </w:p>
        </w:tc>
        <w:tc>
          <w:tcPr>
            <w:tcW w:w="72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2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8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organizations, including recruiting, retention,</w:t>
            </w: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compensation, organizational planning and leadership</w:t>
            </w: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development</w:t>
            </w: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Borders>
              <w:right w:val="single" w:sz="8" w:color="2D53A6"/>
            </w:tcBorders>
          </w:tcPr>
          <w:p>
            <w:pPr>
              <w:ind w:left="20"/>
              <w:spacing w:after="0" w:line="191" w:lineRule="exact"/>
              <w:rPr>
                <w:sz w:val="20"/>
                <w:szCs w:val="20"/>
                <w:color w:val="auto"/>
              </w:rPr>
            </w:pPr>
            <w:r>
              <w:rPr>
                <w:rFonts w:ascii="Arial" w:cs="Arial" w:eastAsia="Arial" w:hAnsi="Arial"/>
                <w:sz w:val="18"/>
                <w:szCs w:val="18"/>
                <w:b w:val="1"/>
                <w:bCs w:val="1"/>
                <w:color w:val="auto"/>
              </w:rPr>
              <w:t>Mergers and Acquisitions (</w:t>
            </w:r>
            <w:r>
              <w:rPr>
                <w:rFonts w:ascii="Arial" w:cs="Arial" w:eastAsia="Arial" w:hAnsi="Arial"/>
                <w:sz w:val="18"/>
                <w:szCs w:val="18"/>
                <w:color w:val="auto"/>
              </w:rPr>
              <w:t>“</w:t>
            </w:r>
            <w:r>
              <w:rPr>
                <w:rFonts w:ascii="Arial" w:cs="Arial" w:eastAsia="Arial" w:hAnsi="Arial"/>
                <w:sz w:val="18"/>
                <w:szCs w:val="18"/>
                <w:b w:val="1"/>
                <w:bCs w:val="1"/>
                <w:color w:val="auto"/>
              </w:rPr>
              <w:t>M&amp;A</w:t>
            </w:r>
            <w:r>
              <w:rPr>
                <w:rFonts w:ascii="Arial" w:cs="Arial" w:eastAsia="Arial" w:hAnsi="Arial"/>
                <w:sz w:val="18"/>
                <w:szCs w:val="18"/>
                <w:color w:val="auto"/>
              </w:rPr>
              <w:t>”</w:t>
            </w:r>
            <w:r>
              <w:rPr>
                <w:rFonts w:ascii="Arial" w:cs="Arial" w:eastAsia="Arial" w:hAnsi="Arial"/>
                <w:sz w:val="18"/>
                <w:szCs w:val="18"/>
                <w:b w:val="1"/>
                <w:bCs w:val="1"/>
                <w:color w:val="auto"/>
              </w:rPr>
              <w:t xml:space="preserve">) Experience </w:t>
            </w:r>
            <w:r>
              <w:rPr>
                <w:rFonts w:ascii="Arial" w:cs="Arial" w:eastAsia="Arial" w:hAnsi="Arial"/>
                <w:sz w:val="18"/>
                <w:szCs w:val="18"/>
                <w:color w:val="auto"/>
              </w:rPr>
              <w:t>– M&amp;A</w:t>
            </w:r>
          </w:p>
        </w:tc>
        <w:tc>
          <w:tcPr>
            <w:tcW w:w="72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20" w:type="dxa"/>
            <w:vAlign w:val="bottom"/>
            <w:tcBorders>
              <w:right w:val="single" w:sz="8" w:color="2D53A6"/>
            </w:tcBorders>
          </w:tcPr>
          <w:p>
            <w:pPr>
              <w:spacing w:after="0"/>
              <w:rPr>
                <w:sz w:val="16"/>
                <w:szCs w:val="16"/>
                <w:color w:val="auto"/>
              </w:rPr>
            </w:pPr>
          </w:p>
        </w:tc>
        <w:tc>
          <w:tcPr>
            <w:tcW w:w="740" w:type="dxa"/>
            <w:vAlign w:val="bottom"/>
            <w:tcBorders>
              <w:right w:val="single" w:sz="8" w:color="2D53A6"/>
            </w:tcBorders>
          </w:tcPr>
          <w:p>
            <w:pPr>
              <w:spacing w:after="0"/>
              <w:rPr>
                <w:sz w:val="16"/>
                <w:szCs w:val="16"/>
                <w:color w:val="auto"/>
              </w:rPr>
            </w:pPr>
          </w:p>
        </w:tc>
        <w:tc>
          <w:tcPr>
            <w:tcW w:w="700" w:type="dxa"/>
            <w:vAlign w:val="bottom"/>
            <w:tcBorders>
              <w:right w:val="single" w:sz="8" w:color="2D53A6"/>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tcPr>
          <w:p>
            <w:pPr>
              <w:ind w:left="20"/>
              <w:spacing w:after="0" w:line="202" w:lineRule="exact"/>
              <w:rPr>
                <w:sz w:val="20"/>
                <w:szCs w:val="20"/>
                <w:color w:val="auto"/>
              </w:rPr>
            </w:pPr>
            <w:r>
              <w:rPr>
                <w:rFonts w:ascii="Arial" w:cs="Arial" w:eastAsia="Arial" w:hAnsi="Arial"/>
                <w:sz w:val="18"/>
                <w:szCs w:val="18"/>
                <w:color w:val="auto"/>
              </w:rPr>
              <w:t>and integration experience (including buy- and sell-side)</w:t>
            </w:r>
          </w:p>
        </w:tc>
        <w:tc>
          <w:tcPr>
            <w:tcW w:w="72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2D53A6"/>
              <w:right w:val="single" w:sz="8" w:color="2D53A6"/>
            </w:tcBorders>
          </w:tcPr>
          <w:p>
            <w:pPr>
              <w:ind w:left="20"/>
              <w:spacing w:after="0"/>
              <w:rPr>
                <w:sz w:val="20"/>
                <w:szCs w:val="20"/>
                <w:color w:val="auto"/>
              </w:rPr>
            </w:pPr>
            <w:r>
              <w:rPr>
                <w:rFonts w:ascii="Arial" w:cs="Arial" w:eastAsia="Arial" w:hAnsi="Arial"/>
                <w:sz w:val="18"/>
                <w:szCs w:val="18"/>
                <w:color w:val="auto"/>
              </w:rPr>
              <w:t>as a public company officer</w:t>
            </w:r>
          </w:p>
        </w:tc>
        <w:tc>
          <w:tcPr>
            <w:tcW w:w="72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20" w:type="dxa"/>
            <w:vAlign w:val="bottom"/>
            <w:tcBorders>
              <w:bottom w:val="single" w:sz="8" w:color="2D53A6"/>
              <w:right w:val="single" w:sz="8" w:color="2D53A6"/>
            </w:tcBorders>
          </w:tcPr>
          <w:p>
            <w:pPr>
              <w:spacing w:after="0"/>
              <w:rPr>
                <w:sz w:val="20"/>
                <w:szCs w:val="20"/>
                <w:color w:val="auto"/>
              </w:rPr>
            </w:pPr>
          </w:p>
        </w:tc>
        <w:tc>
          <w:tcPr>
            <w:tcW w:w="740" w:type="dxa"/>
            <w:vAlign w:val="bottom"/>
            <w:tcBorders>
              <w:bottom w:val="single" w:sz="8" w:color="2D53A6"/>
              <w:right w:val="single" w:sz="8" w:color="2D53A6"/>
            </w:tcBorders>
          </w:tcPr>
          <w:p>
            <w:pPr>
              <w:spacing w:after="0"/>
              <w:rPr>
                <w:sz w:val="20"/>
                <w:szCs w:val="20"/>
                <w:color w:val="auto"/>
              </w:rPr>
            </w:pPr>
          </w:p>
        </w:tc>
        <w:tc>
          <w:tcPr>
            <w:tcW w:w="70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Borders>
              <w:right w:val="single" w:sz="8" w:color="2D53A6"/>
            </w:tcBorders>
            <w:shd w:val="clear" w:color="auto" w:fill="E6E6E6"/>
          </w:tcPr>
          <w:p>
            <w:pPr>
              <w:ind w:left="20"/>
              <w:spacing w:after="0" w:line="191" w:lineRule="exact"/>
              <w:rPr>
                <w:sz w:val="20"/>
                <w:szCs w:val="20"/>
                <w:color w:val="auto"/>
              </w:rPr>
            </w:pPr>
            <w:r>
              <w:rPr>
                <w:rFonts w:ascii="Arial" w:cs="Arial" w:eastAsia="Arial" w:hAnsi="Arial"/>
                <w:sz w:val="18"/>
                <w:szCs w:val="18"/>
                <w:b w:val="1"/>
                <w:bCs w:val="1"/>
                <w:color w:val="auto"/>
              </w:rPr>
              <w:t xml:space="preserve">Risk Management Experience </w:t>
            </w:r>
            <w:r>
              <w:rPr>
                <w:rFonts w:ascii="Arial" w:cs="Arial" w:eastAsia="Arial" w:hAnsi="Arial"/>
                <w:sz w:val="18"/>
                <w:szCs w:val="18"/>
                <w:color w:val="auto"/>
              </w:rPr>
              <w:t>– Experience serving as</w:t>
            </w:r>
          </w:p>
        </w:tc>
        <w:tc>
          <w:tcPr>
            <w:tcW w:w="72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20" w:type="dxa"/>
            <w:vAlign w:val="bottom"/>
            <w:tcBorders>
              <w:right w:val="single" w:sz="8" w:color="2D53A6"/>
            </w:tcBorders>
            <w:shd w:val="clear" w:color="auto" w:fill="E6E6E6"/>
          </w:tcPr>
          <w:p>
            <w:pPr>
              <w:spacing w:after="0"/>
              <w:rPr>
                <w:sz w:val="16"/>
                <w:szCs w:val="16"/>
                <w:color w:val="auto"/>
              </w:rPr>
            </w:pPr>
          </w:p>
        </w:tc>
        <w:tc>
          <w:tcPr>
            <w:tcW w:w="740" w:type="dxa"/>
            <w:vAlign w:val="bottom"/>
            <w:tcBorders>
              <w:right w:val="single" w:sz="8" w:color="2D53A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a member of the audit committee of a public company,</w:t>
            </w: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or directly overseeing enterprise risk management or</w:t>
            </w:r>
          </w:p>
        </w:tc>
        <w:tc>
          <w:tcPr>
            <w:tcW w:w="7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4580" w:type="dxa"/>
            <w:vAlign w:val="bottom"/>
            <w:tcBorders>
              <w:right w:val="single" w:sz="8" w:color="2D53A6"/>
            </w:tcBorders>
            <w:vMerge w:val="restart"/>
            <w:shd w:val="clear" w:color="auto" w:fill="E6E6E6"/>
          </w:tcPr>
          <w:p>
            <w:pPr>
              <w:ind w:left="20"/>
              <w:spacing w:after="0" w:line="202" w:lineRule="exact"/>
              <w:rPr>
                <w:sz w:val="20"/>
                <w:szCs w:val="20"/>
                <w:color w:val="auto"/>
              </w:rPr>
            </w:pPr>
            <w:r>
              <w:rPr>
                <w:rFonts w:ascii="Arial" w:cs="Arial" w:eastAsia="Arial" w:hAnsi="Arial"/>
                <w:sz w:val="18"/>
                <w:szCs w:val="18"/>
                <w:color w:val="auto"/>
              </w:rPr>
              <w:t>business continuity planning in a large organization, or</w:t>
            </w:r>
          </w:p>
        </w:tc>
        <w:tc>
          <w:tcPr>
            <w:tcW w:w="72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2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80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580" w:type="dxa"/>
            <w:vAlign w:val="bottom"/>
            <w:tcBorders>
              <w:right w:val="single" w:sz="8" w:color="2D53A6"/>
            </w:tcBorders>
            <w:vMerge w:val="continue"/>
            <w:shd w:val="clear" w:color="auto" w:fill="E6E6E6"/>
          </w:tcPr>
          <w:p>
            <w:pPr>
              <w:spacing w:after="0"/>
              <w:rPr>
                <w:sz w:val="6"/>
                <w:szCs w:val="6"/>
                <w:color w:val="auto"/>
              </w:rPr>
            </w:pPr>
          </w:p>
        </w:tc>
        <w:tc>
          <w:tcPr>
            <w:tcW w:w="72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2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8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580" w:type="dxa"/>
            <w:vAlign w:val="bottom"/>
            <w:tcBorders>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other experience in managing risk at the enterprise level</w:t>
            </w: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2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or in a senior compliance or regulatory role</w:t>
            </w: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740" w:type="dxa"/>
            <w:vAlign w:val="bottom"/>
            <w:tcBorders>
              <w:bottom w:val="single" w:sz="8" w:color="2D53A6"/>
              <w:right w:val="single" w:sz="8" w:color="2D53A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580" w:type="dxa"/>
            <w:vAlign w:val="bottom"/>
            <w:tcBorders>
              <w:right w:val="single" w:sz="8" w:color="2D53A6"/>
            </w:tcBorders>
            <w:shd w:val="clear" w:color="auto" w:fill="2D53A6"/>
          </w:tcPr>
          <w:p>
            <w:pPr>
              <w:ind w:left="20"/>
              <w:spacing w:after="0"/>
              <w:rPr>
                <w:sz w:val="20"/>
                <w:szCs w:val="20"/>
                <w:color w:val="auto"/>
              </w:rPr>
            </w:pPr>
            <w:r>
              <w:rPr>
                <w:rFonts w:ascii="Arial" w:cs="Arial" w:eastAsia="Arial" w:hAnsi="Arial"/>
                <w:sz w:val="18"/>
                <w:szCs w:val="18"/>
                <w:b w:val="1"/>
                <w:bCs w:val="1"/>
                <w:color w:val="FFFFFF"/>
              </w:rPr>
              <w:t>Additional Qualifications and Information</w:t>
            </w:r>
          </w:p>
        </w:tc>
        <w:tc>
          <w:tcPr>
            <w:tcW w:w="720" w:type="dxa"/>
            <w:vAlign w:val="bottom"/>
            <w:tcBorders>
              <w:right w:val="single" w:sz="8" w:color="2D53A6"/>
            </w:tcBorders>
            <w:shd w:val="clear" w:color="auto" w:fill="2D53A6"/>
          </w:tcPr>
          <w:p>
            <w:pPr>
              <w:spacing w:after="0"/>
              <w:rPr>
                <w:sz w:val="22"/>
                <w:szCs w:val="22"/>
                <w:color w:val="auto"/>
              </w:rPr>
            </w:pPr>
          </w:p>
        </w:tc>
        <w:tc>
          <w:tcPr>
            <w:tcW w:w="740" w:type="dxa"/>
            <w:vAlign w:val="bottom"/>
            <w:tcBorders>
              <w:right w:val="single" w:sz="8" w:color="2D53A6"/>
            </w:tcBorders>
            <w:shd w:val="clear" w:color="auto" w:fill="2D53A6"/>
          </w:tcPr>
          <w:p>
            <w:pPr>
              <w:spacing w:after="0"/>
              <w:rPr>
                <w:sz w:val="22"/>
                <w:szCs w:val="22"/>
                <w:color w:val="auto"/>
              </w:rPr>
            </w:pPr>
          </w:p>
        </w:tc>
        <w:tc>
          <w:tcPr>
            <w:tcW w:w="760" w:type="dxa"/>
            <w:vAlign w:val="bottom"/>
            <w:tcBorders>
              <w:right w:val="single" w:sz="8" w:color="2D53A6"/>
            </w:tcBorders>
            <w:shd w:val="clear" w:color="auto" w:fill="2D53A6"/>
          </w:tcPr>
          <w:p>
            <w:pPr>
              <w:spacing w:after="0"/>
              <w:rPr>
                <w:sz w:val="22"/>
                <w:szCs w:val="22"/>
                <w:color w:val="auto"/>
              </w:rPr>
            </w:pPr>
          </w:p>
        </w:tc>
        <w:tc>
          <w:tcPr>
            <w:tcW w:w="740" w:type="dxa"/>
            <w:vAlign w:val="bottom"/>
            <w:tcBorders>
              <w:right w:val="single" w:sz="8" w:color="2D53A6"/>
            </w:tcBorders>
            <w:shd w:val="clear" w:color="auto" w:fill="2D53A6"/>
          </w:tcPr>
          <w:p>
            <w:pPr>
              <w:spacing w:after="0"/>
              <w:rPr>
                <w:sz w:val="22"/>
                <w:szCs w:val="22"/>
                <w:color w:val="auto"/>
              </w:rPr>
            </w:pPr>
          </w:p>
        </w:tc>
        <w:tc>
          <w:tcPr>
            <w:tcW w:w="740" w:type="dxa"/>
            <w:vAlign w:val="bottom"/>
            <w:tcBorders>
              <w:right w:val="single" w:sz="8" w:color="2D53A6"/>
            </w:tcBorders>
            <w:shd w:val="clear" w:color="auto" w:fill="2D53A6"/>
          </w:tcPr>
          <w:p>
            <w:pPr>
              <w:spacing w:after="0"/>
              <w:rPr>
                <w:sz w:val="22"/>
                <w:szCs w:val="22"/>
                <w:color w:val="auto"/>
              </w:rPr>
            </w:pPr>
          </w:p>
        </w:tc>
        <w:tc>
          <w:tcPr>
            <w:tcW w:w="720" w:type="dxa"/>
            <w:vAlign w:val="bottom"/>
            <w:tcBorders>
              <w:right w:val="single" w:sz="8" w:color="2D53A6"/>
            </w:tcBorders>
            <w:shd w:val="clear" w:color="auto" w:fill="2D53A6"/>
          </w:tcPr>
          <w:p>
            <w:pPr>
              <w:spacing w:after="0"/>
              <w:rPr>
                <w:sz w:val="22"/>
                <w:szCs w:val="22"/>
                <w:color w:val="auto"/>
              </w:rPr>
            </w:pPr>
          </w:p>
        </w:tc>
        <w:tc>
          <w:tcPr>
            <w:tcW w:w="740" w:type="dxa"/>
            <w:vAlign w:val="bottom"/>
            <w:tcBorders>
              <w:right w:val="single" w:sz="8" w:color="2D53A6"/>
            </w:tcBorders>
            <w:shd w:val="clear" w:color="auto" w:fill="2D53A6"/>
          </w:tcPr>
          <w:p>
            <w:pPr>
              <w:spacing w:after="0"/>
              <w:rPr>
                <w:sz w:val="22"/>
                <w:szCs w:val="22"/>
                <w:color w:val="auto"/>
              </w:rPr>
            </w:pPr>
          </w:p>
        </w:tc>
        <w:tc>
          <w:tcPr>
            <w:tcW w:w="700" w:type="dxa"/>
            <w:vAlign w:val="bottom"/>
            <w:tcBorders>
              <w:right w:val="single" w:sz="8" w:color="2D53A6"/>
            </w:tcBorders>
            <w:shd w:val="clear" w:color="auto" w:fill="2D53A6"/>
          </w:tcPr>
          <w:p>
            <w:pPr>
              <w:spacing w:after="0"/>
              <w:rPr>
                <w:sz w:val="22"/>
                <w:szCs w:val="22"/>
                <w:color w:val="auto"/>
              </w:rPr>
            </w:pPr>
          </w:p>
        </w:tc>
        <w:tc>
          <w:tcPr>
            <w:tcW w:w="800" w:type="dxa"/>
            <w:vAlign w:val="bottom"/>
            <w:shd w:val="clear" w:color="auto" w:fill="2D53A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2D53A6"/>
              <w:right w:val="single" w:sz="8" w:color="2D53A6"/>
            </w:tcBorders>
          </w:tcPr>
          <w:p>
            <w:pPr>
              <w:ind w:left="20"/>
              <w:spacing w:after="0"/>
              <w:rPr>
                <w:sz w:val="20"/>
                <w:szCs w:val="20"/>
                <w:color w:val="auto"/>
              </w:rPr>
            </w:pPr>
            <w:r>
              <w:rPr>
                <w:rFonts w:ascii="Arial" w:cs="Arial" w:eastAsia="Arial" w:hAnsi="Arial"/>
                <w:sz w:val="18"/>
                <w:szCs w:val="18"/>
                <w:b w:val="1"/>
                <w:bCs w:val="1"/>
                <w:color w:val="auto"/>
              </w:rPr>
              <w:t>Tenure on Cohu Board (years)</w:t>
            </w:r>
            <w:r>
              <w:rPr>
                <w:rFonts w:ascii="Arial" w:cs="Arial" w:eastAsia="Arial" w:hAnsi="Arial"/>
                <w:sz w:val="14"/>
                <w:szCs w:val="14"/>
                <w:b w:val="1"/>
                <w:bCs w:val="1"/>
                <w:color w:val="auto"/>
              </w:rPr>
              <w:t>(1)</w:t>
            </w:r>
          </w:p>
        </w:tc>
        <w:tc>
          <w:tcPr>
            <w:tcW w:w="7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15</w:t>
            </w:r>
          </w:p>
        </w:tc>
        <w:tc>
          <w:tcPr>
            <w:tcW w:w="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17</w:t>
            </w:r>
          </w:p>
        </w:tc>
        <w:tc>
          <w:tcPr>
            <w:tcW w:w="7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12</w:t>
            </w:r>
          </w:p>
        </w:tc>
        <w:tc>
          <w:tcPr>
            <w:tcW w:w="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27</w:t>
            </w:r>
          </w:p>
        </w:tc>
        <w:tc>
          <w:tcPr>
            <w:tcW w:w="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5</w:t>
            </w:r>
          </w:p>
        </w:tc>
        <w:tc>
          <w:tcPr>
            <w:tcW w:w="7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4</w:t>
            </w:r>
          </w:p>
        </w:tc>
        <w:tc>
          <w:tcPr>
            <w:tcW w:w="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12</w:t>
            </w:r>
          </w:p>
        </w:tc>
        <w:tc>
          <w:tcPr>
            <w:tcW w:w="7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2</w:t>
            </w:r>
          </w:p>
        </w:tc>
        <w:tc>
          <w:tcPr>
            <w:tcW w:w="80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b w:val="1"/>
                <w:bCs w:val="1"/>
                <w:color w:val="auto"/>
              </w:rPr>
              <w:t>Other Current Public Company Boards</w:t>
            </w:r>
            <w:r>
              <w:rPr>
                <w:rFonts w:ascii="Arial" w:cs="Arial" w:eastAsia="Arial" w:hAnsi="Arial"/>
                <w:sz w:val="14"/>
                <w:szCs w:val="14"/>
                <w:b w:val="1"/>
                <w:bCs w:val="1"/>
                <w:color w:val="auto"/>
              </w:rPr>
              <w:t>(2)</w:t>
            </w:r>
          </w:p>
        </w:tc>
        <w:tc>
          <w:tcPr>
            <w:tcW w:w="72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1</w:t>
            </w:r>
          </w:p>
        </w:tc>
        <w:tc>
          <w:tcPr>
            <w:tcW w:w="7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1</w:t>
            </w:r>
          </w:p>
        </w:tc>
        <w:tc>
          <w:tcPr>
            <w:tcW w:w="7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2</w:t>
            </w:r>
          </w:p>
        </w:tc>
        <w:tc>
          <w:tcPr>
            <w:tcW w:w="80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Measured as of 2026 annual meeting.</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April [*],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Corporate Governance Highlights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0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20"/>
                <w:szCs w:val="20"/>
                <w:b w:val="1"/>
                <w:bCs w:val="1"/>
                <w:color w:val="FFFFFF"/>
              </w:rPr>
              <w:t>Board and Other Governance Information</w:t>
            </w:r>
          </w:p>
        </w:tc>
        <w:tc>
          <w:tcPr>
            <w:tcW w:w="134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As of April [*],</w:t>
            </w:r>
          </w:p>
        </w:tc>
        <w:tc>
          <w:tcPr>
            <w:tcW w:w="0" w:type="dxa"/>
            <w:vAlign w:val="bottom"/>
          </w:tcPr>
          <w:p>
            <w:pPr>
              <w:spacing w:after="0"/>
              <w:rPr>
                <w:sz w:val="1"/>
                <w:szCs w:val="1"/>
                <w:color w:val="auto"/>
              </w:rPr>
            </w:pPr>
          </w:p>
        </w:tc>
      </w:tr>
      <w:tr>
        <w:trPr>
          <w:trHeight w:val="160"/>
        </w:trPr>
        <w:tc>
          <w:tcPr>
            <w:tcW w:w="9900" w:type="dxa"/>
            <w:vAlign w:val="bottom"/>
            <w:tcBorders>
              <w:right w:val="single" w:sz="8" w:color="2D53A6"/>
            </w:tcBorders>
            <w:vMerge w:val="continue"/>
            <w:shd w:val="clear" w:color="auto" w:fill="2D53A6"/>
          </w:tcPr>
          <w:p>
            <w:pPr>
              <w:spacing w:after="0"/>
              <w:rPr>
                <w:sz w:val="13"/>
                <w:szCs w:val="13"/>
                <w:color w:val="auto"/>
              </w:rPr>
            </w:pPr>
          </w:p>
        </w:tc>
        <w:tc>
          <w:tcPr>
            <w:tcW w:w="134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2026</w:t>
            </w:r>
          </w:p>
        </w:tc>
        <w:tc>
          <w:tcPr>
            <w:tcW w:w="0" w:type="dxa"/>
            <w:vAlign w:val="bottom"/>
          </w:tcPr>
          <w:p>
            <w:pPr>
              <w:spacing w:after="0"/>
              <w:rPr>
                <w:sz w:val="1"/>
                <w:szCs w:val="1"/>
                <w:color w:val="auto"/>
              </w:rPr>
            </w:pPr>
          </w:p>
        </w:tc>
      </w:tr>
      <w:tr>
        <w:trPr>
          <w:trHeight w:val="95"/>
        </w:trPr>
        <w:tc>
          <w:tcPr>
            <w:tcW w:w="9900" w:type="dxa"/>
            <w:vAlign w:val="bottom"/>
            <w:tcBorders>
              <w:bottom w:val="single" w:sz="8" w:color="2D53A6"/>
              <w:right w:val="single" w:sz="8" w:color="2D53A6"/>
            </w:tcBorders>
            <w:shd w:val="clear" w:color="auto" w:fill="2D53A6"/>
          </w:tcPr>
          <w:p>
            <w:pPr>
              <w:spacing w:after="0"/>
              <w:rPr>
                <w:sz w:val="8"/>
                <w:szCs w:val="8"/>
                <w:color w:val="auto"/>
              </w:rPr>
            </w:pPr>
          </w:p>
        </w:tc>
        <w:tc>
          <w:tcPr>
            <w:tcW w:w="1340" w:type="dxa"/>
            <w:vAlign w:val="bottom"/>
            <w:tcBorders>
              <w:bottom w:val="single" w:sz="8" w:color="2D53A6"/>
            </w:tcBorders>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990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Size of Board</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
        </w:trPr>
        <w:tc>
          <w:tcPr>
            <w:tcW w:w="9900" w:type="dxa"/>
            <w:vAlign w:val="bottom"/>
            <w:tcBorders>
              <w:bottom w:val="single" w:sz="8" w:color="2D53A6"/>
              <w:right w:val="single" w:sz="8" w:color="2D53A6"/>
            </w:tcBorders>
          </w:tcPr>
          <w:p>
            <w:pPr>
              <w:spacing w:after="0"/>
              <w:rPr>
                <w:sz w:val="2"/>
                <w:szCs w:val="2"/>
                <w:color w:val="auto"/>
              </w:rPr>
            </w:pPr>
          </w:p>
        </w:tc>
        <w:tc>
          <w:tcPr>
            <w:tcW w:w="13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9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Number of Independent Directors</w:t>
            </w:r>
          </w:p>
        </w:tc>
        <w:tc>
          <w:tcPr>
            <w:tcW w:w="1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54"/>
        </w:trPr>
        <w:tc>
          <w:tcPr>
            <w:tcW w:w="99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Number of Directors Who Attended ≥ 75% of Meetings</w:t>
            </w:r>
          </w:p>
        </w:tc>
        <w:tc>
          <w:tcPr>
            <w:tcW w:w="13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
        </w:trPr>
        <w:tc>
          <w:tcPr>
            <w:tcW w:w="9900" w:type="dxa"/>
            <w:vAlign w:val="bottom"/>
            <w:tcBorders>
              <w:bottom w:val="single" w:sz="8" w:color="2D53A6"/>
              <w:right w:val="single" w:sz="8" w:color="2D53A6"/>
            </w:tcBorders>
          </w:tcPr>
          <w:p>
            <w:pPr>
              <w:spacing w:after="0"/>
              <w:rPr>
                <w:sz w:val="2"/>
                <w:szCs w:val="2"/>
                <w:color w:val="auto"/>
              </w:rPr>
            </w:pPr>
          </w:p>
        </w:tc>
        <w:tc>
          <w:tcPr>
            <w:tcW w:w="13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9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Limitations on Other Public Board and Committee Memberships</w:t>
            </w:r>
          </w:p>
        </w:tc>
        <w:tc>
          <w:tcPr>
            <w:tcW w:w="1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54"/>
        </w:trPr>
        <w:tc>
          <w:tcPr>
            <w:tcW w:w="99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Hedging and Pledging Prohibited</w:t>
            </w:r>
          </w:p>
        </w:tc>
        <w:tc>
          <w:tcPr>
            <w:tcW w:w="13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
        </w:trPr>
        <w:tc>
          <w:tcPr>
            <w:tcW w:w="9900" w:type="dxa"/>
            <w:vAlign w:val="bottom"/>
            <w:tcBorders>
              <w:bottom w:val="single" w:sz="8" w:color="2D53A6"/>
              <w:right w:val="single" w:sz="8" w:color="2D53A6"/>
            </w:tcBorders>
          </w:tcPr>
          <w:p>
            <w:pPr>
              <w:spacing w:after="0"/>
              <w:rPr>
                <w:sz w:val="2"/>
                <w:szCs w:val="2"/>
                <w:color w:val="auto"/>
              </w:rPr>
            </w:pPr>
          </w:p>
        </w:tc>
        <w:tc>
          <w:tcPr>
            <w:tcW w:w="13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9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Voting Standard of Election of Directors</w:t>
            </w:r>
          </w:p>
        </w:tc>
        <w:tc>
          <w:tcPr>
            <w:tcW w:w="1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Majority</w:t>
            </w:r>
          </w:p>
        </w:tc>
        <w:tc>
          <w:tcPr>
            <w:tcW w:w="0" w:type="dxa"/>
            <w:vAlign w:val="bottom"/>
          </w:tcPr>
          <w:p>
            <w:pPr>
              <w:spacing w:after="0"/>
              <w:rPr>
                <w:sz w:val="1"/>
                <w:szCs w:val="1"/>
                <w:color w:val="auto"/>
              </w:rPr>
            </w:pPr>
          </w:p>
        </w:tc>
      </w:tr>
      <w:tr>
        <w:trPr>
          <w:trHeight w:val="254"/>
        </w:trPr>
        <w:tc>
          <w:tcPr>
            <w:tcW w:w="99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Plurality Voting Carveout for Contested Elections</w:t>
            </w:r>
          </w:p>
        </w:tc>
        <w:tc>
          <w:tcPr>
            <w:tcW w:w="13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
        </w:trPr>
        <w:tc>
          <w:tcPr>
            <w:tcW w:w="9900" w:type="dxa"/>
            <w:vAlign w:val="bottom"/>
            <w:tcBorders>
              <w:bottom w:val="single" w:sz="8" w:color="2D53A6"/>
              <w:right w:val="single" w:sz="8" w:color="2D53A6"/>
            </w:tcBorders>
          </w:tcPr>
          <w:p>
            <w:pPr>
              <w:spacing w:after="0"/>
              <w:rPr>
                <w:sz w:val="2"/>
                <w:szCs w:val="2"/>
                <w:color w:val="auto"/>
              </w:rPr>
            </w:pPr>
          </w:p>
        </w:tc>
        <w:tc>
          <w:tcPr>
            <w:tcW w:w="13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9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Separate Chair and CEO</w:t>
            </w:r>
          </w:p>
        </w:tc>
        <w:tc>
          <w:tcPr>
            <w:tcW w:w="1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54"/>
        </w:trPr>
        <w:tc>
          <w:tcPr>
            <w:tcW w:w="99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Lead Independent Director</w:t>
            </w:r>
          </w:p>
        </w:tc>
        <w:tc>
          <w:tcPr>
            <w:tcW w:w="13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
        </w:trPr>
        <w:tc>
          <w:tcPr>
            <w:tcW w:w="9900" w:type="dxa"/>
            <w:vAlign w:val="bottom"/>
            <w:tcBorders>
              <w:bottom w:val="single" w:sz="8" w:color="2D53A6"/>
              <w:right w:val="single" w:sz="8" w:color="2D53A6"/>
            </w:tcBorders>
          </w:tcPr>
          <w:p>
            <w:pPr>
              <w:spacing w:after="0"/>
              <w:rPr>
                <w:sz w:val="2"/>
                <w:szCs w:val="2"/>
                <w:color w:val="auto"/>
              </w:rPr>
            </w:pPr>
          </w:p>
        </w:tc>
        <w:tc>
          <w:tcPr>
            <w:tcW w:w="13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9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Independent Directors Meet Without Management Present</w:t>
            </w:r>
          </w:p>
        </w:tc>
        <w:tc>
          <w:tcPr>
            <w:tcW w:w="1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54"/>
        </w:trPr>
        <w:tc>
          <w:tcPr>
            <w:tcW w:w="99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Annual Board and Committee Self-Evaluations</w:t>
            </w:r>
          </w:p>
        </w:tc>
        <w:tc>
          <w:tcPr>
            <w:tcW w:w="13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
        </w:trPr>
        <w:tc>
          <w:tcPr>
            <w:tcW w:w="9900" w:type="dxa"/>
            <w:vAlign w:val="bottom"/>
            <w:tcBorders>
              <w:bottom w:val="single" w:sz="8" w:color="2D53A6"/>
              <w:right w:val="single" w:sz="8" w:color="2D53A6"/>
            </w:tcBorders>
          </w:tcPr>
          <w:p>
            <w:pPr>
              <w:spacing w:after="0"/>
              <w:rPr>
                <w:sz w:val="2"/>
                <w:szCs w:val="2"/>
                <w:color w:val="auto"/>
              </w:rPr>
            </w:pPr>
          </w:p>
        </w:tc>
        <w:tc>
          <w:tcPr>
            <w:tcW w:w="13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9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Annual Independent Director Evaluation of CEO</w:t>
            </w:r>
          </w:p>
        </w:tc>
        <w:tc>
          <w:tcPr>
            <w:tcW w:w="1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54"/>
        </w:trPr>
        <w:tc>
          <w:tcPr>
            <w:tcW w:w="99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Risk Oversight by Full Board and Committees</w:t>
            </w:r>
          </w:p>
        </w:tc>
        <w:tc>
          <w:tcPr>
            <w:tcW w:w="13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
        </w:trPr>
        <w:tc>
          <w:tcPr>
            <w:tcW w:w="9900" w:type="dxa"/>
            <w:vAlign w:val="bottom"/>
            <w:tcBorders>
              <w:bottom w:val="single" w:sz="8" w:color="2D53A6"/>
              <w:right w:val="single" w:sz="8" w:color="2D53A6"/>
            </w:tcBorders>
          </w:tcPr>
          <w:p>
            <w:pPr>
              <w:spacing w:after="0"/>
              <w:rPr>
                <w:sz w:val="2"/>
                <w:szCs w:val="2"/>
                <w:color w:val="auto"/>
              </w:rPr>
            </w:pPr>
          </w:p>
        </w:tc>
        <w:tc>
          <w:tcPr>
            <w:tcW w:w="13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9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Significant Board Engagement - 26 Board and Committee meetings held in 2025</w:t>
            </w:r>
          </w:p>
        </w:tc>
        <w:tc>
          <w:tcPr>
            <w:tcW w:w="1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54"/>
        </w:trPr>
        <w:tc>
          <w:tcPr>
            <w:tcW w:w="99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Code of Ethics Applicable to Directors</w:t>
            </w:r>
          </w:p>
        </w:tc>
        <w:tc>
          <w:tcPr>
            <w:tcW w:w="13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
        </w:trPr>
        <w:tc>
          <w:tcPr>
            <w:tcW w:w="9900" w:type="dxa"/>
            <w:vAlign w:val="bottom"/>
            <w:tcBorders>
              <w:bottom w:val="single" w:sz="8" w:color="2D53A6"/>
              <w:right w:val="single" w:sz="8" w:color="2D53A6"/>
            </w:tcBorders>
          </w:tcPr>
          <w:p>
            <w:pPr>
              <w:spacing w:after="0"/>
              <w:rPr>
                <w:sz w:val="2"/>
                <w:szCs w:val="2"/>
                <w:color w:val="auto"/>
              </w:rPr>
            </w:pPr>
          </w:p>
        </w:tc>
        <w:tc>
          <w:tcPr>
            <w:tcW w:w="13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9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Stockholder Engagement Program - Conducted 186 investor and prospective investor meetings in 2025</w:t>
            </w:r>
          </w:p>
        </w:tc>
        <w:tc>
          <w:tcPr>
            <w:tcW w:w="1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54"/>
        </w:trPr>
        <w:tc>
          <w:tcPr>
            <w:tcW w:w="99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Poison Pill</w:t>
            </w:r>
          </w:p>
        </w:tc>
        <w:tc>
          <w:tcPr>
            <w:tcW w:w="13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
        </w:trPr>
        <w:tc>
          <w:tcPr>
            <w:tcW w:w="9900" w:type="dxa"/>
            <w:vAlign w:val="bottom"/>
            <w:tcBorders>
              <w:bottom w:val="single" w:sz="8" w:color="2D53A6"/>
              <w:right w:val="single" w:sz="8" w:color="2D53A6"/>
            </w:tcBorders>
          </w:tcPr>
          <w:p>
            <w:pPr>
              <w:spacing w:after="0"/>
              <w:rPr>
                <w:sz w:val="2"/>
                <w:szCs w:val="2"/>
                <w:color w:val="auto"/>
              </w:rPr>
            </w:pPr>
          </w:p>
        </w:tc>
        <w:tc>
          <w:tcPr>
            <w:tcW w:w="13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9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Board Oversight of Sustainability</w:t>
            </w:r>
          </w:p>
        </w:tc>
        <w:tc>
          <w:tcPr>
            <w:tcW w:w="1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54"/>
        </w:trPr>
        <w:tc>
          <w:tcPr>
            <w:tcW w:w="99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Publication of Annual Sustainability Report on Our Website</w:t>
            </w:r>
          </w:p>
        </w:tc>
        <w:tc>
          <w:tcPr>
            <w:tcW w:w="13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
        </w:trPr>
        <w:tc>
          <w:tcPr>
            <w:tcW w:w="9900" w:type="dxa"/>
            <w:vAlign w:val="bottom"/>
            <w:tcBorders>
              <w:bottom w:val="single" w:sz="8" w:color="2D53A6"/>
              <w:right w:val="single" w:sz="8" w:color="2D53A6"/>
            </w:tcBorders>
          </w:tcPr>
          <w:p>
            <w:pPr>
              <w:spacing w:after="0"/>
              <w:rPr>
                <w:sz w:val="2"/>
                <w:szCs w:val="2"/>
                <w:color w:val="auto"/>
              </w:rPr>
            </w:pPr>
          </w:p>
        </w:tc>
        <w:tc>
          <w:tcPr>
            <w:tcW w:w="13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Board Oversight of Cybersecurity Risks</w:t>
            </w:r>
          </w:p>
        </w:tc>
        <w:tc>
          <w:tcPr>
            <w:tcW w:w="1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0"/>
        </w:trPr>
        <w:tc>
          <w:tcPr>
            <w:tcW w:w="9900" w:type="dxa"/>
            <w:vAlign w:val="bottom"/>
            <w:tcBorders>
              <w:right w:val="single" w:sz="8" w:color="2D53A6"/>
            </w:tcBorders>
            <w:shd w:val="clear" w:color="auto" w:fill="2D53A6"/>
          </w:tcPr>
          <w:p>
            <w:pPr>
              <w:spacing w:after="0" w:line="20" w:lineRule="exact"/>
              <w:rPr>
                <w:sz w:val="1"/>
                <w:szCs w:val="1"/>
                <w:color w:val="auto"/>
              </w:rPr>
            </w:pPr>
          </w:p>
        </w:tc>
        <w:tc>
          <w:tcPr>
            <w:tcW w:w="134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Shareholder Outreach</w:t>
      </w:r>
    </w:p>
    <w:p>
      <w:pPr>
        <w:spacing w:after="0" w:line="218"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The Company regularly engages with its shareholders primarily covering topics such as financial performance, strategy, and market assessment. Our shareholder engagements take place in a combination of forms, including investor conferences, dedicated in-person or virtual meetings and phone calls. Cohu management routinely reports to the Board and specific Board committees on the substance and nature of its shareholder discussions.</w:t>
      </w:r>
    </w:p>
    <w:p>
      <w:pPr>
        <w:spacing w:after="0" w:line="16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addition to business outlook discussions, topics such as compensation matters, human capital management, corporate governance and other sustainability matters are addressed during shareholder engagements. Moreover, there are on-going efforts by the Nominating and Governance Committee to consider the appropriate mix of skills, competencies, backgrounds and perspectives on the Board.</w:t>
      </w:r>
    </w:p>
    <w:p>
      <w:pPr>
        <w:spacing w:after="0" w:line="15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2025, 186 one-on-one meetings were held with shareholders and prospective shareholders, including 20 of the Company’s top 25 largest shareholders.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What We Do</w:t>
      </w:r>
    </w:p>
    <w:p>
      <w:pPr>
        <w:spacing w:after="0" w:line="24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 Our executive compensation program is designed to pay for performance with 100% of the annual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(“STI”) program tied to Company financial, strategic and operational performance metrics, and 60% of the Long-Term Incentive (“LTI”) program tied to relative total stockholder return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531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51"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color w:val="auto"/>
        </w:rPr>
        <w:t xml:space="preserve">Balance of Annual and Long-Term Incentives </w:t>
      </w:r>
      <w:r>
        <w:rPr>
          <w:rFonts w:ascii="Arial" w:cs="Arial" w:eastAsia="Arial" w:hAnsi="Arial"/>
          <w:sz w:val="18"/>
          <w:szCs w:val="18"/>
          <w:color w:val="auto"/>
        </w:rPr>
        <w:t>- Our incentive compensation programs provide a balance of annual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incentives.</w:t>
      </w:r>
    </w:p>
    <w:p>
      <w:pPr>
        <w:spacing w:after="0" w:line="35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 xml:space="preserve">Different Performance Metrics for Annual and Long-Term Incentive Programs </w:t>
      </w:r>
      <w:r>
        <w:rPr>
          <w:rFonts w:ascii="Arial" w:cs="Arial" w:eastAsia="Arial" w:hAnsi="Arial"/>
          <w:sz w:val="18"/>
          <w:szCs w:val="18"/>
          <w:color w:val="auto"/>
        </w:rPr>
        <w:t>- Our annual and long-term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use different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53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3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Absolute and Relative Performance Metrics </w:t>
      </w:r>
      <w:r>
        <w:rPr>
          <w:rFonts w:ascii="Arial" w:cs="Arial" w:eastAsia="Arial" w:hAnsi="Arial"/>
          <w:sz w:val="18"/>
          <w:szCs w:val="18"/>
          <w:color w:val="auto"/>
        </w:rPr>
        <w:t>- Our annual and long-term incentive compensation programs for executive officers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the use of absolute and relative performance metrics.</w:t>
      </w:r>
    </w:p>
    <w:p>
      <w:pPr>
        <w:spacing w:after="0" w:line="35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 xml:space="preserve">Three-Year Performance Period for Our Long-Term Incentive Program </w:t>
      </w:r>
      <w:r>
        <w:rPr>
          <w:rFonts w:ascii="Arial" w:cs="Arial" w:eastAsia="Arial" w:hAnsi="Arial"/>
          <w:sz w:val="18"/>
          <w:szCs w:val="18"/>
          <w:color w:val="auto"/>
        </w:rPr>
        <w:t>- Our current long-term incentive compensation program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pay for performance over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531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3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 xml:space="preserve">Compensation Recoupment/Clawback Policy - </w:t>
      </w:r>
      <w:r>
        <w:rPr>
          <w:rFonts w:ascii="Arial" w:cs="Arial" w:eastAsia="Arial" w:hAnsi="Arial"/>
          <w:sz w:val="18"/>
          <w:szCs w:val="18"/>
          <w:color w:val="auto"/>
        </w:rPr>
        <w:t>We have a policy pursuant to which incentive compensation erroneously awarded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is subject to recoupment under certain circumstances if our financial results are restated.</w:t>
      </w:r>
    </w:p>
    <w:p>
      <w:pPr>
        <w:spacing w:after="0" w:line="35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auto"/>
        </w:rPr>
        <w:t xml:space="preserve">Stock Ownership Guidelines - </w:t>
      </w:r>
      <w:r>
        <w:rPr>
          <w:rFonts w:ascii="Arial" w:cs="Arial" w:eastAsia="Arial" w:hAnsi="Arial"/>
          <w:sz w:val="18"/>
          <w:szCs w:val="18"/>
          <w:color w:val="auto"/>
        </w:rPr>
        <w:t>We have stock ownership guidelines for each of our executive officers and each has met their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level under the current program or has a period of time remaining under the guidelines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531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3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Independent Compensation Advisor - </w:t>
      </w:r>
      <w:r>
        <w:rPr>
          <w:rFonts w:ascii="Arial" w:cs="Arial" w:eastAsia="Arial" w:hAnsi="Arial"/>
          <w:sz w:val="18"/>
          <w:szCs w:val="18"/>
          <w:color w:val="auto"/>
        </w:rPr>
        <w:t>The Compensation Committee benefits from its utilization of an independent compensation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retained directly by the committee, that provides no other services to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Say-on-Pay - </w:t>
      </w:r>
      <w:r>
        <w:rPr>
          <w:rFonts w:ascii="Arial" w:cs="Arial" w:eastAsia="Arial" w:hAnsi="Arial"/>
          <w:sz w:val="18"/>
          <w:szCs w:val="18"/>
          <w:color w:val="auto"/>
        </w:rPr>
        <w:t>We annually seek a non-binding advisory stockholder vote to approve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531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9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 xml:space="preserve">Stockholder Engagement - </w:t>
      </w:r>
      <w:r>
        <w:rPr>
          <w:rFonts w:ascii="Arial" w:cs="Arial" w:eastAsia="Arial" w:hAnsi="Arial"/>
          <w:sz w:val="18"/>
          <w:szCs w:val="18"/>
          <w:color w:val="auto"/>
        </w:rPr>
        <w:t>We engage with stockholders regularly and stockholder advisory firms on an as needed basis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feedback concerning our business.</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1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What We Don</w:t>
      </w:r>
      <w:r>
        <w:rPr>
          <w:rFonts w:ascii="Arial" w:cs="Arial" w:eastAsia="Arial" w:hAnsi="Arial"/>
          <w:sz w:val="20"/>
          <w:szCs w:val="20"/>
          <w:color w:val="FFFFFF"/>
        </w:rPr>
        <w:t>’</w:t>
      </w:r>
      <w:r>
        <w:rPr>
          <w:rFonts w:ascii="Arial" w:cs="Arial" w:eastAsia="Arial" w:hAnsi="Arial"/>
          <w:sz w:val="20"/>
          <w:szCs w:val="20"/>
          <w:b w:val="1"/>
          <w:bCs w:val="1"/>
          <w:color w:val="FFFFFF"/>
        </w:rPr>
        <w:t>t Do</w:t>
      </w:r>
    </w:p>
    <w:p>
      <w:pPr>
        <w:spacing w:after="0" w:line="24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“Single-Trigger</w:t>
      </w:r>
      <w:r>
        <w:rPr>
          <w:rFonts w:ascii="Arial" w:cs="Arial" w:eastAsia="Arial" w:hAnsi="Arial"/>
          <w:sz w:val="18"/>
          <w:szCs w:val="18"/>
          <w:color w:val="auto"/>
        </w:rPr>
        <w:t>”</w:t>
      </w:r>
      <w:r>
        <w:rPr>
          <w:rFonts w:ascii="Arial" w:cs="Arial" w:eastAsia="Arial" w:hAnsi="Arial"/>
          <w:sz w:val="18"/>
          <w:szCs w:val="18"/>
          <w:b w:val="1"/>
          <w:bCs w:val="1"/>
          <w:color w:val="auto"/>
        </w:rPr>
        <w:t xml:space="preserve"> Change in Control Provisions </w:t>
      </w:r>
      <w:r>
        <w:rPr>
          <w:rFonts w:ascii="Arial" w:cs="Arial" w:eastAsia="Arial" w:hAnsi="Arial"/>
          <w:sz w:val="18"/>
          <w:szCs w:val="18"/>
          <w:color w:val="auto"/>
        </w:rPr>
        <w:t>- Our executive change in control policy does not have “single-trigger” provisions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non-equity payments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531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3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auto"/>
        </w:rPr>
        <w:t xml:space="preserve">Minimum Amounts </w:t>
      </w:r>
      <w:r>
        <w:rPr>
          <w:rFonts w:ascii="Arial" w:cs="Arial" w:eastAsia="Arial" w:hAnsi="Arial"/>
          <w:sz w:val="18"/>
          <w:szCs w:val="18"/>
          <w:color w:val="auto"/>
        </w:rPr>
        <w:t>- Amounts under the annual and long-term incentive compensation programs have no guaranteed minimum and can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effectively be “zero” for any performance period for unsatisfactory results.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Option Repricing Prohibited </w:t>
      </w:r>
      <w:r>
        <w:rPr>
          <w:rFonts w:ascii="Arial" w:cs="Arial" w:eastAsia="Arial" w:hAnsi="Arial"/>
          <w:sz w:val="18"/>
          <w:szCs w:val="18"/>
          <w:color w:val="auto"/>
        </w:rPr>
        <w:t>- Our stock incentive plans prohibit option repricing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531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9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Hedging and Pledging Prohibited </w:t>
      </w:r>
      <w:r>
        <w:rPr>
          <w:rFonts w:ascii="Arial" w:cs="Arial" w:eastAsia="Arial" w:hAnsi="Arial"/>
          <w:sz w:val="18"/>
          <w:szCs w:val="18"/>
          <w:color w:val="auto"/>
        </w:rPr>
        <w:t>- We prohibit our employees, including our executive officers and directors, from hedging or pledging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securities.</w:t>
      </w:r>
    </w:p>
    <w:p>
      <w:pPr>
        <w:spacing w:after="0" w:line="35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Defined Benefit Pension Plans </w:t>
      </w:r>
      <w:r>
        <w:rPr>
          <w:rFonts w:ascii="Arial" w:cs="Arial" w:eastAsia="Arial" w:hAnsi="Arial"/>
          <w:sz w:val="18"/>
          <w:szCs w:val="18"/>
          <w:color w:val="auto"/>
        </w:rPr>
        <w:t>- We do not currently offer, nor do we have plans to provide, defined benefit pension arrangements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403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Perquisites </w:t>
      </w:r>
      <w:r>
        <w:rPr>
          <w:rFonts w:ascii="Arial" w:cs="Arial" w:eastAsia="Arial" w:hAnsi="Arial"/>
          <w:sz w:val="18"/>
          <w:szCs w:val="18"/>
          <w:color w:val="auto"/>
        </w:rPr>
        <w:t>- We provide minimal perquisites and other personal benefits to our executive officers.</w:t>
      </w:r>
    </w:p>
    <w:p>
      <w:pPr>
        <w:spacing w:after="0" w:line="200" w:lineRule="exact"/>
        <w:rPr>
          <w:sz w:val="20"/>
          <w:szCs w:val="20"/>
          <w:color w:val="auto"/>
        </w:rPr>
      </w:pPr>
    </w:p>
    <w:p>
      <w:pPr>
        <w:spacing w:after="0" w:line="21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Tax Reimbursements </w:t>
      </w:r>
      <w:r>
        <w:rPr>
          <w:rFonts w:ascii="Arial" w:cs="Arial" w:eastAsia="Arial" w:hAnsi="Arial"/>
          <w:sz w:val="18"/>
          <w:szCs w:val="18"/>
          <w:color w:val="auto"/>
        </w:rPr>
        <w:t>- We do not provide any tax reimbursement or “gross-up” payments on any severance or change in control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for any Section 280G excise taxes), perquisites or other personal benefits, other than immaterial COBRA reimbursements, standard relocation benefits, and tax equalization agreements related to expatriate assignments.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Sustainability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480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323" w:lineRule="exact"/>
        <w:rPr>
          <w:sz w:val="20"/>
          <w:szCs w:val="20"/>
          <w:color w:val="auto"/>
        </w:rPr>
      </w:pPr>
    </w:p>
    <w:p>
      <w:pPr>
        <w:ind w:right="100"/>
        <w:spacing w:after="0" w:line="272" w:lineRule="auto"/>
        <w:rPr>
          <w:sz w:val="20"/>
          <w:szCs w:val="20"/>
          <w:color w:val="auto"/>
        </w:rPr>
      </w:pPr>
      <w:r>
        <w:rPr>
          <w:rFonts w:ascii="Arial" w:cs="Arial" w:eastAsia="Arial" w:hAnsi="Arial"/>
          <w:sz w:val="22"/>
          <w:szCs w:val="22"/>
          <w:b w:val="1"/>
          <w:bCs w:val="1"/>
          <w:color w:val="FFFFFF"/>
        </w:rPr>
        <w:t>Cohu is focused on making a positive contribution to society by creating products that improve productivity as well as enable healthier lifestyles, greater longevity and a more habitable planet.</w:t>
      </w:r>
    </w:p>
    <w:p>
      <w:pPr>
        <w:spacing w:after="0" w:line="26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strive to operate worldwide in a safe, responsible manner that respects the environment and protects the health and safety of our employees, our customers and the communities where we operate. We also endeavor to conduct our business operations in a manner that preserves the environment, which includes minimizing waste, conserving energy and preventing pollution. We believe an important aspect of our mission is to design products for a positive impact on society where our customers use our test and measurement products to reduce waste and to improve yield and the efficiency of the semiconductor process. Our actions go beyond regulatory compliance and ISO certifications, and some of our 2025 environmental, health and safety highlights include:</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global Scope 1 and 2 emissions</w:t>
      </w:r>
      <w:r>
        <w:rPr>
          <w:rFonts w:ascii="Arial" w:cs="Arial" w:eastAsia="Arial" w:hAnsi="Arial"/>
          <w:sz w:val="14"/>
          <w:szCs w:val="14"/>
          <w:color w:val="auto"/>
        </w:rPr>
        <w:t>(1)</w:t>
      </w:r>
      <w:r>
        <w:rPr>
          <w:rFonts w:ascii="Arial" w:cs="Arial" w:eastAsia="Arial" w:hAnsi="Arial"/>
          <w:sz w:val="18"/>
          <w:szCs w:val="18"/>
          <w:color w:val="auto"/>
        </w:rPr>
        <w:t xml:space="preserve"> by 51% versus our 2024 baseline.</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Expanded renewable electricity usage from 26% to 63%</w:t>
      </w:r>
      <w:r>
        <w:rPr>
          <w:rFonts w:ascii="Arial" w:cs="Arial" w:eastAsia="Arial" w:hAnsi="Arial"/>
          <w:sz w:val="14"/>
          <w:szCs w:val="14"/>
          <w:color w:val="auto"/>
        </w:rPr>
        <w:t>(2)</w:t>
      </w:r>
      <w:r>
        <w:rPr>
          <w:rFonts w:ascii="Arial" w:cs="Arial" w:eastAsia="Arial" w:hAnsi="Arial"/>
          <w:sz w:val="18"/>
          <w:szCs w:val="18"/>
          <w:color w:val="auto"/>
        </w:rPr>
        <w:t>, the largest one-year increase in our history.</w:t>
      </w: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Converted our Singapore and Laguna, Philippines facilities to 100% renewable electricity.</w:t>
      </w: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global energy consumption by 4% year-over-year.</w:t>
      </w:r>
    </w:p>
    <w:p>
      <w:pPr>
        <w:ind w:left="660" w:right="58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Achieved significant facility-level electricity reductions, including Milpitas, CA (-32%), St. Paul, MN (-16%), Poway, CA (-15%), Singapore (-15%), Norwood, MA (-14%), and La Chaux-de-Fonds, Switzerland (-11%).</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total water usage by 4% through operational and office-space efficiency measures.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Improved waste performance, reducing non-hazardous waste by 14% and increasing hazardous waste recycling from 83% to 91%.</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left="660" w:right="240" w:hanging="328"/>
        <w:spacing w:after="0" w:line="24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Established near-term emissions reduction targets through SBTi</w:t>
      </w:r>
      <w:r>
        <w:rPr>
          <w:rFonts w:ascii="Arial" w:cs="Arial" w:eastAsia="Arial" w:hAnsi="Arial"/>
          <w:sz w:val="14"/>
          <w:szCs w:val="14"/>
          <w:color w:val="auto"/>
        </w:rPr>
        <w:t>(3)</w:t>
      </w:r>
      <w:r>
        <w:rPr>
          <w:rFonts w:ascii="Arial" w:cs="Arial" w:eastAsia="Arial" w:hAnsi="Arial"/>
          <w:sz w:val="18"/>
          <w:szCs w:val="18"/>
          <w:color w:val="auto"/>
        </w:rPr>
        <w:t xml:space="preserve"> including a 46.2% reduction in Scope 1 and 2 emissions and a 27.5% reduction in Scope 3 emissions by 2031</w:t>
      </w: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ESG transparency, publishing Scope 3 emissions for the first time, improving CDP</w:t>
      </w:r>
      <w:r>
        <w:rPr>
          <w:rFonts w:ascii="Arial" w:cs="Arial" w:eastAsia="Arial" w:hAnsi="Arial"/>
          <w:sz w:val="14"/>
          <w:szCs w:val="14"/>
          <w:color w:val="auto"/>
        </w:rPr>
        <w:t>(4)</w:t>
      </w:r>
      <w:r>
        <w:rPr>
          <w:rFonts w:ascii="Arial" w:cs="Arial" w:eastAsia="Arial" w:hAnsi="Arial"/>
          <w:sz w:val="18"/>
          <w:szCs w:val="18"/>
          <w:color w:val="auto"/>
        </w:rPr>
        <w:t xml:space="preserve"> Climate score to a B, and expanding site-level disclosures.</w:t>
      </w:r>
    </w:p>
    <w:p>
      <w:pPr>
        <w:spacing w:after="0" w:line="1" w:lineRule="exact"/>
        <w:rPr>
          <w:rFonts w:ascii="Arial" w:cs="Arial" w:eastAsia="Arial" w:hAnsi="Arial"/>
          <w:sz w:val="18"/>
          <w:szCs w:val="18"/>
          <w:color w:val="auto"/>
        </w:rPr>
      </w:pPr>
    </w:p>
    <w:p>
      <w:pPr>
        <w:ind w:left="660" w:right="32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cumulative training hours by 41% to 58,600 hours globally and invested $457,000 in employee training, seminars, and educational assistance</w:t>
      </w:r>
    </w:p>
    <w:p>
      <w:pPr>
        <w:spacing w:after="0" w:line="1" w:lineRule="exact"/>
        <w:rPr>
          <w:rFonts w:ascii="Arial" w:cs="Arial" w:eastAsia="Arial" w:hAnsi="Arial"/>
          <w:sz w:val="18"/>
          <w:szCs w:val="18"/>
          <w:color w:val="auto"/>
        </w:rPr>
      </w:pPr>
    </w:p>
    <w:p>
      <w:pPr>
        <w:ind w:left="660" w:right="120" w:hanging="328"/>
        <w:spacing w:after="0" w:line="202" w:lineRule="exact"/>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support of increasing employee engagement, we conducted a follow</w:t>
      </w:r>
      <w:r>
        <w:rPr>
          <w:rFonts w:ascii="MS PGothic" w:cs="MS PGothic" w:eastAsia="MS PGothic" w:hAnsi="MS PGothic"/>
          <w:sz w:val="18"/>
          <w:szCs w:val="18"/>
          <w:color w:val="auto"/>
        </w:rPr>
        <w:t>‑</w:t>
      </w:r>
      <w:r>
        <w:rPr>
          <w:rFonts w:ascii="Arial" w:cs="Arial" w:eastAsia="Arial" w:hAnsi="Arial"/>
          <w:sz w:val="18"/>
          <w:szCs w:val="18"/>
          <w:color w:val="auto"/>
        </w:rPr>
        <w:t>up Employee Engagement Pulse survey and reinforced our global emphasis on career development by enhancing Learning Communities, expanding High</w:t>
      </w:r>
      <w:r>
        <w:rPr>
          <w:rFonts w:ascii="MS PGothic" w:cs="MS PGothic" w:eastAsia="MS PGothic" w:hAnsi="MS PGothic"/>
          <w:sz w:val="18"/>
          <w:szCs w:val="18"/>
          <w:color w:val="auto"/>
        </w:rPr>
        <w:t>‑</w:t>
      </w:r>
      <w:r>
        <w:rPr>
          <w:rFonts w:ascii="Arial" w:cs="Arial" w:eastAsia="Arial" w:hAnsi="Arial"/>
          <w:sz w:val="18"/>
          <w:szCs w:val="18"/>
          <w:color w:val="auto"/>
        </w:rPr>
        <w:t>Potential and High</w:t>
      </w:r>
      <w:r>
        <w:rPr>
          <w:rFonts w:ascii="MS PGothic" w:cs="MS PGothic" w:eastAsia="MS PGothic" w:hAnsi="MS PGothic"/>
          <w:sz w:val="18"/>
          <w:szCs w:val="18"/>
          <w:color w:val="auto"/>
        </w:rPr>
        <w:t>‑</w:t>
      </w:r>
      <w:r>
        <w:rPr>
          <w:rFonts w:ascii="Arial" w:cs="Arial" w:eastAsia="Arial" w:hAnsi="Arial"/>
          <w:sz w:val="18"/>
          <w:szCs w:val="18"/>
          <w:color w:val="auto"/>
        </w:rPr>
        <w:t>Professional programs, and increasing participation in the Emerging Leader Program to advance individual development and internal career growth at Cohu.</w:t>
      </w:r>
    </w:p>
    <w:p>
      <w:pPr>
        <w:spacing w:after="0" w:line="2" w:lineRule="exact"/>
        <w:rPr>
          <w:rFonts w:ascii="Arial" w:cs="Arial" w:eastAsia="Arial" w:hAnsi="Arial"/>
          <w:sz w:val="18"/>
          <w:szCs w:val="18"/>
          <w:color w:val="auto"/>
        </w:rPr>
      </w:pPr>
    </w:p>
    <w:p>
      <w:pPr>
        <w:ind w:left="660" w:right="22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our excellent employee safety record, with a 2025 global recordable incident rate of 0.438 per 100 employees, which is 51% lower than our industry benchmark</w:t>
      </w:r>
      <w:r>
        <w:rPr>
          <w:rFonts w:ascii="Arial" w:cs="Arial" w:eastAsia="Arial" w:hAnsi="Arial"/>
          <w:sz w:val="14"/>
          <w:szCs w:val="14"/>
          <w:color w:val="auto"/>
        </w:rPr>
        <w:t>(5)</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4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Maintained a ‘Low’ corporate RBA</w:t>
      </w:r>
      <w:r>
        <w:rPr>
          <w:rFonts w:ascii="Arial" w:cs="Arial" w:eastAsia="Arial" w:hAnsi="Arial"/>
          <w:sz w:val="14"/>
          <w:szCs w:val="14"/>
          <w:color w:val="auto"/>
        </w:rPr>
        <w:t>(6)</w:t>
      </w:r>
      <w:r>
        <w:rPr>
          <w:rFonts w:ascii="Arial" w:cs="Arial" w:eastAsia="Arial" w:hAnsi="Arial"/>
          <w:sz w:val="18"/>
          <w:szCs w:val="18"/>
          <w:color w:val="auto"/>
        </w:rPr>
        <w:t xml:space="preserve"> Risk Rating. Our Melaka, Malaysia facility achieved “Silver” status in its independent RBA assessment, receiving no findings and earning 193.8 out of 200 possible points.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voluntary turnover across Asia and Europe and maintained a strong safety performance.</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Recognized in Newsweek’s “America’s Greenest Companies 2026” and improved our ranking compared with the prior year.</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Energy and Waste Management</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126365</wp:posOffset>
            </wp:positionV>
            <wp:extent cx="445770" cy="454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5770" cy="45466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186690</wp:posOffset>
            </wp:positionV>
            <wp:extent cx="497205" cy="325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7205" cy="32575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Use of Renewable Energy</w:t>
      </w:r>
    </w:p>
    <w:p>
      <w:pPr>
        <w:spacing w:after="0" w:line="18"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3"/>
          <w:szCs w:val="13"/>
          <w:b w:val="1"/>
          <w:bCs w:val="1"/>
          <w:color w:val="auto"/>
        </w:rPr>
        <w:t>(2)</w:t>
      </w:r>
      <w:r>
        <w:rPr>
          <w:rFonts w:ascii="Arial" w:cs="Arial" w:eastAsia="Arial" w:hAnsi="Arial"/>
          <w:sz w:val="16"/>
          <w:szCs w:val="16"/>
          <w:b w:val="1"/>
          <w:bCs w:val="1"/>
          <w:color w:val="auto"/>
        </w:rPr>
        <w:t xml:space="preserve">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260985</wp:posOffset>
            </wp:positionV>
            <wp:extent cx="43688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6880" cy="41148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252095</wp:posOffset>
            </wp:positionV>
            <wp:extent cx="454025" cy="420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4025"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Scope 1/2 Emissions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3,410 Metric Tons CO2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250825</wp:posOffset>
            </wp:positionV>
            <wp:extent cx="419735" cy="428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9735"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20"/>
          </w:cols>
          <w:pgMar w:left="320" w:top="12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60" w:type="dxa"/>
        <w:tblCellMar>
          <w:top w:w="0" w:type="dxa"/>
          <w:left w:w="0" w:type="dxa"/>
          <w:bottom w:w="0" w:type="dxa"/>
          <w:right w:w="0" w:type="dxa"/>
        </w:tblCellMar>
      </w:tblPr>
      <w:tr>
        <w:trPr>
          <w:trHeight w:val="189"/>
        </w:trPr>
        <w:tc>
          <w:tcPr>
            <w:tcW w:w="2240" w:type="dxa"/>
            <w:vAlign w:val="bottom"/>
            <w:vMerge w:val="restart"/>
          </w:tcPr>
          <w:p>
            <w:pPr>
              <w:jc w:val="center"/>
              <w:ind w:right="519"/>
              <w:spacing w:after="0"/>
              <w:rPr>
                <w:sz w:val="20"/>
                <w:szCs w:val="20"/>
                <w:color w:val="auto"/>
              </w:rPr>
            </w:pPr>
            <w:r>
              <w:rPr>
                <w:rFonts w:ascii="Arial" w:cs="Arial" w:eastAsia="Arial" w:hAnsi="Arial"/>
                <w:sz w:val="16"/>
                <w:szCs w:val="16"/>
                <w:b w:val="1"/>
                <w:bCs w:val="1"/>
                <w:color w:val="auto"/>
                <w:w w:val="99"/>
              </w:rPr>
              <w:t>Total Waste Recycled</w:t>
            </w:r>
          </w:p>
        </w:tc>
        <w:tc>
          <w:tcPr>
            <w:tcW w:w="4720" w:type="dxa"/>
            <w:vAlign w:val="bottom"/>
          </w:tcPr>
          <w:p>
            <w:pPr>
              <w:jc w:val="center"/>
              <w:ind w:right="19"/>
              <w:spacing w:after="0"/>
              <w:rPr>
                <w:sz w:val="20"/>
                <w:szCs w:val="20"/>
                <w:color w:val="auto"/>
              </w:rPr>
            </w:pPr>
            <w:r>
              <w:rPr>
                <w:rFonts w:ascii="Arial" w:cs="Arial" w:eastAsia="Arial" w:hAnsi="Arial"/>
                <w:sz w:val="16"/>
                <w:szCs w:val="16"/>
                <w:b w:val="1"/>
                <w:bCs w:val="1"/>
                <w:color w:val="auto"/>
              </w:rPr>
              <w:t>Hazardous Waste</w:t>
            </w:r>
          </w:p>
        </w:tc>
        <w:tc>
          <w:tcPr>
            <w:tcW w:w="2020" w:type="dxa"/>
            <w:vAlign w:val="bottom"/>
            <w:vMerge w:val="restart"/>
          </w:tcPr>
          <w:p>
            <w:pPr>
              <w:jc w:val="center"/>
              <w:ind w:left="599"/>
              <w:spacing w:after="0"/>
              <w:rPr>
                <w:sz w:val="20"/>
                <w:szCs w:val="20"/>
                <w:color w:val="auto"/>
              </w:rPr>
            </w:pPr>
            <w:r>
              <w:rPr>
                <w:rFonts w:ascii="Arial" w:cs="Arial" w:eastAsia="Arial" w:hAnsi="Arial"/>
                <w:sz w:val="16"/>
                <w:szCs w:val="16"/>
                <w:b w:val="1"/>
                <w:bCs w:val="1"/>
                <w:color w:val="auto"/>
              </w:rPr>
              <w:t>Hazardous Waste</w:t>
            </w:r>
          </w:p>
        </w:tc>
        <w:tc>
          <w:tcPr>
            <w:tcW w:w="0" w:type="dxa"/>
            <w:vAlign w:val="bottom"/>
          </w:tcPr>
          <w:p>
            <w:pPr>
              <w:spacing w:after="0"/>
              <w:rPr>
                <w:sz w:val="1"/>
                <w:szCs w:val="1"/>
                <w:color w:val="auto"/>
              </w:rPr>
            </w:pPr>
          </w:p>
        </w:tc>
      </w:tr>
      <w:tr>
        <w:trPr>
          <w:trHeight w:val="95"/>
        </w:trPr>
        <w:tc>
          <w:tcPr>
            <w:tcW w:w="2240" w:type="dxa"/>
            <w:vAlign w:val="bottom"/>
            <w:vMerge w:val="continue"/>
          </w:tcPr>
          <w:p>
            <w:pPr>
              <w:spacing w:after="0"/>
              <w:rPr>
                <w:sz w:val="8"/>
                <w:szCs w:val="8"/>
                <w:color w:val="auto"/>
              </w:rPr>
            </w:pPr>
          </w:p>
        </w:tc>
        <w:tc>
          <w:tcPr>
            <w:tcW w:w="47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All Disposed of in Accordance With</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40" w:type="dxa"/>
            <w:vAlign w:val="bottom"/>
            <w:vMerge w:val="restart"/>
          </w:tcPr>
          <w:p>
            <w:pPr>
              <w:jc w:val="center"/>
              <w:ind w:right="519"/>
              <w:spacing w:after="0"/>
              <w:rPr>
                <w:sz w:val="20"/>
                <w:szCs w:val="20"/>
                <w:color w:val="auto"/>
              </w:rPr>
            </w:pPr>
            <w:r>
              <w:rPr>
                <w:rFonts w:ascii="Arial" w:cs="Arial" w:eastAsia="Arial" w:hAnsi="Arial"/>
                <w:sz w:val="16"/>
                <w:szCs w:val="16"/>
                <w:b w:val="1"/>
                <w:bCs w:val="1"/>
                <w:color w:val="auto"/>
              </w:rPr>
              <w:t>591,000 Kg</w:t>
            </w:r>
          </w:p>
        </w:tc>
        <w:tc>
          <w:tcPr>
            <w:tcW w:w="4720" w:type="dxa"/>
            <w:vAlign w:val="bottom"/>
            <w:vMerge w:val="continue"/>
          </w:tcPr>
          <w:p>
            <w:pPr>
              <w:spacing w:after="0"/>
              <w:rPr>
                <w:sz w:val="8"/>
                <w:szCs w:val="8"/>
                <w:color w:val="auto"/>
              </w:rPr>
            </w:pPr>
          </w:p>
        </w:tc>
        <w:tc>
          <w:tcPr>
            <w:tcW w:w="2020" w:type="dxa"/>
            <w:vAlign w:val="bottom"/>
            <w:vMerge w:val="restart"/>
          </w:tcPr>
          <w:p>
            <w:pPr>
              <w:jc w:val="center"/>
              <w:ind w:left="599"/>
              <w:spacing w:after="0"/>
              <w:rPr>
                <w:sz w:val="20"/>
                <w:szCs w:val="20"/>
                <w:color w:val="auto"/>
              </w:rPr>
            </w:pPr>
            <w:r>
              <w:rPr>
                <w:rFonts w:ascii="Arial" w:cs="Arial" w:eastAsia="Arial" w:hAnsi="Arial"/>
                <w:sz w:val="16"/>
                <w:szCs w:val="16"/>
                <w:b w:val="1"/>
                <w:bCs w:val="1"/>
                <w:color w:val="auto"/>
              </w:rPr>
              <w:t>No Spills</w:t>
            </w:r>
          </w:p>
        </w:tc>
        <w:tc>
          <w:tcPr>
            <w:tcW w:w="0" w:type="dxa"/>
            <w:vAlign w:val="bottom"/>
          </w:tcPr>
          <w:p>
            <w:pPr>
              <w:spacing w:after="0"/>
              <w:rPr>
                <w:sz w:val="1"/>
                <w:szCs w:val="1"/>
                <w:color w:val="auto"/>
              </w:rPr>
            </w:pPr>
          </w:p>
        </w:tc>
      </w:tr>
      <w:tr>
        <w:trPr>
          <w:trHeight w:val="128"/>
        </w:trPr>
        <w:tc>
          <w:tcPr>
            <w:tcW w:w="2240" w:type="dxa"/>
            <w:vAlign w:val="bottom"/>
            <w:vMerge w:val="continue"/>
          </w:tcPr>
          <w:p>
            <w:pPr>
              <w:spacing w:after="0"/>
              <w:rPr>
                <w:sz w:val="11"/>
                <w:szCs w:val="11"/>
                <w:color w:val="auto"/>
              </w:rPr>
            </w:pPr>
          </w:p>
        </w:tc>
        <w:tc>
          <w:tcPr>
            <w:tcW w:w="4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xml:space="preserve">Local Laws and Regulations </w:t>
            </w:r>
            <w:r>
              <w:rPr>
                <w:rFonts w:ascii="Arial" w:cs="Arial" w:eastAsia="Arial" w:hAnsi="Arial"/>
                <w:sz w:val="16"/>
                <w:szCs w:val="16"/>
                <w:color w:val="auto"/>
              </w:rPr>
              <w:t>–</w:t>
            </w:r>
            <w:r>
              <w:rPr>
                <w:rFonts w:ascii="Arial" w:cs="Arial" w:eastAsia="Arial" w:hAnsi="Arial"/>
                <w:sz w:val="16"/>
                <w:szCs w:val="16"/>
                <w:b w:val="1"/>
                <w:bCs w:val="1"/>
                <w:color w:val="auto"/>
              </w:rPr>
              <w:t xml:space="preserve"> 91% Recycled</w:t>
            </w: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240" w:type="dxa"/>
            <w:vAlign w:val="bottom"/>
          </w:tcPr>
          <w:p>
            <w:pPr>
              <w:spacing w:after="0"/>
              <w:rPr>
                <w:sz w:val="8"/>
                <w:szCs w:val="8"/>
                <w:color w:val="auto"/>
              </w:rPr>
            </w:pPr>
          </w:p>
        </w:tc>
        <w:tc>
          <w:tcPr>
            <w:tcW w:w="472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CScope 2 emissions calculated based on market-based emission factors.</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percentage of grid electricity derived from renewable sources.</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B5394"/>
        </w:rPr>
        <w:t>https://sciencebasedtargets.org</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CDP, formerly the Carbon Disclosure Project, is a third-party global disclosure system for environmental reporting</w:t>
      </w:r>
    </w:p>
    <w:p>
      <w:pPr>
        <w:spacing w:after="0" w:line="82" w:lineRule="exact"/>
        <w:rPr>
          <w:rFonts w:ascii="Arial" w:cs="Arial" w:eastAsia="Arial" w:hAnsi="Arial"/>
          <w:sz w:val="14"/>
          <w:szCs w:val="14"/>
          <w:color w:val="auto"/>
        </w:rPr>
      </w:pPr>
    </w:p>
    <w:p>
      <w:pPr>
        <w:ind w:left="660" w:right="180" w:hanging="328"/>
        <w:spacing w:after="0" w:line="25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Latest published Industry benchmark of 0.9 (recordable incidents per 100 employees, per year) is based on 2025 U.S. Bureau of Labor Statistics Injury, Illness and Fatality statistics for our industry (NAICS Code 334515).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Responsible Business Alliance, the industry coalition dedicated to responsible business conduct in global supply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48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Sustainability Strategies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Business and Governance</w:t>
      </w:r>
    </w:p>
    <w:p>
      <w:pPr>
        <w:spacing w:after="0" w:line="19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Corporate responsibility is an integral part of our business strategy and operating philosophy. A firm commitment to ethical behavior is embedded in our business processes and practices. During 2025, we had:</w:t>
      </w:r>
    </w:p>
    <w:p>
      <w:pPr>
        <w:spacing w:after="0" w:line="140"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bribery/corruption claims, including no legal proceedings or monetary losses related to bribery/corruption claims</w:t>
      </w:r>
    </w:p>
    <w:p>
      <w:pPr>
        <w:spacing w:after="0" w:line="13" w:lineRule="exact"/>
        <w:rPr>
          <w:rFonts w:ascii="Arial" w:cs="Arial" w:eastAsia="Arial" w:hAnsi="Arial"/>
          <w:sz w:val="18"/>
          <w:szCs w:val="18"/>
          <w:color w:val="auto"/>
        </w:rPr>
      </w:pPr>
    </w:p>
    <w:p>
      <w:pPr>
        <w:ind w:left="220" w:hanging="212"/>
        <w:spacing w:after="0" w:line="234"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anti-competitive behavior claims, including no legal proceedings or monetary losses related to anti-competitive behavior claims</w:t>
      </w:r>
    </w:p>
    <w:p>
      <w:pPr>
        <w:ind w:left="260" w:right="460" w:hanging="252"/>
        <w:spacing w:after="0" w:line="234" w:lineRule="auto"/>
        <w:tabs>
          <w:tab w:leader="none" w:pos="2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legal and regulatory fines, settlements, or enforcement actions associated with false, deceptive, or unfair marketing, labeling and advertising</w:t>
      </w:r>
    </w:p>
    <w:p>
      <w:pPr>
        <w:spacing w:after="0" w:line="1"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direct monetary contribution to political campaigns or lobbying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Responsible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788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Cohu operates a responsible minerals sourcing program, developed to ensure our conformance to the SEC Conflict Minerals rule. A de minimis portion of Cohu’s manufacturing processes utilize critical materials such as Cobalt, Palladium and Rhodium. In such cases, usage is monitored, and buffer stock is maintained. Cohu also utilizes multiple suppliers and maintains second sources where possible.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2025 Energy and Waste Management</w:t>
      </w:r>
    </w:p>
    <w:p>
      <w:pPr>
        <w:spacing w:after="0" w:line="198"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63% of grid electrical energy usage was derived from renewable energy sources</w:t>
      </w:r>
    </w:p>
    <w:p>
      <w:pPr>
        <w:spacing w:after="0" w:line="13" w:lineRule="exact"/>
        <w:rPr>
          <w:rFonts w:ascii="Arial" w:cs="Arial" w:eastAsia="Arial" w:hAnsi="Arial"/>
          <w:sz w:val="18"/>
          <w:szCs w:val="18"/>
          <w:color w:val="auto"/>
        </w:rPr>
      </w:pPr>
    </w:p>
    <w:p>
      <w:pPr>
        <w:ind w:left="640" w:hanging="308"/>
        <w:spacing w:after="0" w:line="23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Scope 1/2 Emissions were 3,410 Metric Tons CO2-e</w:t>
      </w:r>
    </w:p>
    <w:p>
      <w:pPr>
        <w:ind w:left="640" w:hanging="308"/>
        <w:spacing w:after="0" w:line="23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waste recycled was 591,000 Kg</w:t>
      </w:r>
    </w:p>
    <w:p>
      <w:pPr>
        <w:ind w:left="640" w:hanging="308"/>
        <w:spacing w:after="0" w:line="23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hazardous waste disposed of in accordance with local laws and regulations – 91% recycled</w:t>
      </w:r>
    </w:p>
    <w:p>
      <w:pPr>
        <w:ind w:left="640" w:hanging="308"/>
        <w:spacing w:after="0" w:line="23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hazardous waste spills</w:t>
      </w:r>
    </w:p>
    <w:p>
      <w:pPr>
        <w:ind w:left="640" w:hanging="308"/>
        <w:spacing w:after="0" w:line="23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Converted our Singapore and Laguna, Philippines manufacturing facilities to use 100% renewable electricity</w:t>
      </w:r>
    </w:p>
    <w:p>
      <w:pPr>
        <w:ind w:left="660" w:right="140" w:hanging="328"/>
        <w:spacing w:after="0" w:line="234" w:lineRule="auto"/>
        <w:tabs>
          <w:tab w:leader="none" w:pos="6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water usage decreased by 4% year-over-year, primarily driven by the completion of the transfer of our test handler production equipment at our Laguna, Philippines facility</w:t>
      </w:r>
    </w:p>
    <w:p>
      <w:pPr>
        <w:spacing w:after="0" w:line="1" w:lineRule="exact"/>
        <w:rPr>
          <w:rFonts w:ascii="Arial" w:cs="Arial" w:eastAsia="Arial" w:hAnsi="Arial"/>
          <w:sz w:val="18"/>
          <w:szCs w:val="18"/>
          <w:color w:val="auto"/>
        </w:rPr>
      </w:pPr>
    </w:p>
    <w:p>
      <w:pPr>
        <w:ind w:left="660" w:hanging="328"/>
        <w:spacing w:after="0" w:line="234"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Initiated construction of a solar carpark installation at our largest manufacturing site in Melaka, Malaysia, representing a capital investment of $701K. Once completed in March 2026, the system is designed to generate 1.14 million kWh per year, supplying more than 25% of the facilities’ total electricity demand.</w:t>
      </w:r>
    </w:p>
    <w:p>
      <w:pPr>
        <w:spacing w:after="0" w:line="2" w:lineRule="exact"/>
        <w:rPr>
          <w:rFonts w:ascii="Arial" w:cs="Arial" w:eastAsia="Arial" w:hAnsi="Arial"/>
          <w:sz w:val="18"/>
          <w:szCs w:val="18"/>
          <w:color w:val="auto"/>
        </w:rPr>
      </w:pPr>
    </w:p>
    <w:p>
      <w:pPr>
        <w:ind w:left="660" w:right="560" w:hanging="328"/>
        <w:spacing w:after="0" w:line="234" w:lineRule="auto"/>
        <w:tabs>
          <w:tab w:leader="none" w:pos="6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Achieved significant facility-level electricity reductions, including Milpitas, CA (-32%), St. Paul, MN (-16%), Poway, CA (-15%), Singapore (-15%), Norwood, MA (-14%), and La Chaux-de-Fonds, Switzerland (-11%).</w:t>
      </w:r>
    </w:p>
    <w:p>
      <w:pPr>
        <w:spacing w:after="0" w:line="1" w:lineRule="exact"/>
        <w:rPr>
          <w:rFonts w:ascii="Arial" w:cs="Arial" w:eastAsia="Arial" w:hAnsi="Arial"/>
          <w:sz w:val="18"/>
          <w:szCs w:val="18"/>
          <w:color w:val="auto"/>
        </w:rPr>
      </w:pPr>
    </w:p>
    <w:p>
      <w:pPr>
        <w:ind w:left="640" w:hanging="308"/>
        <w:spacing w:after="0" w:line="23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ISO 14001-certitied at our facility in Kolbermoor, Germany.</w:t>
      </w:r>
    </w:p>
    <w:p>
      <w:pPr>
        <w:ind w:left="660" w:right="120" w:hanging="328"/>
        <w:spacing w:after="0" w:line="250" w:lineRule="auto"/>
        <w:tabs>
          <w:tab w:leader="none" w:pos="6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continued use of our assisted reality customer support system, used for remote technical support and training, we avoided 387,000 km in employee travel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Energy Renewable and Energy Efficient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660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660400"/>
                    </a:xfrm>
                    <a:prstGeom prst="rect">
                      <a:avLst/>
                    </a:prstGeom>
                    <a:noFill/>
                  </pic:spPr>
                </pic:pic>
              </a:graphicData>
            </a:graphic>
          </wp:anchor>
        </w:drawing>
      </w:r>
    </w:p>
    <w:p>
      <w:pPr>
        <w:spacing w:after="0" w:line="17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Nine of our key customers provide semiconductor solutions to manage and reduce power consumption and enable solar and wind power generation. We are enabling these important technologies including power management devices, controllers, inverters, sensors, motor drivers and gate drivers.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511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36"/>
          <w:szCs w:val="36"/>
          <w:b w:val="1"/>
          <w:bCs w:val="1"/>
          <w:color w:val="FFFFFF"/>
        </w:rPr>
        <w:t>Stock Ownership</w:t>
      </w: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Security Ownership of Certain Beneficial Owners and Management</w:t>
      </w:r>
    </w:p>
    <w:p>
      <w:pPr>
        <w:spacing w:after="0" w:line="2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 sets forth certain information regarding beneficial ownership of Cohu’s common stock as of March 16, 2026, by (i) each stockholder who has reported or is known by Cohu to have beneficial ownership of more than 5% of our common stock; (ii) each director of Cohu; (iii) each NEO included in the “2025 Summary Compensation Table”; and (iv) all directors and executive officers as a group. Unless otherwise noted below, the address of each person listed on the table is c/o Cohu, Inc., 17087 Via Del Campo San Diego, CA 92127-1711. Beneficial ownership is determined in accordance with the rules of the SEC and includes voting or investment power with respect to the securities. We deem shares of common stock that may be acquired by an individual or group within 60 days of March 16, 2026, pursuant to the exercise of options or the vesting of restricted stock units, performance stock units and deferred stock units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46,985,679 shares of common stock outstanding on March 16, 2026.</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840" w:type="dxa"/>
            <w:vAlign w:val="bottom"/>
            <w:tcBorders>
              <w:left w:val="single" w:sz="8" w:color="2D53A6"/>
              <w:right w:val="single" w:sz="8" w:color="2D53A6"/>
            </w:tcBorders>
            <w:shd w:val="clear" w:color="auto" w:fill="2D53A6"/>
          </w:tcPr>
          <w:p>
            <w:pPr>
              <w:spacing w:after="0"/>
              <w:rPr>
                <w:sz w:val="17"/>
                <w:szCs w:val="17"/>
                <w:color w:val="auto"/>
              </w:rPr>
            </w:pPr>
          </w:p>
        </w:tc>
        <w:tc>
          <w:tcPr>
            <w:tcW w:w="20" w:type="dxa"/>
            <w:vAlign w:val="bottom"/>
            <w:shd w:val="clear" w:color="auto" w:fill="2D53A6"/>
          </w:tcPr>
          <w:p>
            <w:pPr>
              <w:spacing w:after="0"/>
              <w:rPr>
                <w:sz w:val="17"/>
                <w:szCs w:val="17"/>
                <w:color w:val="auto"/>
              </w:rPr>
            </w:pPr>
          </w:p>
        </w:tc>
        <w:tc>
          <w:tcPr>
            <w:tcW w:w="13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Beneficially</w:t>
            </w:r>
          </w:p>
        </w:tc>
        <w:tc>
          <w:tcPr>
            <w:tcW w:w="1380" w:type="dxa"/>
            <w:vAlign w:val="bottom"/>
            <w:tcBorders>
              <w:right w:val="single" w:sz="8" w:color="2D53A6"/>
            </w:tcBorders>
            <w:shd w:val="clear" w:color="auto" w:fill="2D53A6"/>
          </w:tcPr>
          <w:p>
            <w:pPr>
              <w:spacing w:after="0"/>
              <w:rPr>
                <w:sz w:val="17"/>
                <w:szCs w:val="17"/>
                <w:color w:val="auto"/>
              </w:rPr>
            </w:pPr>
          </w:p>
        </w:tc>
        <w:tc>
          <w:tcPr>
            <w:tcW w:w="1320" w:type="dxa"/>
            <w:vAlign w:val="bottom"/>
            <w:tcBorders>
              <w:right w:val="single" w:sz="8" w:color="2D53A6"/>
            </w:tcBorders>
            <w:shd w:val="clear" w:color="auto" w:fill="2D53A6"/>
          </w:tcPr>
          <w:p>
            <w:pPr>
              <w:spacing w:after="0"/>
              <w:rPr>
                <w:sz w:val="17"/>
                <w:szCs w:val="17"/>
                <w:color w:val="auto"/>
              </w:rPr>
            </w:pPr>
          </w:p>
        </w:tc>
        <w:tc>
          <w:tcPr>
            <w:tcW w:w="1380" w:type="dxa"/>
            <w:vAlign w:val="bottom"/>
            <w:tcBorders>
              <w:right w:val="single" w:sz="8" w:color="2D53A6"/>
            </w:tcBorders>
            <w:shd w:val="clear" w:color="auto" w:fill="2D53A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Borders>
              <w:left w:val="single" w:sz="8" w:color="2D53A6"/>
              <w:right w:val="single" w:sz="8" w:color="2D53A6"/>
            </w:tcBorders>
            <w:vMerge w:val="restart"/>
            <w:shd w:val="clear" w:color="auto" w:fill="2D53A6"/>
          </w:tcPr>
          <w:p>
            <w:pPr>
              <w:ind w:left="20"/>
              <w:spacing w:after="0"/>
              <w:rPr>
                <w:sz w:val="20"/>
                <w:szCs w:val="20"/>
                <w:color w:val="auto"/>
              </w:rPr>
            </w:pPr>
            <w:r>
              <w:rPr>
                <w:rFonts w:ascii="Arial" w:cs="Arial" w:eastAsia="Arial" w:hAnsi="Arial"/>
                <w:sz w:val="18"/>
                <w:szCs w:val="18"/>
                <w:b w:val="1"/>
                <w:bCs w:val="1"/>
                <w:color w:val="FFFFFF"/>
              </w:rPr>
              <w:t>Name and address of beneficial owner</w:t>
            </w:r>
          </w:p>
        </w:tc>
        <w:tc>
          <w:tcPr>
            <w:tcW w:w="20" w:type="dxa"/>
            <w:vAlign w:val="bottom"/>
            <w:shd w:val="clear" w:color="auto" w:fill="2D53A6"/>
          </w:tcPr>
          <w:p>
            <w:pPr>
              <w:spacing w:after="0"/>
              <w:rPr>
                <w:sz w:val="17"/>
                <w:szCs w:val="17"/>
                <w:color w:val="auto"/>
              </w:rPr>
            </w:pPr>
          </w:p>
        </w:tc>
        <w:tc>
          <w:tcPr>
            <w:tcW w:w="130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owned</w:t>
            </w:r>
          </w:p>
        </w:tc>
        <w:tc>
          <w:tcPr>
            <w:tcW w:w="138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Common</w:t>
            </w:r>
          </w:p>
        </w:tc>
        <w:tc>
          <w:tcPr>
            <w:tcW w:w="1320" w:type="dxa"/>
            <w:vAlign w:val="bottom"/>
            <w:tcBorders>
              <w:right w:val="single" w:sz="8" w:color="2D53A6"/>
            </w:tcBorders>
            <w:vMerge w:val="restart"/>
            <w:shd w:val="clear" w:color="auto" w:fill="2D53A6"/>
          </w:tcPr>
          <w:p>
            <w:pPr>
              <w:jc w:val="right"/>
              <w:ind w:right="370"/>
              <w:spacing w:after="0"/>
              <w:rPr>
                <w:sz w:val="20"/>
                <w:szCs w:val="20"/>
                <w:color w:val="auto"/>
              </w:rPr>
            </w:pPr>
            <w:r>
              <w:rPr>
                <w:rFonts w:ascii="Arial" w:cs="Arial" w:eastAsia="Arial" w:hAnsi="Arial"/>
                <w:sz w:val="18"/>
                <w:szCs w:val="18"/>
                <w:b w:val="1"/>
                <w:bCs w:val="1"/>
                <w:color w:val="FFFFFF"/>
              </w:rPr>
              <w:t>Total</w:t>
            </w:r>
          </w:p>
        </w:tc>
        <w:tc>
          <w:tcPr>
            <w:tcW w:w="1380" w:type="dxa"/>
            <w:vAlign w:val="bottom"/>
            <w:tcBorders>
              <w:right w:val="single" w:sz="8" w:color="2D53A6"/>
            </w:tcBorders>
            <w:shd w:val="clear" w:color="auto" w:fill="2D53A6"/>
          </w:tcPr>
          <w:p>
            <w:pPr>
              <w:jc w:val="right"/>
              <w:ind w:right="190"/>
              <w:spacing w:after="0" w:line="202" w:lineRule="exact"/>
              <w:rPr>
                <w:sz w:val="20"/>
                <w:szCs w:val="20"/>
                <w:color w:val="auto"/>
              </w:rPr>
            </w:pPr>
            <w:r>
              <w:rPr>
                <w:rFonts w:ascii="Arial" w:cs="Arial" w:eastAsia="Arial" w:hAnsi="Arial"/>
                <w:sz w:val="18"/>
                <w:szCs w:val="18"/>
                <w:b w:val="1"/>
                <w:bCs w:val="1"/>
                <w:color w:val="FFFFFF"/>
              </w:rPr>
              <w:t>Percent of</w:t>
            </w:r>
          </w:p>
        </w:tc>
        <w:tc>
          <w:tcPr>
            <w:tcW w:w="0" w:type="dxa"/>
            <w:vAlign w:val="bottom"/>
          </w:tcPr>
          <w:p>
            <w:pPr>
              <w:spacing w:after="0"/>
              <w:rPr>
                <w:sz w:val="1"/>
                <w:szCs w:val="1"/>
                <w:color w:val="auto"/>
              </w:rPr>
            </w:pPr>
          </w:p>
        </w:tc>
      </w:tr>
      <w:tr>
        <w:trPr>
          <w:trHeight w:val="139"/>
        </w:trPr>
        <w:tc>
          <w:tcPr>
            <w:tcW w:w="5840" w:type="dxa"/>
            <w:vAlign w:val="bottom"/>
            <w:tcBorders>
              <w:left w:val="single" w:sz="8" w:color="2D53A6"/>
              <w:right w:val="single" w:sz="8" w:color="2D53A6"/>
            </w:tcBorders>
            <w:vMerge w:val="continue"/>
            <w:shd w:val="clear" w:color="auto" w:fill="2D53A6"/>
          </w:tcPr>
          <w:p>
            <w:pPr>
              <w:spacing w:after="0"/>
              <w:rPr>
                <w:sz w:val="12"/>
                <w:szCs w:val="12"/>
                <w:color w:val="auto"/>
              </w:rPr>
            </w:pPr>
          </w:p>
        </w:tc>
        <w:tc>
          <w:tcPr>
            <w:tcW w:w="20" w:type="dxa"/>
            <w:vAlign w:val="bottom"/>
            <w:shd w:val="clear" w:color="auto" w:fill="2D53A6"/>
          </w:tcPr>
          <w:p>
            <w:pPr>
              <w:spacing w:after="0"/>
              <w:rPr>
                <w:sz w:val="12"/>
                <w:szCs w:val="12"/>
                <w:color w:val="auto"/>
              </w:rPr>
            </w:pPr>
          </w:p>
        </w:tc>
        <w:tc>
          <w:tcPr>
            <w:tcW w:w="130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common</w:t>
            </w:r>
          </w:p>
        </w:tc>
        <w:tc>
          <w:tcPr>
            <w:tcW w:w="138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stock</w:t>
            </w:r>
          </w:p>
        </w:tc>
        <w:tc>
          <w:tcPr>
            <w:tcW w:w="1320" w:type="dxa"/>
            <w:vAlign w:val="bottom"/>
            <w:tcBorders>
              <w:right w:val="single" w:sz="8" w:color="2D53A6"/>
            </w:tcBorders>
            <w:vMerge w:val="continue"/>
            <w:shd w:val="clear" w:color="auto" w:fill="2D53A6"/>
          </w:tcPr>
          <w:p>
            <w:pPr>
              <w:spacing w:after="0"/>
              <w:rPr>
                <w:sz w:val="12"/>
                <w:szCs w:val="12"/>
                <w:color w:val="auto"/>
              </w:rPr>
            </w:pPr>
          </w:p>
        </w:tc>
        <w:tc>
          <w:tcPr>
            <w:tcW w:w="1380" w:type="dxa"/>
            <w:vAlign w:val="bottom"/>
            <w:tcBorders>
              <w:right w:val="single" w:sz="8" w:color="2D53A6"/>
            </w:tcBorders>
            <w:vMerge w:val="restart"/>
            <w:shd w:val="clear" w:color="auto" w:fill="2D53A6"/>
          </w:tcPr>
          <w:p>
            <w:pPr>
              <w:jc w:val="right"/>
              <w:ind w:right="330"/>
              <w:spacing w:after="0" w:line="202" w:lineRule="exact"/>
              <w:rPr>
                <w:sz w:val="20"/>
                <w:szCs w:val="20"/>
                <w:color w:val="auto"/>
              </w:rPr>
            </w:pPr>
            <w:r>
              <w:rPr>
                <w:rFonts w:ascii="Arial" w:cs="Arial" w:eastAsia="Arial" w:hAnsi="Arial"/>
                <w:sz w:val="18"/>
                <w:szCs w:val="18"/>
                <w:b w:val="1"/>
                <w:bCs w:val="1"/>
                <w:color w:val="FFFFFF"/>
              </w:rPr>
              <w:t>class</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64"/>
        </w:trPr>
        <w:tc>
          <w:tcPr>
            <w:tcW w:w="5840" w:type="dxa"/>
            <w:vAlign w:val="bottom"/>
            <w:tcBorders>
              <w:left w:val="single" w:sz="8" w:color="2D53A6"/>
              <w:right w:val="single" w:sz="8" w:color="2D53A6"/>
            </w:tcBorders>
            <w:shd w:val="clear" w:color="auto" w:fill="2D53A6"/>
          </w:tcPr>
          <w:p>
            <w:pPr>
              <w:spacing w:after="0"/>
              <w:rPr>
                <w:sz w:val="5"/>
                <w:szCs w:val="5"/>
                <w:color w:val="auto"/>
              </w:rPr>
            </w:pPr>
          </w:p>
        </w:tc>
        <w:tc>
          <w:tcPr>
            <w:tcW w:w="20" w:type="dxa"/>
            <w:vAlign w:val="bottom"/>
            <w:shd w:val="clear" w:color="auto" w:fill="2D53A6"/>
          </w:tcPr>
          <w:p>
            <w:pPr>
              <w:spacing w:after="0"/>
              <w:rPr>
                <w:sz w:val="5"/>
                <w:szCs w:val="5"/>
                <w:color w:val="auto"/>
              </w:rPr>
            </w:pPr>
          </w:p>
        </w:tc>
        <w:tc>
          <w:tcPr>
            <w:tcW w:w="1300" w:type="dxa"/>
            <w:vAlign w:val="bottom"/>
            <w:tcBorders>
              <w:right w:val="single" w:sz="8" w:color="2D53A6"/>
            </w:tcBorders>
            <w:vMerge w:val="continue"/>
            <w:shd w:val="clear" w:color="auto" w:fill="2D53A6"/>
          </w:tcPr>
          <w:p>
            <w:pPr>
              <w:spacing w:after="0"/>
              <w:rPr>
                <w:sz w:val="5"/>
                <w:szCs w:val="5"/>
                <w:color w:val="auto"/>
              </w:rPr>
            </w:pPr>
          </w:p>
        </w:tc>
        <w:tc>
          <w:tcPr>
            <w:tcW w:w="1380" w:type="dxa"/>
            <w:vAlign w:val="bottom"/>
            <w:tcBorders>
              <w:right w:val="single" w:sz="8" w:color="2D53A6"/>
            </w:tcBorders>
            <w:vMerge w:val="continue"/>
            <w:shd w:val="clear" w:color="auto" w:fill="2D53A6"/>
          </w:tcPr>
          <w:p>
            <w:pPr>
              <w:spacing w:after="0"/>
              <w:rPr>
                <w:sz w:val="5"/>
                <w:szCs w:val="5"/>
                <w:color w:val="auto"/>
              </w:rPr>
            </w:pPr>
          </w:p>
        </w:tc>
        <w:tc>
          <w:tcPr>
            <w:tcW w:w="1320" w:type="dxa"/>
            <w:vAlign w:val="bottom"/>
            <w:tcBorders>
              <w:right w:val="single" w:sz="8" w:color="2D53A6"/>
            </w:tcBorders>
            <w:shd w:val="clear" w:color="auto" w:fill="2D53A6"/>
          </w:tcPr>
          <w:p>
            <w:pPr>
              <w:spacing w:after="0"/>
              <w:rPr>
                <w:sz w:val="5"/>
                <w:szCs w:val="5"/>
                <w:color w:val="auto"/>
              </w:rPr>
            </w:pPr>
          </w:p>
        </w:tc>
        <w:tc>
          <w:tcPr>
            <w:tcW w:w="1380" w:type="dxa"/>
            <w:vAlign w:val="bottom"/>
            <w:tcBorders>
              <w:right w:val="single" w:sz="8" w:color="2D53A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5840" w:type="dxa"/>
            <w:vAlign w:val="bottom"/>
            <w:tcBorders>
              <w:left w:val="single" w:sz="8" w:color="2D53A6"/>
              <w:bottom w:val="single" w:sz="8" w:color="2D53A6"/>
              <w:right w:val="single" w:sz="8" w:color="2D53A6"/>
            </w:tcBorders>
            <w:shd w:val="clear" w:color="auto" w:fill="2D53A6"/>
          </w:tcPr>
          <w:p>
            <w:pPr>
              <w:spacing w:after="0"/>
              <w:rPr>
                <w:sz w:val="20"/>
                <w:szCs w:val="20"/>
                <w:color w:val="auto"/>
              </w:rPr>
            </w:pPr>
          </w:p>
        </w:tc>
        <w:tc>
          <w:tcPr>
            <w:tcW w:w="20" w:type="dxa"/>
            <w:vAlign w:val="bottom"/>
            <w:tcBorders>
              <w:bottom w:val="single" w:sz="8" w:color="2D53A6"/>
            </w:tcBorders>
            <w:shd w:val="clear" w:color="auto" w:fill="2D53A6"/>
          </w:tcPr>
          <w:p>
            <w:pPr>
              <w:spacing w:after="0"/>
              <w:rPr>
                <w:sz w:val="20"/>
                <w:szCs w:val="20"/>
                <w:color w:val="auto"/>
              </w:rPr>
            </w:pPr>
          </w:p>
        </w:tc>
        <w:tc>
          <w:tcPr>
            <w:tcW w:w="13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7"/>
              </w:rPr>
              <w:t>stock</w:t>
            </w:r>
          </w:p>
        </w:tc>
        <w:tc>
          <w:tcPr>
            <w:tcW w:w="13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rPr>
              <w:t>equivalents</w:t>
            </w:r>
            <w:r>
              <w:rPr>
                <w:rFonts w:ascii="Arial" w:cs="Arial" w:eastAsia="Arial" w:hAnsi="Arial"/>
                <w:sz w:val="14"/>
                <w:szCs w:val="14"/>
                <w:b w:val="1"/>
                <w:bCs w:val="1"/>
                <w:color w:val="FFFFFF"/>
              </w:rPr>
              <w:t>(1)</w:t>
            </w:r>
          </w:p>
        </w:tc>
        <w:tc>
          <w:tcPr>
            <w:tcW w:w="1320" w:type="dxa"/>
            <w:vAlign w:val="bottom"/>
            <w:tcBorders>
              <w:right w:val="single" w:sz="8" w:color="2D53A6"/>
            </w:tcBorders>
            <w:shd w:val="clear" w:color="auto" w:fill="2D53A6"/>
          </w:tcPr>
          <w:p>
            <w:pPr>
              <w:spacing w:after="0"/>
              <w:rPr>
                <w:sz w:val="20"/>
                <w:szCs w:val="20"/>
                <w:color w:val="auto"/>
              </w:rPr>
            </w:pPr>
          </w:p>
        </w:tc>
        <w:tc>
          <w:tcPr>
            <w:tcW w:w="1380" w:type="dxa"/>
            <w:vAlign w:val="bottom"/>
            <w:tcBorders>
              <w:right w:val="single" w:sz="8" w:color="2D53A6"/>
            </w:tcBorders>
            <w:shd w:val="clear" w:color="auto" w:fill="2D53A6"/>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840" w:type="dxa"/>
            <w:vAlign w:val="bottom"/>
            <w:tcBorders>
              <w:left w:val="single" w:sz="8" w:color="2D53A6"/>
              <w:right w:val="single" w:sz="8" w:color="2D53A6"/>
            </w:tcBorders>
          </w:tcPr>
          <w:p>
            <w:pPr>
              <w:ind w:left="20"/>
              <w:spacing w:after="0" w:line="164"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1300" w:type="dxa"/>
            <w:vAlign w:val="bottom"/>
            <w:tcBorders>
              <w:right w:val="single" w:sz="8" w:color="2D53A6"/>
            </w:tcBorders>
          </w:tcPr>
          <w:p>
            <w:pPr>
              <w:jc w:val="right"/>
              <w:ind w:right="30"/>
              <w:spacing w:after="0" w:line="164" w:lineRule="exact"/>
              <w:rPr>
                <w:sz w:val="20"/>
                <w:szCs w:val="20"/>
                <w:color w:val="auto"/>
              </w:rPr>
            </w:pPr>
            <w:r>
              <w:rPr>
                <w:rFonts w:ascii="Arial" w:cs="Arial" w:eastAsia="Arial" w:hAnsi="Arial"/>
                <w:sz w:val="18"/>
                <w:szCs w:val="18"/>
                <w:color w:val="auto"/>
              </w:rPr>
              <w:t>6,848,670</w:t>
            </w:r>
          </w:p>
        </w:tc>
        <w:tc>
          <w:tcPr>
            <w:tcW w:w="1380" w:type="dxa"/>
            <w:vAlign w:val="bottom"/>
            <w:tcBorders>
              <w:right w:val="single" w:sz="8" w:color="2D53A6"/>
            </w:tcBorders>
          </w:tcPr>
          <w:p>
            <w:pPr>
              <w:jc w:val="right"/>
              <w:ind w:right="30"/>
              <w:spacing w:after="0" w:line="164"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2D53A6"/>
            </w:tcBorders>
          </w:tcPr>
          <w:p>
            <w:pPr>
              <w:jc w:val="right"/>
              <w:ind w:right="30"/>
              <w:spacing w:after="0" w:line="164" w:lineRule="exact"/>
              <w:rPr>
                <w:sz w:val="20"/>
                <w:szCs w:val="20"/>
                <w:color w:val="auto"/>
              </w:rPr>
            </w:pPr>
            <w:r>
              <w:rPr>
                <w:rFonts w:ascii="Arial" w:cs="Arial" w:eastAsia="Arial" w:hAnsi="Arial"/>
                <w:sz w:val="18"/>
                <w:szCs w:val="18"/>
                <w:color w:val="auto"/>
              </w:rPr>
              <w:t>6,848,670</w:t>
            </w:r>
          </w:p>
        </w:tc>
        <w:tc>
          <w:tcPr>
            <w:tcW w:w="1380" w:type="dxa"/>
            <w:vAlign w:val="bottom"/>
            <w:tcBorders>
              <w:right w:val="single" w:sz="8" w:color="2D53A6"/>
            </w:tcBorders>
          </w:tcPr>
          <w:p>
            <w:pPr>
              <w:jc w:val="right"/>
              <w:spacing w:after="0" w:line="164" w:lineRule="exact"/>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1"/>
        </w:trPr>
        <w:tc>
          <w:tcPr>
            <w:tcW w:w="584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8"/>
                <w:szCs w:val="18"/>
                <w:color w:val="auto"/>
              </w:rPr>
              <w:t>55 East 52nd Street, New York, NY 10055</w:t>
            </w:r>
          </w:p>
        </w:tc>
        <w:tc>
          <w:tcPr>
            <w:tcW w:w="20" w:type="dxa"/>
            <w:vAlign w:val="bottom"/>
            <w:tcBorders>
              <w:bottom w:val="single" w:sz="8" w:color="2D53A6"/>
            </w:tcBorders>
          </w:tcPr>
          <w:p>
            <w:pPr>
              <w:spacing w:after="0"/>
              <w:rPr>
                <w:sz w:val="19"/>
                <w:szCs w:val="19"/>
                <w:color w:val="auto"/>
              </w:rPr>
            </w:pPr>
          </w:p>
        </w:tc>
        <w:tc>
          <w:tcPr>
            <w:tcW w:w="1300" w:type="dxa"/>
            <w:vAlign w:val="bottom"/>
            <w:tcBorders>
              <w:bottom w:val="single" w:sz="8" w:color="2D53A6"/>
              <w:right w:val="single" w:sz="8" w:color="2D53A6"/>
            </w:tcBorders>
          </w:tcPr>
          <w:p>
            <w:pPr>
              <w:spacing w:after="0"/>
              <w:rPr>
                <w:sz w:val="19"/>
                <w:szCs w:val="19"/>
                <w:color w:val="auto"/>
              </w:rPr>
            </w:pPr>
          </w:p>
        </w:tc>
        <w:tc>
          <w:tcPr>
            <w:tcW w:w="1380" w:type="dxa"/>
            <w:vAlign w:val="bottom"/>
            <w:tcBorders>
              <w:bottom w:val="single" w:sz="8" w:color="2D53A6"/>
              <w:right w:val="single" w:sz="8" w:color="2D53A6"/>
            </w:tcBorders>
          </w:tcPr>
          <w:p>
            <w:pPr>
              <w:spacing w:after="0"/>
              <w:rPr>
                <w:sz w:val="19"/>
                <w:szCs w:val="19"/>
                <w:color w:val="auto"/>
              </w:rPr>
            </w:pPr>
          </w:p>
        </w:tc>
        <w:tc>
          <w:tcPr>
            <w:tcW w:w="1320" w:type="dxa"/>
            <w:vAlign w:val="bottom"/>
            <w:tcBorders>
              <w:bottom w:val="single" w:sz="8" w:color="2D53A6"/>
              <w:right w:val="single" w:sz="8" w:color="2D53A6"/>
            </w:tcBorders>
          </w:tcPr>
          <w:p>
            <w:pPr>
              <w:spacing w:after="0"/>
              <w:rPr>
                <w:sz w:val="19"/>
                <w:szCs w:val="19"/>
                <w:color w:val="auto"/>
              </w:rPr>
            </w:pPr>
          </w:p>
        </w:tc>
        <w:tc>
          <w:tcPr>
            <w:tcW w:w="1380" w:type="dxa"/>
            <w:vAlign w:val="bottom"/>
            <w:tcBorders>
              <w:bottom w:val="single" w:sz="8" w:color="2D53A6"/>
              <w:right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840" w:type="dxa"/>
            <w:vAlign w:val="bottom"/>
            <w:tcBorders>
              <w:left w:val="single" w:sz="8" w:color="2D53A6"/>
              <w:right w:val="single" w:sz="8" w:color="2D53A6"/>
            </w:tcBorders>
            <w:shd w:val="clear" w:color="auto" w:fill="E6E6E6"/>
          </w:tcPr>
          <w:p>
            <w:pPr>
              <w:ind w:left="20"/>
              <w:spacing w:after="0" w:line="177" w:lineRule="exact"/>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4"/>
                <w:szCs w:val="14"/>
                <w:color w:val="auto"/>
              </w:rPr>
              <w:t>(4)</w:t>
            </w:r>
          </w:p>
        </w:tc>
        <w:tc>
          <w:tcPr>
            <w:tcW w:w="1320" w:type="dxa"/>
            <w:vAlign w:val="bottom"/>
            <w:tcBorders>
              <w:right w:val="single" w:sz="8" w:color="2D53A6"/>
            </w:tcBorders>
            <w:gridSpan w:val="2"/>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4,165,622</w:t>
            </w:r>
          </w:p>
        </w:tc>
        <w:tc>
          <w:tcPr>
            <w:tcW w:w="1380" w:type="dxa"/>
            <w:vAlign w:val="bottom"/>
            <w:tcBorders>
              <w:right w:val="single" w:sz="8" w:color="2D53A6"/>
            </w:tcBorders>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2D53A6"/>
            </w:tcBorders>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4,165,622</w:t>
            </w:r>
          </w:p>
        </w:tc>
        <w:tc>
          <w:tcPr>
            <w:tcW w:w="1380" w:type="dxa"/>
            <w:vAlign w:val="bottom"/>
            <w:tcBorders>
              <w:right w:val="single" w:sz="8" w:color="2D53A6"/>
            </w:tcBorders>
            <w:shd w:val="clear" w:color="auto" w:fill="E6E6E6"/>
          </w:tcPr>
          <w:p>
            <w:pPr>
              <w:jc w:val="right"/>
              <w:spacing w:after="0" w:line="177" w:lineRule="exact"/>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1"/>
        </w:trPr>
        <w:tc>
          <w:tcPr>
            <w:tcW w:w="584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100 Vanguard Blvd. Malvern, PA 19355</w:t>
            </w:r>
          </w:p>
        </w:tc>
        <w:tc>
          <w:tcPr>
            <w:tcW w:w="20" w:type="dxa"/>
            <w:vAlign w:val="bottom"/>
            <w:tcBorders>
              <w:bottom w:val="single" w:sz="8" w:color="2D53A6"/>
            </w:tcBorders>
            <w:shd w:val="clear" w:color="auto" w:fill="E6E6E6"/>
          </w:tcPr>
          <w:p>
            <w:pPr>
              <w:spacing w:after="0"/>
              <w:rPr>
                <w:sz w:val="19"/>
                <w:szCs w:val="19"/>
                <w:color w:val="auto"/>
              </w:rPr>
            </w:pPr>
          </w:p>
        </w:tc>
        <w:tc>
          <w:tcPr>
            <w:tcW w:w="1300" w:type="dxa"/>
            <w:vAlign w:val="bottom"/>
            <w:tcBorders>
              <w:bottom w:val="single" w:sz="8" w:color="2D53A6"/>
              <w:right w:val="single" w:sz="8" w:color="2D53A6"/>
            </w:tcBorders>
            <w:shd w:val="clear" w:color="auto" w:fill="E6E6E6"/>
          </w:tcPr>
          <w:p>
            <w:pPr>
              <w:spacing w:after="0"/>
              <w:rPr>
                <w:sz w:val="19"/>
                <w:szCs w:val="19"/>
                <w:color w:val="auto"/>
              </w:rPr>
            </w:pPr>
          </w:p>
        </w:tc>
        <w:tc>
          <w:tcPr>
            <w:tcW w:w="1380" w:type="dxa"/>
            <w:vAlign w:val="bottom"/>
            <w:tcBorders>
              <w:bottom w:val="single" w:sz="8" w:color="2D53A6"/>
              <w:right w:val="single" w:sz="8" w:color="2D53A6"/>
            </w:tcBorders>
            <w:shd w:val="clear" w:color="auto" w:fill="E6E6E6"/>
          </w:tcPr>
          <w:p>
            <w:pPr>
              <w:spacing w:after="0"/>
              <w:rPr>
                <w:sz w:val="19"/>
                <w:szCs w:val="19"/>
                <w:color w:val="auto"/>
              </w:rPr>
            </w:pPr>
          </w:p>
        </w:tc>
        <w:tc>
          <w:tcPr>
            <w:tcW w:w="1320" w:type="dxa"/>
            <w:vAlign w:val="bottom"/>
            <w:tcBorders>
              <w:bottom w:val="single" w:sz="8" w:color="2D53A6"/>
              <w:right w:val="single" w:sz="8" w:color="2D53A6"/>
            </w:tcBorders>
            <w:shd w:val="clear" w:color="auto" w:fill="E6E6E6"/>
          </w:tcPr>
          <w:p>
            <w:pPr>
              <w:spacing w:after="0"/>
              <w:rPr>
                <w:sz w:val="19"/>
                <w:szCs w:val="19"/>
                <w:color w:val="auto"/>
              </w:rPr>
            </w:pPr>
          </w:p>
        </w:tc>
        <w:tc>
          <w:tcPr>
            <w:tcW w:w="1380" w:type="dxa"/>
            <w:vAlign w:val="bottom"/>
            <w:tcBorders>
              <w:bottom w:val="single" w:sz="8" w:color="2D53A6"/>
              <w:right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840" w:type="dxa"/>
            <w:vAlign w:val="bottom"/>
            <w:tcBorders>
              <w:left w:val="single" w:sz="8" w:color="2D53A6"/>
              <w:right w:val="single" w:sz="8" w:color="2D53A6"/>
            </w:tcBorders>
          </w:tcPr>
          <w:p>
            <w:pPr>
              <w:ind w:left="20"/>
              <w:spacing w:after="0" w:line="177" w:lineRule="exact"/>
              <w:rPr>
                <w:sz w:val="20"/>
                <w:szCs w:val="20"/>
                <w:color w:val="auto"/>
              </w:rPr>
            </w:pPr>
            <w:r>
              <w:rPr>
                <w:rFonts w:ascii="Arial" w:cs="Arial" w:eastAsia="Arial" w:hAnsi="Arial"/>
                <w:sz w:val="18"/>
                <w:szCs w:val="18"/>
                <w:color w:val="auto"/>
              </w:rPr>
              <w:t xml:space="preserve">Victory Capital Management Inc. </w:t>
            </w:r>
            <w:r>
              <w:rPr>
                <w:rFonts w:ascii="Arial" w:cs="Arial" w:eastAsia="Arial" w:hAnsi="Arial"/>
                <w:sz w:val="14"/>
                <w:szCs w:val="14"/>
                <w:color w:val="auto"/>
              </w:rPr>
              <w:t>(5)</w:t>
            </w:r>
          </w:p>
        </w:tc>
        <w:tc>
          <w:tcPr>
            <w:tcW w:w="1320" w:type="dxa"/>
            <w:vAlign w:val="bottom"/>
            <w:tcBorders>
              <w:right w:val="single" w:sz="8" w:color="2D53A6"/>
            </w:tcBorders>
            <w:gridSpan w:val="2"/>
          </w:tcPr>
          <w:p>
            <w:pPr>
              <w:jc w:val="right"/>
              <w:ind w:right="30"/>
              <w:spacing w:after="0" w:line="177" w:lineRule="exact"/>
              <w:rPr>
                <w:sz w:val="20"/>
                <w:szCs w:val="20"/>
                <w:color w:val="auto"/>
              </w:rPr>
            </w:pPr>
            <w:r>
              <w:rPr>
                <w:rFonts w:ascii="Arial" w:cs="Arial" w:eastAsia="Arial" w:hAnsi="Arial"/>
                <w:sz w:val="18"/>
                <w:szCs w:val="18"/>
                <w:color w:val="auto"/>
              </w:rPr>
              <w:t>2,941,074</w:t>
            </w:r>
          </w:p>
        </w:tc>
        <w:tc>
          <w:tcPr>
            <w:tcW w:w="1380" w:type="dxa"/>
            <w:vAlign w:val="bottom"/>
            <w:tcBorders>
              <w:right w:val="single" w:sz="8" w:color="2D53A6"/>
            </w:tcBorders>
          </w:tcPr>
          <w:p>
            <w:pPr>
              <w:jc w:val="right"/>
              <w:ind w:right="30"/>
              <w:spacing w:after="0" w:line="177"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2D53A6"/>
            </w:tcBorders>
          </w:tcPr>
          <w:p>
            <w:pPr>
              <w:jc w:val="right"/>
              <w:ind w:right="30"/>
              <w:spacing w:after="0" w:line="177" w:lineRule="exact"/>
              <w:rPr>
                <w:sz w:val="20"/>
                <w:szCs w:val="20"/>
                <w:color w:val="auto"/>
              </w:rPr>
            </w:pPr>
            <w:r>
              <w:rPr>
                <w:rFonts w:ascii="Arial" w:cs="Arial" w:eastAsia="Arial" w:hAnsi="Arial"/>
                <w:sz w:val="18"/>
                <w:szCs w:val="18"/>
                <w:color w:val="auto"/>
              </w:rPr>
              <w:t>2,941,074</w:t>
            </w:r>
          </w:p>
        </w:tc>
        <w:tc>
          <w:tcPr>
            <w:tcW w:w="1380" w:type="dxa"/>
            <w:vAlign w:val="bottom"/>
            <w:tcBorders>
              <w:right w:val="single" w:sz="8" w:color="2D53A6"/>
            </w:tcBorders>
          </w:tcPr>
          <w:p>
            <w:pPr>
              <w:jc w:val="right"/>
              <w:spacing w:after="0" w:line="177" w:lineRule="exact"/>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1"/>
        </w:trPr>
        <w:tc>
          <w:tcPr>
            <w:tcW w:w="584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8"/>
                <w:szCs w:val="18"/>
                <w:color w:val="auto"/>
              </w:rPr>
              <w:t>4900 Tiedeman Rd. 4th Floor Brooklyn, OH 44144</w:t>
            </w:r>
          </w:p>
        </w:tc>
        <w:tc>
          <w:tcPr>
            <w:tcW w:w="20" w:type="dxa"/>
            <w:vAlign w:val="bottom"/>
            <w:tcBorders>
              <w:bottom w:val="single" w:sz="8" w:color="2D53A6"/>
            </w:tcBorders>
          </w:tcPr>
          <w:p>
            <w:pPr>
              <w:spacing w:after="0"/>
              <w:rPr>
                <w:sz w:val="19"/>
                <w:szCs w:val="19"/>
                <w:color w:val="auto"/>
              </w:rPr>
            </w:pPr>
          </w:p>
        </w:tc>
        <w:tc>
          <w:tcPr>
            <w:tcW w:w="1300" w:type="dxa"/>
            <w:vAlign w:val="bottom"/>
            <w:tcBorders>
              <w:bottom w:val="single" w:sz="8" w:color="2D53A6"/>
              <w:right w:val="single" w:sz="8" w:color="2D53A6"/>
            </w:tcBorders>
          </w:tcPr>
          <w:p>
            <w:pPr>
              <w:spacing w:after="0"/>
              <w:rPr>
                <w:sz w:val="19"/>
                <w:szCs w:val="19"/>
                <w:color w:val="auto"/>
              </w:rPr>
            </w:pPr>
          </w:p>
        </w:tc>
        <w:tc>
          <w:tcPr>
            <w:tcW w:w="1380" w:type="dxa"/>
            <w:vAlign w:val="bottom"/>
            <w:tcBorders>
              <w:bottom w:val="single" w:sz="8" w:color="2D53A6"/>
              <w:right w:val="single" w:sz="8" w:color="2D53A6"/>
            </w:tcBorders>
          </w:tcPr>
          <w:p>
            <w:pPr>
              <w:spacing w:after="0"/>
              <w:rPr>
                <w:sz w:val="19"/>
                <w:szCs w:val="19"/>
                <w:color w:val="auto"/>
              </w:rPr>
            </w:pPr>
          </w:p>
        </w:tc>
        <w:tc>
          <w:tcPr>
            <w:tcW w:w="1320" w:type="dxa"/>
            <w:vAlign w:val="bottom"/>
            <w:tcBorders>
              <w:bottom w:val="single" w:sz="8" w:color="2D53A6"/>
              <w:right w:val="single" w:sz="8" w:color="2D53A6"/>
            </w:tcBorders>
          </w:tcPr>
          <w:p>
            <w:pPr>
              <w:spacing w:after="0"/>
              <w:rPr>
                <w:sz w:val="19"/>
                <w:szCs w:val="19"/>
                <w:color w:val="auto"/>
              </w:rPr>
            </w:pPr>
          </w:p>
        </w:tc>
        <w:tc>
          <w:tcPr>
            <w:tcW w:w="1380" w:type="dxa"/>
            <w:vAlign w:val="bottom"/>
            <w:tcBorders>
              <w:bottom w:val="single" w:sz="8" w:color="2D53A6"/>
              <w:right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840" w:type="dxa"/>
            <w:vAlign w:val="bottom"/>
            <w:tcBorders>
              <w:left w:val="single" w:sz="8" w:color="2D53A6"/>
              <w:right w:val="single" w:sz="8" w:color="2D53A6"/>
            </w:tcBorders>
            <w:shd w:val="clear" w:color="auto" w:fill="E6E6E6"/>
          </w:tcPr>
          <w:p>
            <w:pPr>
              <w:ind w:left="20"/>
              <w:spacing w:after="0" w:line="177" w:lineRule="exact"/>
              <w:rPr>
                <w:sz w:val="20"/>
                <w:szCs w:val="20"/>
                <w:color w:val="auto"/>
              </w:rPr>
            </w:pPr>
            <w:r>
              <w:rPr>
                <w:rFonts w:ascii="Arial" w:cs="Arial" w:eastAsia="Arial" w:hAnsi="Arial"/>
                <w:sz w:val="18"/>
                <w:szCs w:val="18"/>
                <w:color w:val="auto"/>
              </w:rPr>
              <w:t xml:space="preserve">Thrivent Financial for Lutherans </w:t>
            </w:r>
            <w:r>
              <w:rPr>
                <w:rFonts w:ascii="Arial" w:cs="Arial" w:eastAsia="Arial" w:hAnsi="Arial"/>
                <w:sz w:val="14"/>
                <w:szCs w:val="14"/>
                <w:color w:val="auto"/>
              </w:rPr>
              <w:t>(6)</w:t>
            </w:r>
          </w:p>
        </w:tc>
        <w:tc>
          <w:tcPr>
            <w:tcW w:w="1320" w:type="dxa"/>
            <w:vAlign w:val="bottom"/>
            <w:tcBorders>
              <w:right w:val="single" w:sz="8" w:color="2D53A6"/>
            </w:tcBorders>
            <w:gridSpan w:val="2"/>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2,615,235</w:t>
            </w:r>
          </w:p>
        </w:tc>
        <w:tc>
          <w:tcPr>
            <w:tcW w:w="1380" w:type="dxa"/>
            <w:vAlign w:val="bottom"/>
            <w:tcBorders>
              <w:right w:val="single" w:sz="8" w:color="2D53A6"/>
            </w:tcBorders>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2D53A6"/>
            </w:tcBorders>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2,615,235</w:t>
            </w:r>
          </w:p>
        </w:tc>
        <w:tc>
          <w:tcPr>
            <w:tcW w:w="1380" w:type="dxa"/>
            <w:vAlign w:val="bottom"/>
            <w:tcBorders>
              <w:right w:val="single" w:sz="8" w:color="2D53A6"/>
            </w:tcBorders>
            <w:shd w:val="clear" w:color="auto" w:fill="E6E6E6"/>
          </w:tcPr>
          <w:p>
            <w:pPr>
              <w:jc w:val="right"/>
              <w:spacing w:after="0" w:line="177" w:lineRule="exact"/>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1"/>
        </w:trPr>
        <w:tc>
          <w:tcPr>
            <w:tcW w:w="584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901 Marquette Avenue, Suite 2500 Minneapolis, MN 55402</w:t>
            </w:r>
          </w:p>
        </w:tc>
        <w:tc>
          <w:tcPr>
            <w:tcW w:w="20" w:type="dxa"/>
            <w:vAlign w:val="bottom"/>
            <w:tcBorders>
              <w:bottom w:val="single" w:sz="8" w:color="2D53A6"/>
            </w:tcBorders>
            <w:shd w:val="clear" w:color="auto" w:fill="E6E6E6"/>
          </w:tcPr>
          <w:p>
            <w:pPr>
              <w:spacing w:after="0"/>
              <w:rPr>
                <w:sz w:val="19"/>
                <w:szCs w:val="19"/>
                <w:color w:val="auto"/>
              </w:rPr>
            </w:pPr>
          </w:p>
        </w:tc>
        <w:tc>
          <w:tcPr>
            <w:tcW w:w="1300" w:type="dxa"/>
            <w:vAlign w:val="bottom"/>
            <w:tcBorders>
              <w:bottom w:val="single" w:sz="8" w:color="2D53A6"/>
              <w:right w:val="single" w:sz="8" w:color="2D53A6"/>
            </w:tcBorders>
            <w:shd w:val="clear" w:color="auto" w:fill="E6E6E6"/>
          </w:tcPr>
          <w:p>
            <w:pPr>
              <w:spacing w:after="0"/>
              <w:rPr>
                <w:sz w:val="19"/>
                <w:szCs w:val="19"/>
                <w:color w:val="auto"/>
              </w:rPr>
            </w:pPr>
          </w:p>
        </w:tc>
        <w:tc>
          <w:tcPr>
            <w:tcW w:w="1380" w:type="dxa"/>
            <w:vAlign w:val="bottom"/>
            <w:tcBorders>
              <w:bottom w:val="single" w:sz="8" w:color="2D53A6"/>
              <w:right w:val="single" w:sz="8" w:color="2D53A6"/>
            </w:tcBorders>
            <w:shd w:val="clear" w:color="auto" w:fill="E6E6E6"/>
          </w:tcPr>
          <w:p>
            <w:pPr>
              <w:spacing w:after="0"/>
              <w:rPr>
                <w:sz w:val="19"/>
                <w:szCs w:val="19"/>
                <w:color w:val="auto"/>
              </w:rPr>
            </w:pPr>
          </w:p>
        </w:tc>
        <w:tc>
          <w:tcPr>
            <w:tcW w:w="1320" w:type="dxa"/>
            <w:vAlign w:val="bottom"/>
            <w:tcBorders>
              <w:bottom w:val="single" w:sz="8" w:color="2D53A6"/>
              <w:right w:val="single" w:sz="8" w:color="2D53A6"/>
            </w:tcBorders>
            <w:shd w:val="clear" w:color="auto" w:fill="E6E6E6"/>
          </w:tcPr>
          <w:p>
            <w:pPr>
              <w:spacing w:after="0"/>
              <w:rPr>
                <w:sz w:val="19"/>
                <w:szCs w:val="19"/>
                <w:color w:val="auto"/>
              </w:rPr>
            </w:pPr>
          </w:p>
        </w:tc>
        <w:tc>
          <w:tcPr>
            <w:tcW w:w="1380" w:type="dxa"/>
            <w:vAlign w:val="bottom"/>
            <w:tcBorders>
              <w:bottom w:val="single" w:sz="8" w:color="2D53A6"/>
              <w:right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William E. Bendush</w:t>
            </w:r>
          </w:p>
        </w:tc>
        <w:tc>
          <w:tcPr>
            <w:tcW w:w="1320" w:type="dxa"/>
            <w:vAlign w:val="bottom"/>
            <w:tcBorders>
              <w:bottom w:val="single" w:sz="8" w:color="2D53A6"/>
              <w:right w:val="single" w:sz="8" w:color="2D53A6"/>
            </w:tcBorders>
            <w:gridSpan w:val="2"/>
          </w:tcPr>
          <w:p>
            <w:pPr>
              <w:jc w:val="right"/>
              <w:ind w:right="30"/>
              <w:spacing w:after="0" w:line="196" w:lineRule="exact"/>
              <w:rPr>
                <w:sz w:val="20"/>
                <w:szCs w:val="20"/>
                <w:color w:val="auto"/>
              </w:rPr>
            </w:pPr>
            <w:r>
              <w:rPr>
                <w:rFonts w:ascii="Arial" w:cs="Arial" w:eastAsia="Arial" w:hAnsi="Arial"/>
                <w:sz w:val="18"/>
                <w:szCs w:val="18"/>
                <w:color w:val="auto"/>
              </w:rPr>
              <w:t>32,280</w:t>
            </w:r>
          </w:p>
        </w:tc>
        <w:tc>
          <w:tcPr>
            <w:tcW w:w="13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10,257</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42,537</w:t>
            </w:r>
          </w:p>
        </w:tc>
        <w:tc>
          <w:tcPr>
            <w:tcW w:w="1380" w:type="dxa"/>
            <w:vAlign w:val="bottom"/>
            <w:tcBorders>
              <w:bottom w:val="single" w:sz="8" w:color="2D53A6"/>
              <w:right w:val="single" w:sz="8" w:color="2D53A6"/>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 xml:space="preserve">Steven J. Bilodeau </w:t>
            </w:r>
            <w:r>
              <w:rPr>
                <w:rFonts w:ascii="Arial" w:cs="Arial" w:eastAsia="Arial" w:hAnsi="Arial"/>
                <w:sz w:val="14"/>
                <w:szCs w:val="14"/>
                <w:color w:val="auto"/>
              </w:rPr>
              <w:t>(7)</w:t>
            </w:r>
          </w:p>
        </w:tc>
        <w:tc>
          <w:tcPr>
            <w:tcW w:w="1320" w:type="dxa"/>
            <w:vAlign w:val="bottom"/>
            <w:tcBorders>
              <w:bottom w:val="single" w:sz="8" w:color="2D53A6"/>
              <w:right w:val="single" w:sz="8" w:color="2D53A6"/>
            </w:tcBorders>
            <w:gridSpan w:val="2"/>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48,694</w:t>
            </w:r>
          </w:p>
        </w:tc>
        <w:tc>
          <w:tcPr>
            <w:tcW w:w="13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10,257</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58,951</w:t>
            </w:r>
          </w:p>
        </w:tc>
        <w:tc>
          <w:tcPr>
            <w:tcW w:w="1380" w:type="dxa"/>
            <w:vAlign w:val="bottom"/>
            <w:tcBorders>
              <w:bottom w:val="single" w:sz="8" w:color="2D53A6"/>
              <w:right w:val="single" w:sz="8" w:color="2D53A6"/>
            </w:tcBorders>
            <w:shd w:val="clear" w:color="auto" w:fill="E6E6E6"/>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Christopher G. Bohrson</w:t>
            </w:r>
          </w:p>
        </w:tc>
        <w:tc>
          <w:tcPr>
            <w:tcW w:w="1320" w:type="dxa"/>
            <w:vAlign w:val="bottom"/>
            <w:tcBorders>
              <w:bottom w:val="single" w:sz="8" w:color="2D53A6"/>
              <w:right w:val="single" w:sz="8" w:color="2D53A6"/>
            </w:tcBorders>
            <w:gridSpan w:val="2"/>
          </w:tcPr>
          <w:p>
            <w:pPr>
              <w:jc w:val="right"/>
              <w:ind w:right="30"/>
              <w:spacing w:after="0" w:line="196" w:lineRule="exact"/>
              <w:rPr>
                <w:sz w:val="20"/>
                <w:szCs w:val="20"/>
                <w:color w:val="auto"/>
              </w:rPr>
            </w:pPr>
            <w:r>
              <w:rPr>
                <w:rFonts w:ascii="Arial" w:cs="Arial" w:eastAsia="Arial" w:hAnsi="Arial"/>
                <w:sz w:val="18"/>
                <w:szCs w:val="18"/>
                <w:color w:val="auto"/>
              </w:rPr>
              <w:t>66,637</w:t>
            </w:r>
          </w:p>
        </w:tc>
        <w:tc>
          <w:tcPr>
            <w:tcW w:w="13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66,637</w:t>
            </w:r>
          </w:p>
        </w:tc>
        <w:tc>
          <w:tcPr>
            <w:tcW w:w="1380" w:type="dxa"/>
            <w:vAlign w:val="bottom"/>
            <w:tcBorders>
              <w:bottom w:val="single" w:sz="8" w:color="2D53A6"/>
              <w:right w:val="single" w:sz="8" w:color="2D53A6"/>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 xml:space="preserve">Andrew M. Caggia </w:t>
            </w:r>
            <w:r>
              <w:rPr>
                <w:rFonts w:ascii="Arial" w:cs="Arial" w:eastAsia="Arial" w:hAnsi="Arial"/>
                <w:sz w:val="14"/>
                <w:szCs w:val="14"/>
                <w:color w:val="auto"/>
              </w:rPr>
              <w:t>(8)</w:t>
            </w:r>
          </w:p>
        </w:tc>
        <w:tc>
          <w:tcPr>
            <w:tcW w:w="1320" w:type="dxa"/>
            <w:vAlign w:val="bottom"/>
            <w:tcBorders>
              <w:bottom w:val="single" w:sz="8" w:color="2D53A6"/>
              <w:right w:val="single" w:sz="8" w:color="2D53A6"/>
            </w:tcBorders>
            <w:gridSpan w:val="2"/>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65,307</w:t>
            </w:r>
          </w:p>
        </w:tc>
        <w:tc>
          <w:tcPr>
            <w:tcW w:w="13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10,257</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75,564</w:t>
            </w:r>
          </w:p>
        </w:tc>
        <w:tc>
          <w:tcPr>
            <w:tcW w:w="1380" w:type="dxa"/>
            <w:vAlign w:val="bottom"/>
            <w:tcBorders>
              <w:bottom w:val="single" w:sz="8" w:color="2D53A6"/>
              <w:right w:val="single" w:sz="8" w:color="2D53A6"/>
            </w:tcBorders>
            <w:shd w:val="clear" w:color="auto" w:fill="E6E6E6"/>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James A. Donahue</w:t>
            </w:r>
          </w:p>
        </w:tc>
        <w:tc>
          <w:tcPr>
            <w:tcW w:w="1320" w:type="dxa"/>
            <w:vAlign w:val="bottom"/>
            <w:tcBorders>
              <w:bottom w:val="single" w:sz="8" w:color="2D53A6"/>
              <w:right w:val="single" w:sz="8" w:color="2D53A6"/>
            </w:tcBorders>
            <w:gridSpan w:val="2"/>
          </w:tcPr>
          <w:p>
            <w:pPr>
              <w:jc w:val="right"/>
              <w:ind w:right="30"/>
              <w:spacing w:after="0" w:line="196" w:lineRule="exact"/>
              <w:rPr>
                <w:sz w:val="20"/>
                <w:szCs w:val="20"/>
                <w:color w:val="auto"/>
              </w:rPr>
            </w:pPr>
            <w:r>
              <w:rPr>
                <w:rFonts w:ascii="Arial" w:cs="Arial" w:eastAsia="Arial" w:hAnsi="Arial"/>
                <w:sz w:val="18"/>
                <w:szCs w:val="18"/>
                <w:color w:val="auto"/>
              </w:rPr>
              <w:t>385,413</w:t>
            </w:r>
          </w:p>
        </w:tc>
        <w:tc>
          <w:tcPr>
            <w:tcW w:w="13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10,257</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395,670</w:t>
            </w:r>
          </w:p>
        </w:tc>
        <w:tc>
          <w:tcPr>
            <w:tcW w:w="1380" w:type="dxa"/>
            <w:vAlign w:val="bottom"/>
            <w:tcBorders>
              <w:bottom w:val="single" w:sz="8" w:color="2D53A6"/>
              <w:right w:val="single" w:sz="8" w:color="2D53A6"/>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Klaus Ilgenfritz</w:t>
            </w:r>
          </w:p>
        </w:tc>
        <w:tc>
          <w:tcPr>
            <w:tcW w:w="1320" w:type="dxa"/>
            <w:vAlign w:val="bottom"/>
            <w:tcBorders>
              <w:bottom w:val="single" w:sz="8" w:color="2D53A6"/>
              <w:right w:val="single" w:sz="8" w:color="2D53A6"/>
            </w:tcBorders>
            <w:gridSpan w:val="2"/>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19,079</w:t>
            </w:r>
          </w:p>
        </w:tc>
        <w:tc>
          <w:tcPr>
            <w:tcW w:w="13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19,079</w:t>
            </w:r>
          </w:p>
        </w:tc>
        <w:tc>
          <w:tcPr>
            <w:tcW w:w="1380" w:type="dxa"/>
            <w:vAlign w:val="bottom"/>
            <w:tcBorders>
              <w:bottom w:val="single" w:sz="8" w:color="2D53A6"/>
              <w:right w:val="single" w:sz="8" w:color="2D53A6"/>
            </w:tcBorders>
            <w:shd w:val="clear" w:color="auto" w:fill="E6E6E6"/>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Yon Y. Jorden</w:t>
            </w:r>
          </w:p>
        </w:tc>
        <w:tc>
          <w:tcPr>
            <w:tcW w:w="1320" w:type="dxa"/>
            <w:vAlign w:val="bottom"/>
            <w:tcBorders>
              <w:bottom w:val="single" w:sz="8" w:color="2D53A6"/>
              <w:right w:val="single" w:sz="8" w:color="2D53A6"/>
            </w:tcBorders>
            <w:gridSpan w:val="2"/>
          </w:tcPr>
          <w:p>
            <w:pPr>
              <w:jc w:val="right"/>
              <w:ind w:right="30"/>
              <w:spacing w:after="0" w:line="196" w:lineRule="exact"/>
              <w:rPr>
                <w:sz w:val="20"/>
                <w:szCs w:val="20"/>
                <w:color w:val="auto"/>
              </w:rPr>
            </w:pPr>
            <w:r>
              <w:rPr>
                <w:rFonts w:ascii="Arial" w:cs="Arial" w:eastAsia="Arial" w:hAnsi="Arial"/>
                <w:sz w:val="18"/>
                <w:szCs w:val="18"/>
                <w:color w:val="auto"/>
              </w:rPr>
              <w:t>21,391</w:t>
            </w:r>
          </w:p>
        </w:tc>
        <w:tc>
          <w:tcPr>
            <w:tcW w:w="13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10,257</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31,648</w:t>
            </w:r>
          </w:p>
        </w:tc>
        <w:tc>
          <w:tcPr>
            <w:tcW w:w="1380" w:type="dxa"/>
            <w:vAlign w:val="bottom"/>
            <w:tcBorders>
              <w:bottom w:val="single" w:sz="8" w:color="2D53A6"/>
              <w:right w:val="single" w:sz="8" w:color="2D53A6"/>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Jeffrey D. Jones</w:t>
            </w:r>
          </w:p>
        </w:tc>
        <w:tc>
          <w:tcPr>
            <w:tcW w:w="1320" w:type="dxa"/>
            <w:vAlign w:val="bottom"/>
            <w:tcBorders>
              <w:bottom w:val="single" w:sz="8" w:color="2D53A6"/>
              <w:right w:val="single" w:sz="8" w:color="2D53A6"/>
            </w:tcBorders>
            <w:gridSpan w:val="2"/>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203,590</w:t>
            </w:r>
          </w:p>
        </w:tc>
        <w:tc>
          <w:tcPr>
            <w:tcW w:w="13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203,590</w:t>
            </w:r>
          </w:p>
        </w:tc>
        <w:tc>
          <w:tcPr>
            <w:tcW w:w="1380" w:type="dxa"/>
            <w:vAlign w:val="bottom"/>
            <w:tcBorders>
              <w:bottom w:val="single" w:sz="8" w:color="2D53A6"/>
              <w:right w:val="single" w:sz="8" w:color="2D53A6"/>
            </w:tcBorders>
            <w:shd w:val="clear" w:color="auto" w:fill="E6E6E6"/>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Andreas W. Mattes</w:t>
            </w:r>
          </w:p>
        </w:tc>
        <w:tc>
          <w:tcPr>
            <w:tcW w:w="1320" w:type="dxa"/>
            <w:vAlign w:val="bottom"/>
            <w:tcBorders>
              <w:bottom w:val="single" w:sz="8" w:color="2D53A6"/>
              <w:right w:val="single" w:sz="8" w:color="2D53A6"/>
            </w:tcBorders>
            <w:gridSpan w:val="2"/>
          </w:tcPr>
          <w:p>
            <w:pPr>
              <w:jc w:val="right"/>
              <w:ind w:right="30"/>
              <w:spacing w:after="0" w:line="196" w:lineRule="exact"/>
              <w:rPr>
                <w:sz w:val="20"/>
                <w:szCs w:val="20"/>
                <w:color w:val="auto"/>
              </w:rPr>
            </w:pPr>
            <w:r>
              <w:rPr>
                <w:rFonts w:ascii="Arial" w:cs="Arial" w:eastAsia="Arial" w:hAnsi="Arial"/>
                <w:sz w:val="18"/>
                <w:szCs w:val="18"/>
                <w:color w:val="auto"/>
              </w:rPr>
              <w:t>11,979</w:t>
            </w:r>
          </w:p>
        </w:tc>
        <w:tc>
          <w:tcPr>
            <w:tcW w:w="13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10,257</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22,236</w:t>
            </w:r>
          </w:p>
        </w:tc>
        <w:tc>
          <w:tcPr>
            <w:tcW w:w="1380" w:type="dxa"/>
            <w:vAlign w:val="bottom"/>
            <w:tcBorders>
              <w:bottom w:val="single" w:sz="8" w:color="2D53A6"/>
              <w:right w:val="single" w:sz="8" w:color="2D53A6"/>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Luis A. Müller</w:t>
            </w:r>
          </w:p>
        </w:tc>
        <w:tc>
          <w:tcPr>
            <w:tcW w:w="1320" w:type="dxa"/>
            <w:vAlign w:val="bottom"/>
            <w:tcBorders>
              <w:bottom w:val="single" w:sz="8" w:color="2D53A6"/>
              <w:right w:val="single" w:sz="8" w:color="2D53A6"/>
            </w:tcBorders>
            <w:gridSpan w:val="2"/>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464,672</w:t>
            </w:r>
          </w:p>
        </w:tc>
        <w:tc>
          <w:tcPr>
            <w:tcW w:w="13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464,672</w:t>
            </w:r>
          </w:p>
        </w:tc>
        <w:tc>
          <w:tcPr>
            <w:tcW w:w="1380" w:type="dxa"/>
            <w:vAlign w:val="bottom"/>
            <w:tcBorders>
              <w:bottom w:val="single" w:sz="8" w:color="2D53A6"/>
              <w:right w:val="single" w:sz="8" w:color="2D53A6"/>
            </w:tcBorders>
            <w:shd w:val="clear" w:color="auto" w:fill="E6E6E6"/>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Karen M. Rapp</w:t>
            </w:r>
          </w:p>
        </w:tc>
        <w:tc>
          <w:tcPr>
            <w:tcW w:w="1320" w:type="dxa"/>
            <w:vAlign w:val="bottom"/>
            <w:tcBorders>
              <w:bottom w:val="single" w:sz="8" w:color="2D53A6"/>
              <w:right w:val="single" w:sz="8" w:color="2D53A6"/>
            </w:tcBorders>
            <w:gridSpan w:val="2"/>
          </w:tcPr>
          <w:p>
            <w:pPr>
              <w:jc w:val="right"/>
              <w:ind w:right="30"/>
              <w:spacing w:after="0" w:line="196" w:lineRule="exact"/>
              <w:rPr>
                <w:sz w:val="20"/>
                <w:szCs w:val="20"/>
                <w:color w:val="auto"/>
              </w:rPr>
            </w:pPr>
            <w:r>
              <w:rPr>
                <w:rFonts w:ascii="Arial" w:cs="Arial" w:eastAsia="Arial" w:hAnsi="Arial"/>
                <w:sz w:val="18"/>
                <w:szCs w:val="18"/>
                <w:color w:val="auto"/>
              </w:rPr>
              <w:t>5,053</w:t>
            </w:r>
          </w:p>
        </w:tc>
        <w:tc>
          <w:tcPr>
            <w:tcW w:w="13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10,391</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15,444</w:t>
            </w:r>
          </w:p>
        </w:tc>
        <w:tc>
          <w:tcPr>
            <w:tcW w:w="1380" w:type="dxa"/>
            <w:vAlign w:val="bottom"/>
            <w:tcBorders>
              <w:bottom w:val="single" w:sz="8" w:color="2D53A6"/>
              <w:right w:val="single" w:sz="8" w:color="2D53A6"/>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 xml:space="preserve">Nina L. Richardson </w:t>
            </w:r>
            <w:r>
              <w:rPr>
                <w:rFonts w:ascii="Arial" w:cs="Arial" w:eastAsia="Arial" w:hAnsi="Arial"/>
                <w:sz w:val="14"/>
                <w:szCs w:val="14"/>
                <w:color w:val="auto"/>
              </w:rPr>
              <w:t>(9)</w:t>
            </w:r>
          </w:p>
        </w:tc>
        <w:tc>
          <w:tcPr>
            <w:tcW w:w="1320" w:type="dxa"/>
            <w:vAlign w:val="bottom"/>
            <w:tcBorders>
              <w:bottom w:val="single" w:sz="8" w:color="2D53A6"/>
              <w:right w:val="single" w:sz="8" w:color="2D53A6"/>
            </w:tcBorders>
            <w:gridSpan w:val="2"/>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28,313</w:t>
            </w:r>
          </w:p>
        </w:tc>
        <w:tc>
          <w:tcPr>
            <w:tcW w:w="13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10,257</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38,570</w:t>
            </w:r>
          </w:p>
        </w:tc>
        <w:tc>
          <w:tcPr>
            <w:tcW w:w="1380" w:type="dxa"/>
            <w:vAlign w:val="bottom"/>
            <w:tcBorders>
              <w:bottom w:val="single" w:sz="8" w:color="2D53A6"/>
              <w:right w:val="single" w:sz="8" w:color="2D53A6"/>
            </w:tcBorders>
            <w:shd w:val="clear" w:color="auto" w:fill="E6E6E6"/>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left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All directors and executive officers</w:t>
            </w:r>
          </w:p>
        </w:tc>
        <w:tc>
          <w:tcPr>
            <w:tcW w:w="20" w:type="dxa"/>
            <w:vAlign w:val="bottom"/>
          </w:tcPr>
          <w:p>
            <w:pPr>
              <w:spacing w:after="0"/>
              <w:rPr>
                <w:sz w:val="17"/>
                <w:szCs w:val="17"/>
                <w:color w:val="auto"/>
              </w:rPr>
            </w:pPr>
          </w:p>
        </w:tc>
        <w:tc>
          <w:tcPr>
            <w:tcW w:w="1300" w:type="dxa"/>
            <w:vAlign w:val="bottom"/>
            <w:tcBorders>
              <w:right w:val="single" w:sz="8" w:color="2D53A6"/>
            </w:tcBorders>
          </w:tcPr>
          <w:p>
            <w:pPr>
              <w:spacing w:after="0"/>
              <w:rPr>
                <w:sz w:val="17"/>
                <w:szCs w:val="17"/>
                <w:color w:val="auto"/>
              </w:rPr>
            </w:pPr>
          </w:p>
        </w:tc>
        <w:tc>
          <w:tcPr>
            <w:tcW w:w="1380" w:type="dxa"/>
            <w:vAlign w:val="bottom"/>
            <w:tcBorders>
              <w:right w:val="single" w:sz="8" w:color="2D53A6"/>
            </w:tcBorders>
          </w:tcPr>
          <w:p>
            <w:pPr>
              <w:spacing w:after="0"/>
              <w:rPr>
                <w:sz w:val="17"/>
                <w:szCs w:val="17"/>
                <w:color w:val="auto"/>
              </w:rPr>
            </w:pPr>
          </w:p>
        </w:tc>
        <w:tc>
          <w:tcPr>
            <w:tcW w:w="1320" w:type="dxa"/>
            <w:vAlign w:val="bottom"/>
            <w:tcBorders>
              <w:right w:val="single" w:sz="8" w:color="2D53A6"/>
            </w:tcBorders>
          </w:tcPr>
          <w:p>
            <w:pPr>
              <w:spacing w:after="0"/>
              <w:rPr>
                <w:sz w:val="17"/>
                <w:szCs w:val="17"/>
                <w:color w:val="auto"/>
              </w:rPr>
            </w:pPr>
          </w:p>
        </w:tc>
        <w:tc>
          <w:tcPr>
            <w:tcW w:w="1380" w:type="dxa"/>
            <w:vAlign w:val="bottom"/>
            <w:tcBorders>
              <w:right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Borders>
              <w:left w:val="single" w:sz="8" w:color="2D53A6"/>
              <w:bottom w:val="single" w:sz="8" w:color="2D53A6"/>
              <w:right w:val="single" w:sz="8" w:color="2D53A6"/>
            </w:tcBorders>
            <w:shd w:val="clear" w:color="auto" w:fill="E6E6E6"/>
          </w:tcPr>
          <w:p>
            <w:pPr>
              <w:ind w:left="20"/>
              <w:spacing w:after="0" w:line="202" w:lineRule="exact"/>
              <w:rPr>
                <w:sz w:val="20"/>
                <w:szCs w:val="20"/>
                <w:color w:val="auto"/>
              </w:rPr>
            </w:pPr>
            <w:r>
              <w:rPr>
                <w:rFonts w:ascii="Arial" w:cs="Arial" w:eastAsia="Arial" w:hAnsi="Arial"/>
                <w:sz w:val="18"/>
                <w:szCs w:val="18"/>
                <w:color w:val="auto"/>
              </w:rPr>
              <w:t>as a group (12 persons)</w:t>
            </w:r>
          </w:p>
        </w:tc>
        <w:tc>
          <w:tcPr>
            <w:tcW w:w="1320" w:type="dxa"/>
            <w:vAlign w:val="bottom"/>
            <w:tcBorders>
              <w:bottom w:val="single" w:sz="8" w:color="2D53A6"/>
              <w:right w:val="single" w:sz="8" w:color="2D53A6"/>
            </w:tcBorders>
            <w:gridSpan w:val="2"/>
            <w:shd w:val="clear" w:color="auto" w:fill="E6E6E6"/>
          </w:tcPr>
          <w:p>
            <w:pPr>
              <w:jc w:val="right"/>
              <w:ind w:right="30"/>
              <w:spacing w:after="0" w:line="202" w:lineRule="exact"/>
              <w:rPr>
                <w:sz w:val="20"/>
                <w:szCs w:val="20"/>
                <w:color w:val="auto"/>
              </w:rPr>
            </w:pPr>
            <w:r>
              <w:rPr>
                <w:rFonts w:ascii="Arial" w:cs="Arial" w:eastAsia="Arial" w:hAnsi="Arial"/>
                <w:sz w:val="18"/>
                <w:szCs w:val="18"/>
                <w:color w:val="auto"/>
              </w:rPr>
              <w:t>1,352,408</w:t>
            </w:r>
          </w:p>
        </w:tc>
        <w:tc>
          <w:tcPr>
            <w:tcW w:w="1380" w:type="dxa"/>
            <w:vAlign w:val="bottom"/>
            <w:tcBorders>
              <w:bottom w:val="single" w:sz="8" w:color="2D53A6"/>
              <w:right w:val="single" w:sz="8" w:color="2D53A6"/>
            </w:tcBorders>
            <w:shd w:val="clear" w:color="auto" w:fill="E6E6E6"/>
          </w:tcPr>
          <w:p>
            <w:pPr>
              <w:jc w:val="right"/>
              <w:ind w:right="30"/>
              <w:spacing w:after="0" w:line="202" w:lineRule="exact"/>
              <w:rPr>
                <w:sz w:val="20"/>
                <w:szCs w:val="20"/>
                <w:color w:val="auto"/>
              </w:rPr>
            </w:pPr>
            <w:r>
              <w:rPr>
                <w:rFonts w:ascii="Arial" w:cs="Arial" w:eastAsia="Arial" w:hAnsi="Arial"/>
                <w:sz w:val="18"/>
                <w:szCs w:val="18"/>
                <w:color w:val="auto"/>
              </w:rPr>
              <w:t>82,190</w:t>
            </w:r>
          </w:p>
        </w:tc>
        <w:tc>
          <w:tcPr>
            <w:tcW w:w="1320" w:type="dxa"/>
            <w:vAlign w:val="bottom"/>
            <w:tcBorders>
              <w:bottom w:val="single" w:sz="8" w:color="2D53A6"/>
              <w:right w:val="single" w:sz="8" w:color="2D53A6"/>
            </w:tcBorders>
            <w:shd w:val="clear" w:color="auto" w:fill="E6E6E6"/>
          </w:tcPr>
          <w:p>
            <w:pPr>
              <w:jc w:val="right"/>
              <w:ind w:right="30"/>
              <w:spacing w:after="0" w:line="202" w:lineRule="exact"/>
              <w:rPr>
                <w:sz w:val="20"/>
                <w:szCs w:val="20"/>
                <w:color w:val="auto"/>
              </w:rPr>
            </w:pPr>
            <w:r>
              <w:rPr>
                <w:rFonts w:ascii="Arial" w:cs="Arial" w:eastAsia="Arial" w:hAnsi="Arial"/>
                <w:sz w:val="18"/>
                <w:szCs w:val="18"/>
                <w:color w:val="auto"/>
              </w:rPr>
              <w:t>1,434,598</w:t>
            </w:r>
          </w:p>
        </w:tc>
        <w:tc>
          <w:tcPr>
            <w:tcW w:w="1380" w:type="dxa"/>
            <w:vAlign w:val="bottom"/>
            <w:tcBorders>
              <w:bottom w:val="single" w:sz="8" w:color="2D53A6"/>
              <w:right w:val="single" w:sz="8" w:color="2D53A6"/>
            </w:tcBorders>
            <w:shd w:val="clear" w:color="auto" w:fill="E6E6E6"/>
          </w:tcPr>
          <w:p>
            <w:pPr>
              <w:jc w:val="right"/>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2" w:lineRule="exact"/>
        <w:rPr>
          <w:sz w:val="20"/>
          <w:szCs w:val="20"/>
          <w:color w:val="auto"/>
        </w:rPr>
      </w:pPr>
    </w:p>
    <w:p>
      <w:pPr>
        <w:ind w:left="340" w:right="4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Shares issuable upon exercise of stock options and restricted stock units and performance stock units held by directors and executive officers that were exercisable or will otherwise vest on or within 60 days of March 16, 2026. For employees, restricted stock units and performance stock units issue for a net number of shares to satisfy payment of the statutory tax withholding requirements to be paid by us on behalf of such employees and, as a result, the actual number of shares received after taxes will be fewer.</w:t>
      </w:r>
    </w:p>
    <w:p>
      <w:pPr>
        <w:spacing w:after="0" w:line="1" w:lineRule="exact"/>
        <w:rPr>
          <w:rFonts w:ascii="Arial" w:cs="Arial" w:eastAsia="Arial" w:hAnsi="Arial"/>
          <w:sz w:val="16"/>
          <w:szCs w:val="16"/>
          <w:color w:val="auto"/>
        </w:rPr>
      </w:pPr>
    </w:p>
    <w:p>
      <w:pPr>
        <w:ind w:left="340" w:right="20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Computed on the basis of 46,903,489 shares of Cohu common stock outstanding as of March 16, 2026, plus, with respect to each person holding options and restricted stock units and performance stock units that were exercisable or will otherwise vest on or within 60 days of March 16, 2026, the number of shares of Cohu common stock issuable upon exercise or vesting thereof.</w:t>
      </w:r>
    </w:p>
    <w:p>
      <w:pPr>
        <w:spacing w:after="0" w:line="1" w:lineRule="exact"/>
        <w:rPr>
          <w:rFonts w:ascii="Arial" w:cs="Arial" w:eastAsia="Arial" w:hAnsi="Arial"/>
          <w:sz w:val="16"/>
          <w:szCs w:val="16"/>
          <w:color w:val="auto"/>
        </w:rPr>
      </w:pPr>
    </w:p>
    <w:p>
      <w:pPr>
        <w:jc w:val="both"/>
        <w:ind w:left="340" w:right="12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According to the Schedule 13G/A filed with the SEC on July 17, 2025, BlackRock, Inc. reported that its affiliated companies collectively had sole voting power with respect to 6,736,457 shares and sole dispositive power with respect to 6,848,670 shares, and no shared voting or shared dispositive power with respect to these shares.</w:t>
      </w:r>
    </w:p>
    <w:p>
      <w:pPr>
        <w:spacing w:after="0" w:line="1"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According to Schedule 13G/A filed with the Securities SEC on February 13, 2024, The Vanguard Group reported that it had sole dispositive power with respect to 4,091,933 shares, no sole voting power, and shared voting and dispositive power with respect to 31,175 and 73,689 shares, respectively.</w:t>
      </w:r>
    </w:p>
    <w:p>
      <w:pPr>
        <w:ind w:left="340" w:right="120" w:hanging="332"/>
        <w:spacing w:after="0" w:line="25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According to the Schedule 13G/A filed with the SEC on October 30, 2025, Victory Capital Management Inc. reported that it had sole voting power with respect to 2,918,849 shares, sole dispositive power with respect to 2,941,074 shares, and no shared voting or shared dispositive power with respect to these shares.</w:t>
      </w:r>
    </w:p>
    <w:p>
      <w:pPr>
        <w:sectPr>
          <w:pgSz w:w="11900" w:h="16838" w:orient="portrait"/>
          <w:cols w:equalWidth="0" w:num="1">
            <w:col w:w="11240"/>
          </w:cols>
          <w:pgMar w:left="320" w:top="122"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2" w:lineRule="exact"/>
        <w:rPr>
          <w:sz w:val="20"/>
          <w:szCs w:val="20"/>
          <w:color w:val="auto"/>
        </w:rPr>
      </w:pPr>
    </w:p>
    <w:p>
      <w:pPr>
        <w:ind w:left="340" w:right="20" w:hanging="332"/>
        <w:spacing w:after="0" w:line="25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According to Schedule 13G filed with the Securities SEC on February 10, 2025, Thrivent Financial for Lutherans reported that it had sole dispositive and voting power with respect to 12,654 shares, and shared voting and dispositive power with respect to 2,602,581 shares.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Beneficially owned common stock includes 27,403 deferred stock unit awards issued pursuant to the 2005 Plan.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Beneficially owned common stock includes 49,911 deferred stock unit awards issued pursuant to the 2005 Plan.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Beneficially owned common stock includes 11,992 deferred stock unit awards issued pursuant to the 2005 Plan.</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Delinquent Section 16(a) Reports</w:t>
      </w:r>
    </w:p>
    <w:p>
      <w:pPr>
        <w:spacing w:after="0" w:line="21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Section 16(a) of the Securities Exchange Act of 1934, as amended (the “Exchange Act”) requires our officers and directors, and persons who own more than ten percent of a registered class of our equity securities, to file with the SEC reports of ownership of our securities and changes in reported ownership. Based on a review of reports filed with the SEC, or written representations from reporting persons that all reportable transaction were reported, we believe that during the fiscal year ended December 27, 2025, our officers, directors and greater than ten percent owners timely filed all reports they were required to file under Section 16(a), other than one late Form 4 filing for Klaus Ilgenfritz due to administrative delay in obtaining EDGAR codes for his first filings following appointment as an executive officer.</w:t>
      </w:r>
    </w:p>
    <w:p>
      <w:pPr>
        <w:spacing w:after="0" w:line="349"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Corporate Governance</w:t>
      </w:r>
    </w:p>
    <w:p>
      <w:pPr>
        <w:spacing w:after="0" w:line="21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 w:cs="Arial" w:eastAsia="Arial" w:hAnsi="Arial"/>
          <w:sz w:val="18"/>
          <w:szCs w:val="18"/>
          <w:u w:val="single" w:color="auto"/>
          <w:color w:val="0B5394"/>
        </w:rPr>
        <w:t>https://cohu.gcs-web.com/corporate-governance/documents-charters</w:t>
      </w:r>
      <w:r>
        <w:rPr>
          <w:rFonts w:ascii="Arial" w:cs="Arial" w:eastAsia="Arial" w:hAnsi="Arial"/>
          <w:sz w:val="18"/>
          <w:szCs w:val="18"/>
          <w:color w:val="000000"/>
        </w:rPr>
        <w:t>. As the operation of the Board is a dynamic process, the Board regularly reviews new or changing legal and regulatory</w:t>
      </w:r>
      <w:r>
        <w:rPr>
          <w:rFonts w:ascii="Arial" w:cs="Arial" w:eastAsia="Arial" w:hAnsi="Arial"/>
          <w:sz w:val="18"/>
          <w:szCs w:val="18"/>
          <w:color w:val="0B5394"/>
        </w:rPr>
        <w:t xml:space="preserve"> </w:t>
      </w:r>
      <w:r>
        <w:rPr>
          <w:rFonts w:ascii="Arial" w:cs="Arial" w:eastAsia="Arial" w:hAnsi="Arial"/>
          <w:sz w:val="18"/>
          <w:szCs w:val="18"/>
          <w:color w:val="000000"/>
        </w:rPr>
        <w:t>requirements, evolving best practices and other developments, and the Board may modify the Guidelines, as appropriate, from time to time.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2D53A6"/>
        </w:rPr>
        <w:t>Code of Business Conduct and Ethics</w:t>
      </w:r>
    </w:p>
    <w:p>
      <w:pPr>
        <w:spacing w:after="0" w:line="1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 honest and ethical conduct, including the ethical handling of actual or apparent conflicts of interest between personal and professional relationships; full, fair, accurate, timely and understandable disclosure in reports and documents that Cohu files with, or submits to, the SEC and in other public communications made by Cohu; compliance with applicable governmental laws, rules and regulations; the prompt internal reporting of violations of the Code of Conduct to an appropriate person or persons identified in the Code of Conduct; and accountability for adherence to the Code of Conduct.</w:t>
      </w:r>
    </w:p>
    <w:p>
      <w:pPr>
        <w:spacing w:after="0" w:line="17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 xml:space="preserve">The Code of Conduct is available at </w:t>
      </w:r>
      <w:r>
        <w:rPr>
          <w:rFonts w:ascii="Arial" w:cs="Arial" w:eastAsia="Arial" w:hAnsi="Arial"/>
          <w:sz w:val="18"/>
          <w:szCs w:val="18"/>
          <w:u w:val="single" w:color="auto"/>
          <w:color w:val="0B5394"/>
        </w:rPr>
        <w:t>https://cohu.gcs-web.com/corporate-governance/documents-charters</w:t>
      </w:r>
      <w:r>
        <w:rPr>
          <w:rFonts w:ascii="Arial" w:cs="Arial" w:eastAsia="Arial" w:hAnsi="Arial"/>
          <w:sz w:val="18"/>
          <w:szCs w:val="18"/>
          <w:color w:val="auto"/>
        </w:rPr>
        <w:t>. We intend to make all required disclosures concerning any amendments to, or waivers from, our Code of Conduct on our website within four business days.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2D53A6"/>
        </w:rPr>
        <w:t>Insider Trading Policy</w:t>
      </w:r>
    </w:p>
    <w:p>
      <w:pPr>
        <w:spacing w:after="0" w:line="19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adopted an Insider Trading Policy governing transactions in our securities by our directors, officers and employees that we believe is reasonably designed to promote compliance with insider trading laws, rules and regulations and Nasdaq listing standards. A copy of the Insider Trading Policy is filed as Exhibit 19 to our Annual Report on Form 10-K for the year ended December 27, 2025.</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Board of Directors and Committees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2D53A6"/>
        </w:rPr>
        <w:t>Director Independence</w:t>
      </w:r>
    </w:p>
    <w:p>
      <w:pPr>
        <w:spacing w:after="0" w:line="191"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Cohu has adopted standards for director independence pursuant to Nasdaq listing standards and SEC rules, and previously adopted more restrictive guidelines (than set forth by Nasdaq) on the independence of former employee directors and the amounts of compensation for professional services that can be accepted.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w:t>
      </w:r>
    </w:p>
    <w:p>
      <w:pPr>
        <w:spacing w:after="0" w:line="16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Board has considered relationships, transactions and/or arrangements with each of the directors and has determined that seven (7) of its nine (9) directors (78% of the Board), namely, Mses. Jorden, Rapp and Richardson and Messrs. Bendush, Bilodeau, Caggia and Mattes, are independent directors in accordance with Nasdaq listing standards and SEC rules. In addition, the Board has also considered and determined that:</w:t>
      </w:r>
    </w:p>
    <w:p>
      <w:pPr>
        <w:spacing w:after="0" w:line="160" w:lineRule="exact"/>
        <w:rPr>
          <w:sz w:val="20"/>
          <w:szCs w:val="20"/>
          <w:color w:val="auto"/>
        </w:rPr>
      </w:pPr>
    </w:p>
    <w:p>
      <w:pPr>
        <w:ind w:left="820" w:right="820" w:hanging="326"/>
        <w:spacing w:after="0" w:line="220" w:lineRule="auto"/>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All directors who serve on the Audit, Compensation and Nominating and Governance committees are independent under applicable Nasdaq listing standards and SEC rules.</w:t>
      </w:r>
    </w:p>
    <w:p>
      <w:pPr>
        <w:spacing w:after="0" w:line="1" w:lineRule="exact"/>
        <w:rPr>
          <w:rFonts w:ascii="Arial" w:cs="Arial" w:eastAsia="Arial" w:hAnsi="Arial"/>
          <w:sz w:val="22"/>
          <w:szCs w:val="22"/>
          <w:color w:val="auto"/>
        </w:rPr>
      </w:pPr>
    </w:p>
    <w:p>
      <w:pPr>
        <w:ind w:left="820" w:right="180" w:hanging="326"/>
        <w:spacing w:after="0" w:line="211" w:lineRule="auto"/>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All members of the Audit and Compensation Committees meet the additional independence requirements as required by Nasdaq listing standards and SEC rules.</w:t>
      </w:r>
    </w:p>
    <w:p>
      <w:pPr>
        <w:ind w:left="820" w:right="240" w:hanging="326"/>
        <w:spacing w:after="0" w:line="220" w:lineRule="auto"/>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All members of the Audit Committee, currently Mses. Jorden and Rapp and Mr. Bendush qualify as an “audit committee financial expert” under SEC guidelines.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2D53A6"/>
        </w:rPr>
        <w:t>Board Structure and Committee Composition</w:t>
      </w:r>
    </w:p>
    <w:p>
      <w:pPr>
        <w:spacing w:after="0" w:line="19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As of the date of this proxy statement, our Board has nine (9) directors. Our Board has three standing committees: (1) Audit, (2) Compensation and (3) Nominating and Governance. The membership and function of each of the committees are described below, and we believe that the composition of these committees meets the criteria for independence, and the functioning of these committees complies with the applicable requirements of the Sarbanes-Oxley Act of 2002, as amended, the current rules of the Nasdaq Global Select Market and applicable SEC rules and regulations. Each committee operates under a written charter adopted by the Board, and each of the charters are available on Cohu’s website at </w:t>
      </w:r>
      <w:r>
        <w:rPr>
          <w:rFonts w:ascii="Arial" w:cs="Arial" w:eastAsia="Arial" w:hAnsi="Arial"/>
          <w:sz w:val="18"/>
          <w:szCs w:val="18"/>
          <w:u w:val="single" w:color="auto"/>
          <w:color w:val="2D53A6"/>
        </w:rPr>
        <w:t>https://cohu.gcs-web.com/corporate-governance/documents-charters</w:t>
      </w:r>
      <w:r>
        <w:rPr>
          <w:rFonts w:ascii="Arial" w:cs="Arial" w:eastAsia="Arial" w:hAnsi="Arial"/>
          <w:sz w:val="18"/>
          <w:szCs w:val="18"/>
          <w:color w:val="auto"/>
        </w:rPr>
        <w:t>.</w:t>
      </w:r>
    </w:p>
    <w:p>
      <w:pPr>
        <w:spacing w:after="0" w:line="16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During fiscal year 2025, the Board held ten (10) meetings. Each director attended at least 75% of all Board and applicable committee meetings on which they served and held during the period for which they were directors or committee members. Although we do not have a formal policy regarding attendance by members of our Board at annual meetings of stockholders, we encourage all of our directors to attend annual meetings of Cohu stockholders and all our continuing directors at that time virtually attended the 2025 Annual Meeting.</w:t>
      </w:r>
    </w:p>
    <w:p>
      <w:pPr>
        <w:spacing w:after="0" w:line="16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Cohu’s Corporate Governance Guidelines set forth the circumstances in which the Nominating and Governance Committee shall nominate an independent director to serve as the Lead Independent Director, the selection of whom shall be subject to approval by a vote of the majority of the independent directors.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breaks down committee membership, as of the date of this proxy statement, for each committee and each director.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00" w:type="dxa"/>
            <w:vAlign w:val="bottom"/>
            <w:tcBorders>
              <w:right w:val="single" w:sz="8" w:color="2D53A6"/>
            </w:tcBorders>
            <w:vMerge w:val="restart"/>
            <w:shd w:val="clear" w:color="auto" w:fill="2D53A6"/>
          </w:tcPr>
          <w:p>
            <w:pPr>
              <w:ind w:left="60"/>
              <w:spacing w:after="0"/>
              <w:rPr>
                <w:sz w:val="20"/>
                <w:szCs w:val="20"/>
                <w:color w:val="auto"/>
              </w:rPr>
            </w:pPr>
            <w:r>
              <w:rPr>
                <w:rFonts w:ascii="Arial" w:cs="Arial" w:eastAsia="Arial" w:hAnsi="Arial"/>
                <w:sz w:val="20"/>
                <w:szCs w:val="20"/>
                <w:b w:val="1"/>
                <w:bCs w:val="1"/>
                <w:color w:val="FFFFFF"/>
              </w:rPr>
              <w:t>Name of Director</w:t>
            </w:r>
          </w:p>
        </w:tc>
        <w:tc>
          <w:tcPr>
            <w:tcW w:w="17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7"/>
              </w:rPr>
              <w:t>Audit</w:t>
            </w:r>
          </w:p>
        </w:tc>
        <w:tc>
          <w:tcPr>
            <w:tcW w:w="16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7"/>
              </w:rPr>
              <w:t>Compensation</w:t>
            </w:r>
          </w:p>
        </w:tc>
        <w:tc>
          <w:tcPr>
            <w:tcW w:w="166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Nominating and</w:t>
            </w:r>
          </w:p>
        </w:tc>
        <w:tc>
          <w:tcPr>
            <w:tcW w:w="0" w:type="dxa"/>
            <w:vAlign w:val="bottom"/>
          </w:tcPr>
          <w:p>
            <w:pPr>
              <w:spacing w:after="0"/>
              <w:rPr>
                <w:sz w:val="1"/>
                <w:szCs w:val="1"/>
                <w:color w:val="auto"/>
              </w:rPr>
            </w:pPr>
          </w:p>
        </w:tc>
      </w:tr>
      <w:tr>
        <w:trPr>
          <w:trHeight w:val="165"/>
        </w:trPr>
        <w:tc>
          <w:tcPr>
            <w:tcW w:w="6200" w:type="dxa"/>
            <w:vAlign w:val="bottom"/>
            <w:tcBorders>
              <w:right w:val="single" w:sz="8" w:color="2D53A6"/>
            </w:tcBorders>
            <w:vMerge w:val="continue"/>
            <w:shd w:val="clear" w:color="auto" w:fill="2D53A6"/>
          </w:tcPr>
          <w:p>
            <w:pPr>
              <w:spacing w:after="0"/>
              <w:rPr>
                <w:sz w:val="14"/>
                <w:szCs w:val="14"/>
                <w:color w:val="auto"/>
              </w:rPr>
            </w:pPr>
          </w:p>
        </w:tc>
        <w:tc>
          <w:tcPr>
            <w:tcW w:w="1700" w:type="dxa"/>
            <w:vAlign w:val="bottom"/>
            <w:tcBorders>
              <w:right w:val="single" w:sz="8" w:color="2D53A6"/>
            </w:tcBorders>
            <w:vMerge w:val="continue"/>
            <w:shd w:val="clear" w:color="auto" w:fill="2D53A6"/>
          </w:tcPr>
          <w:p>
            <w:pPr>
              <w:spacing w:after="0"/>
              <w:rPr>
                <w:sz w:val="14"/>
                <w:szCs w:val="14"/>
                <w:color w:val="auto"/>
              </w:rPr>
            </w:pPr>
          </w:p>
        </w:tc>
        <w:tc>
          <w:tcPr>
            <w:tcW w:w="1680" w:type="dxa"/>
            <w:vAlign w:val="bottom"/>
            <w:tcBorders>
              <w:right w:val="single" w:sz="8" w:color="2D53A6"/>
            </w:tcBorders>
            <w:vMerge w:val="continue"/>
            <w:shd w:val="clear" w:color="auto" w:fill="2D53A6"/>
          </w:tcPr>
          <w:p>
            <w:pPr>
              <w:spacing w:after="0"/>
              <w:rPr>
                <w:sz w:val="14"/>
                <w:szCs w:val="14"/>
                <w:color w:val="auto"/>
              </w:rPr>
            </w:pPr>
          </w:p>
        </w:tc>
        <w:tc>
          <w:tcPr>
            <w:tcW w:w="1660" w:type="dxa"/>
            <w:vAlign w:val="bottom"/>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Governance</w:t>
            </w:r>
          </w:p>
        </w:tc>
        <w:tc>
          <w:tcPr>
            <w:tcW w:w="0" w:type="dxa"/>
            <w:vAlign w:val="bottom"/>
          </w:tcPr>
          <w:p>
            <w:pPr>
              <w:spacing w:after="0"/>
              <w:rPr>
                <w:sz w:val="1"/>
                <w:szCs w:val="1"/>
                <w:color w:val="auto"/>
              </w:rPr>
            </w:pPr>
          </w:p>
        </w:tc>
      </w:tr>
      <w:tr>
        <w:trPr>
          <w:trHeight w:val="122"/>
        </w:trPr>
        <w:tc>
          <w:tcPr>
            <w:tcW w:w="6200" w:type="dxa"/>
            <w:vAlign w:val="bottom"/>
            <w:tcBorders>
              <w:bottom w:val="single" w:sz="8" w:color="2D53A6"/>
              <w:right w:val="single" w:sz="8" w:color="2D53A6"/>
            </w:tcBorders>
            <w:shd w:val="clear" w:color="auto" w:fill="2D53A6"/>
          </w:tcPr>
          <w:p>
            <w:pPr>
              <w:spacing w:after="0"/>
              <w:rPr>
                <w:sz w:val="10"/>
                <w:szCs w:val="10"/>
                <w:color w:val="auto"/>
              </w:rPr>
            </w:pPr>
          </w:p>
        </w:tc>
        <w:tc>
          <w:tcPr>
            <w:tcW w:w="1700" w:type="dxa"/>
            <w:vAlign w:val="bottom"/>
            <w:tcBorders>
              <w:bottom w:val="single" w:sz="8" w:color="2D53A6"/>
              <w:right w:val="single" w:sz="8" w:color="2D53A6"/>
            </w:tcBorders>
            <w:shd w:val="clear" w:color="auto" w:fill="2D53A6"/>
          </w:tcPr>
          <w:p>
            <w:pPr>
              <w:spacing w:after="0"/>
              <w:rPr>
                <w:sz w:val="10"/>
                <w:szCs w:val="10"/>
                <w:color w:val="auto"/>
              </w:rPr>
            </w:pPr>
          </w:p>
        </w:tc>
        <w:tc>
          <w:tcPr>
            <w:tcW w:w="1680" w:type="dxa"/>
            <w:vAlign w:val="bottom"/>
            <w:tcBorders>
              <w:bottom w:val="single" w:sz="8" w:color="2D53A6"/>
              <w:right w:val="single" w:sz="8" w:color="2D53A6"/>
            </w:tcBorders>
            <w:shd w:val="clear" w:color="auto" w:fill="2D53A6"/>
          </w:tcPr>
          <w:p>
            <w:pPr>
              <w:spacing w:after="0"/>
              <w:rPr>
                <w:sz w:val="10"/>
                <w:szCs w:val="10"/>
                <w:color w:val="auto"/>
              </w:rPr>
            </w:pPr>
          </w:p>
        </w:tc>
        <w:tc>
          <w:tcPr>
            <w:tcW w:w="1660" w:type="dxa"/>
            <w:vAlign w:val="bottom"/>
            <w:tcBorders>
              <w:bottom w:val="single" w:sz="8" w:color="2D53A6"/>
            </w:tcBorders>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6200" w:type="dxa"/>
            <w:vAlign w:val="bottom"/>
            <w:tcBorders>
              <w:right w:val="single" w:sz="8" w:color="2D53A6"/>
            </w:tcBorders>
          </w:tcPr>
          <w:p>
            <w:pPr>
              <w:ind w:left="60"/>
              <w:spacing w:after="0"/>
              <w:rPr>
                <w:sz w:val="20"/>
                <w:szCs w:val="20"/>
                <w:color w:val="auto"/>
              </w:rPr>
            </w:pPr>
            <w:r>
              <w:rPr>
                <w:rFonts w:ascii="Arial" w:cs="Arial" w:eastAsia="Arial" w:hAnsi="Arial"/>
                <w:sz w:val="18"/>
                <w:szCs w:val="18"/>
                <w:b w:val="1"/>
                <w:bCs w:val="1"/>
                <w:i w:val="1"/>
                <w:iCs w:val="1"/>
                <w:color w:val="auto"/>
              </w:rPr>
              <w:t>Independent Directors:</w:t>
            </w:r>
          </w:p>
        </w:tc>
        <w:tc>
          <w:tcPr>
            <w:tcW w:w="1700" w:type="dxa"/>
            <w:vAlign w:val="bottom"/>
            <w:tcBorders>
              <w:right w:val="single" w:sz="8" w:color="2D53A6"/>
            </w:tcBorders>
          </w:tcPr>
          <w:p>
            <w:pPr>
              <w:spacing w:after="0"/>
              <w:rPr>
                <w:sz w:val="24"/>
                <w:szCs w:val="24"/>
                <w:color w:val="auto"/>
              </w:rPr>
            </w:pPr>
          </w:p>
        </w:tc>
        <w:tc>
          <w:tcPr>
            <w:tcW w:w="1680" w:type="dxa"/>
            <w:vAlign w:val="bottom"/>
            <w:tcBorders>
              <w:right w:val="single" w:sz="8" w:color="2D53A6"/>
            </w:tcBorders>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200" w:type="dxa"/>
            <w:vAlign w:val="bottom"/>
            <w:tcBorders>
              <w:bottom w:val="single" w:sz="8" w:color="2D53A6"/>
              <w:right w:val="single" w:sz="8" w:color="2D53A6"/>
            </w:tcBorders>
          </w:tcPr>
          <w:p>
            <w:pPr>
              <w:spacing w:after="0"/>
              <w:rPr>
                <w:sz w:val="2"/>
                <w:szCs w:val="2"/>
                <w:color w:val="auto"/>
              </w:rPr>
            </w:pPr>
          </w:p>
        </w:tc>
        <w:tc>
          <w:tcPr>
            <w:tcW w:w="1700" w:type="dxa"/>
            <w:vAlign w:val="bottom"/>
            <w:tcBorders>
              <w:bottom w:val="single" w:sz="8" w:color="2D53A6"/>
              <w:right w:val="single" w:sz="8" w:color="2D53A6"/>
            </w:tcBorders>
          </w:tcPr>
          <w:p>
            <w:pPr>
              <w:spacing w:after="0"/>
              <w:rPr>
                <w:sz w:val="2"/>
                <w:szCs w:val="2"/>
                <w:color w:val="auto"/>
              </w:rPr>
            </w:pPr>
          </w:p>
        </w:tc>
        <w:tc>
          <w:tcPr>
            <w:tcW w:w="1680" w:type="dxa"/>
            <w:vAlign w:val="bottom"/>
            <w:tcBorders>
              <w:bottom w:val="single" w:sz="8" w:color="2D53A6"/>
              <w:right w:val="single" w:sz="8" w:color="2D53A6"/>
            </w:tcBorders>
          </w:tcPr>
          <w:p>
            <w:pPr>
              <w:spacing w:after="0"/>
              <w:rPr>
                <w:sz w:val="2"/>
                <w:szCs w:val="2"/>
                <w:color w:val="auto"/>
              </w:rPr>
            </w:pPr>
          </w:p>
        </w:tc>
        <w:tc>
          <w:tcPr>
            <w:tcW w:w="16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62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William E. Bendush</w:t>
            </w:r>
          </w:p>
        </w:tc>
        <w:tc>
          <w:tcPr>
            <w:tcW w:w="170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Chair</w:t>
            </w:r>
          </w:p>
        </w:tc>
        <w:tc>
          <w:tcPr>
            <w:tcW w:w="1680" w:type="dxa"/>
            <w:vAlign w:val="bottom"/>
            <w:tcBorders>
              <w:bottom w:val="single" w:sz="8" w:color="E6E6E6"/>
              <w:right w:val="single" w:sz="8" w:color="2D53A6"/>
            </w:tcBorders>
            <w:shd w:val="clear" w:color="auto" w:fill="E6E6E6"/>
          </w:tcPr>
          <w:p>
            <w:pPr>
              <w:spacing w:after="0"/>
              <w:rPr>
                <w:sz w:val="24"/>
                <w:szCs w:val="24"/>
                <w:color w:val="auto"/>
              </w:rPr>
            </w:pPr>
          </w:p>
        </w:tc>
        <w:tc>
          <w:tcPr>
            <w:tcW w:w="16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62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Steven J. Bilodeau</w:t>
            </w:r>
            <w:r>
              <w:rPr>
                <w:rFonts w:ascii="Arial" w:cs="Arial" w:eastAsia="Arial" w:hAnsi="Arial"/>
                <w:sz w:val="14"/>
                <w:szCs w:val="14"/>
                <w:color w:val="auto"/>
              </w:rPr>
              <w:t>(1)</w:t>
            </w:r>
          </w:p>
        </w:tc>
        <w:tc>
          <w:tcPr>
            <w:tcW w:w="1700" w:type="dxa"/>
            <w:vAlign w:val="bottom"/>
            <w:tcBorders>
              <w:top w:val="single" w:sz="8" w:color="2D53A6"/>
              <w:right w:val="single" w:sz="8" w:color="2D53A6"/>
            </w:tcBorders>
          </w:tcPr>
          <w:p>
            <w:pPr>
              <w:spacing w:after="0"/>
              <w:rPr>
                <w:sz w:val="23"/>
                <w:szCs w:val="23"/>
                <w:color w:val="auto"/>
              </w:rPr>
            </w:pPr>
          </w:p>
        </w:tc>
        <w:tc>
          <w:tcPr>
            <w:tcW w:w="16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Chair</w:t>
            </w:r>
          </w:p>
        </w:tc>
        <w:tc>
          <w:tcPr>
            <w:tcW w:w="16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
        </w:trPr>
        <w:tc>
          <w:tcPr>
            <w:tcW w:w="6200" w:type="dxa"/>
            <w:vAlign w:val="bottom"/>
            <w:tcBorders>
              <w:bottom w:val="single" w:sz="8" w:color="2D53A6"/>
              <w:right w:val="single" w:sz="8" w:color="2D53A6"/>
            </w:tcBorders>
          </w:tcPr>
          <w:p>
            <w:pPr>
              <w:spacing w:after="0"/>
              <w:rPr>
                <w:sz w:val="3"/>
                <w:szCs w:val="3"/>
                <w:color w:val="auto"/>
              </w:rPr>
            </w:pPr>
          </w:p>
        </w:tc>
        <w:tc>
          <w:tcPr>
            <w:tcW w:w="1700" w:type="dxa"/>
            <w:vAlign w:val="bottom"/>
            <w:tcBorders>
              <w:bottom w:val="single" w:sz="8" w:color="2D53A6"/>
              <w:right w:val="single" w:sz="8" w:color="2D53A6"/>
            </w:tcBorders>
          </w:tcPr>
          <w:p>
            <w:pPr>
              <w:spacing w:after="0"/>
              <w:rPr>
                <w:sz w:val="3"/>
                <w:szCs w:val="3"/>
                <w:color w:val="auto"/>
              </w:rPr>
            </w:pPr>
          </w:p>
        </w:tc>
        <w:tc>
          <w:tcPr>
            <w:tcW w:w="168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62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Andrew M. Caggia</w:t>
            </w:r>
          </w:p>
        </w:tc>
        <w:tc>
          <w:tcPr>
            <w:tcW w:w="1700" w:type="dxa"/>
            <w:vAlign w:val="bottom"/>
            <w:tcBorders>
              <w:bottom w:val="single" w:sz="8" w:color="E6E6E6"/>
              <w:right w:val="single" w:sz="8" w:color="2D53A6"/>
            </w:tcBorders>
            <w:shd w:val="clear" w:color="auto" w:fill="E6E6E6"/>
          </w:tcPr>
          <w:p>
            <w:pPr>
              <w:spacing w:after="0"/>
              <w:rPr>
                <w:sz w:val="24"/>
                <w:szCs w:val="24"/>
                <w:color w:val="auto"/>
              </w:rPr>
            </w:pPr>
          </w:p>
        </w:tc>
        <w:tc>
          <w:tcPr>
            <w:tcW w:w="1680" w:type="dxa"/>
            <w:vAlign w:val="bottom"/>
            <w:tcBorders>
              <w:bottom w:val="single" w:sz="8" w:color="E6E6E6"/>
              <w:right w:val="single" w:sz="8" w:color="2D53A6"/>
            </w:tcBorders>
            <w:shd w:val="clear" w:color="auto" w:fill="E6E6E6"/>
          </w:tcPr>
          <w:p>
            <w:pPr>
              <w:spacing w:after="0"/>
              <w:rPr>
                <w:sz w:val="24"/>
                <w:szCs w:val="24"/>
                <w:color w:val="auto"/>
              </w:rPr>
            </w:pPr>
          </w:p>
        </w:tc>
        <w:tc>
          <w:tcPr>
            <w:tcW w:w="16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68"/>
        </w:trPr>
        <w:tc>
          <w:tcPr>
            <w:tcW w:w="62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Yon Y. Jorden</w:t>
            </w:r>
          </w:p>
        </w:tc>
        <w:tc>
          <w:tcPr>
            <w:tcW w:w="17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2D53A6"/>
              <w:right w:val="single" w:sz="8" w:color="2D53A6"/>
            </w:tcBorders>
          </w:tcPr>
          <w:p>
            <w:pPr>
              <w:spacing w:after="0"/>
              <w:rPr>
                <w:sz w:val="23"/>
                <w:szCs w:val="23"/>
                <w:color w:val="auto"/>
              </w:rPr>
            </w:pPr>
          </w:p>
        </w:tc>
        <w:tc>
          <w:tcPr>
            <w:tcW w:w="16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6200" w:type="dxa"/>
            <w:vAlign w:val="bottom"/>
            <w:tcBorders>
              <w:bottom w:val="single" w:sz="8" w:color="2D53A6"/>
              <w:right w:val="single" w:sz="8" w:color="2D53A6"/>
            </w:tcBorders>
          </w:tcPr>
          <w:p>
            <w:pPr>
              <w:spacing w:after="0"/>
              <w:rPr>
                <w:sz w:val="3"/>
                <w:szCs w:val="3"/>
                <w:color w:val="auto"/>
              </w:rPr>
            </w:pPr>
          </w:p>
        </w:tc>
        <w:tc>
          <w:tcPr>
            <w:tcW w:w="1700" w:type="dxa"/>
            <w:vAlign w:val="bottom"/>
            <w:tcBorders>
              <w:bottom w:val="single" w:sz="8" w:color="2D53A6"/>
              <w:right w:val="single" w:sz="8" w:color="2D53A6"/>
            </w:tcBorders>
          </w:tcPr>
          <w:p>
            <w:pPr>
              <w:spacing w:after="0"/>
              <w:rPr>
                <w:sz w:val="3"/>
                <w:szCs w:val="3"/>
                <w:color w:val="auto"/>
              </w:rPr>
            </w:pPr>
          </w:p>
        </w:tc>
        <w:tc>
          <w:tcPr>
            <w:tcW w:w="168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62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Andreas W. Mattes</w:t>
            </w:r>
          </w:p>
        </w:tc>
        <w:tc>
          <w:tcPr>
            <w:tcW w:w="1700" w:type="dxa"/>
            <w:vAlign w:val="bottom"/>
            <w:tcBorders>
              <w:bottom w:val="single" w:sz="8" w:color="E6E6E6"/>
              <w:right w:val="single" w:sz="8" w:color="2D53A6"/>
            </w:tcBorders>
            <w:shd w:val="clear" w:color="auto" w:fill="E6E6E6"/>
          </w:tcPr>
          <w:p>
            <w:pPr>
              <w:spacing w:after="0"/>
              <w:rPr>
                <w:sz w:val="24"/>
                <w:szCs w:val="24"/>
                <w:color w:val="auto"/>
              </w:rPr>
            </w:pPr>
          </w:p>
        </w:tc>
        <w:tc>
          <w:tcPr>
            <w:tcW w:w="16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2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Karen M. Rapp</w:t>
            </w:r>
          </w:p>
        </w:tc>
        <w:tc>
          <w:tcPr>
            <w:tcW w:w="17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2D53A6"/>
              <w:right w:val="single" w:sz="8" w:color="2D53A6"/>
            </w:tcBorders>
          </w:tcPr>
          <w:p>
            <w:pPr>
              <w:spacing w:after="0"/>
              <w:rPr>
                <w:sz w:val="23"/>
                <w:szCs w:val="23"/>
                <w:color w:val="auto"/>
              </w:rPr>
            </w:pPr>
          </w:p>
        </w:tc>
        <w:tc>
          <w:tcPr>
            <w:tcW w:w="1660" w:type="dxa"/>
            <w:vAlign w:val="bottom"/>
            <w:tcBorders>
              <w:top w:val="single" w:sz="8" w:color="2D53A6"/>
            </w:tcBorders>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6200" w:type="dxa"/>
            <w:vAlign w:val="bottom"/>
            <w:tcBorders>
              <w:bottom w:val="single" w:sz="8" w:color="2D53A6"/>
              <w:right w:val="single" w:sz="8" w:color="2D53A6"/>
            </w:tcBorders>
          </w:tcPr>
          <w:p>
            <w:pPr>
              <w:spacing w:after="0"/>
              <w:rPr>
                <w:sz w:val="3"/>
                <w:szCs w:val="3"/>
                <w:color w:val="auto"/>
              </w:rPr>
            </w:pPr>
          </w:p>
        </w:tc>
        <w:tc>
          <w:tcPr>
            <w:tcW w:w="1700" w:type="dxa"/>
            <w:vAlign w:val="bottom"/>
            <w:tcBorders>
              <w:bottom w:val="single" w:sz="8" w:color="2D53A6"/>
              <w:right w:val="single" w:sz="8" w:color="2D53A6"/>
            </w:tcBorders>
          </w:tcPr>
          <w:p>
            <w:pPr>
              <w:spacing w:after="0"/>
              <w:rPr>
                <w:sz w:val="3"/>
                <w:szCs w:val="3"/>
                <w:color w:val="auto"/>
              </w:rPr>
            </w:pPr>
          </w:p>
        </w:tc>
        <w:tc>
          <w:tcPr>
            <w:tcW w:w="168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62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Nina L. Richardson</w:t>
            </w:r>
          </w:p>
        </w:tc>
        <w:tc>
          <w:tcPr>
            <w:tcW w:w="1700" w:type="dxa"/>
            <w:vAlign w:val="bottom"/>
            <w:tcBorders>
              <w:bottom w:val="single" w:sz="8" w:color="E6E6E6"/>
              <w:right w:val="single" w:sz="8" w:color="2D53A6"/>
            </w:tcBorders>
            <w:shd w:val="clear" w:color="auto" w:fill="E6E6E6"/>
          </w:tcPr>
          <w:p>
            <w:pPr>
              <w:spacing w:after="0"/>
              <w:rPr>
                <w:sz w:val="24"/>
                <w:szCs w:val="24"/>
                <w:color w:val="auto"/>
              </w:rPr>
            </w:pPr>
          </w:p>
        </w:tc>
        <w:tc>
          <w:tcPr>
            <w:tcW w:w="16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200" w:type="dxa"/>
            <w:vAlign w:val="bottom"/>
            <w:tcBorders>
              <w:top w:val="single" w:sz="8" w:color="2D53A6"/>
              <w:right w:val="single" w:sz="8" w:color="2D53A6"/>
            </w:tcBorders>
          </w:tcPr>
          <w:p>
            <w:pPr>
              <w:ind w:left="380"/>
              <w:spacing w:after="0"/>
              <w:rPr>
                <w:sz w:val="20"/>
                <w:szCs w:val="20"/>
                <w:color w:val="auto"/>
              </w:rPr>
            </w:pPr>
            <w:r>
              <w:rPr>
                <w:rFonts w:ascii="Arial" w:cs="Arial" w:eastAsia="Arial" w:hAnsi="Arial"/>
                <w:sz w:val="18"/>
                <w:szCs w:val="18"/>
                <w:color w:val="auto"/>
              </w:rPr>
              <w:t>Total committee size:</w:t>
            </w:r>
          </w:p>
        </w:tc>
        <w:tc>
          <w:tcPr>
            <w:tcW w:w="17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3</w:t>
            </w:r>
          </w:p>
        </w:tc>
        <w:tc>
          <w:tcPr>
            <w:tcW w:w="16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3</w:t>
            </w:r>
          </w:p>
        </w:tc>
        <w:tc>
          <w:tcPr>
            <w:tcW w:w="16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36"/>
        </w:trPr>
        <w:tc>
          <w:tcPr>
            <w:tcW w:w="6200" w:type="dxa"/>
            <w:vAlign w:val="bottom"/>
            <w:tcBorders>
              <w:bottom w:val="single" w:sz="8" w:color="2D53A6"/>
              <w:right w:val="single" w:sz="8" w:color="2D53A6"/>
            </w:tcBorders>
          </w:tcPr>
          <w:p>
            <w:pPr>
              <w:spacing w:after="0"/>
              <w:rPr>
                <w:sz w:val="3"/>
                <w:szCs w:val="3"/>
                <w:color w:val="auto"/>
              </w:rPr>
            </w:pPr>
          </w:p>
        </w:tc>
        <w:tc>
          <w:tcPr>
            <w:tcW w:w="1700" w:type="dxa"/>
            <w:vAlign w:val="bottom"/>
            <w:tcBorders>
              <w:bottom w:val="single" w:sz="8" w:color="2D53A6"/>
              <w:right w:val="single" w:sz="8" w:color="2D53A6"/>
            </w:tcBorders>
          </w:tcPr>
          <w:p>
            <w:pPr>
              <w:spacing w:after="0"/>
              <w:rPr>
                <w:sz w:val="3"/>
                <w:szCs w:val="3"/>
                <w:color w:val="auto"/>
              </w:rPr>
            </w:pPr>
          </w:p>
        </w:tc>
        <w:tc>
          <w:tcPr>
            <w:tcW w:w="168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62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Other Directors:</w:t>
            </w:r>
          </w:p>
        </w:tc>
        <w:tc>
          <w:tcPr>
            <w:tcW w:w="1700" w:type="dxa"/>
            <w:vAlign w:val="bottom"/>
            <w:tcBorders>
              <w:bottom w:val="single" w:sz="8" w:color="E6E6E6"/>
              <w:right w:val="single" w:sz="8" w:color="2D53A6"/>
            </w:tcBorders>
            <w:shd w:val="clear" w:color="auto" w:fill="E6E6E6"/>
          </w:tcPr>
          <w:p>
            <w:pPr>
              <w:spacing w:after="0"/>
              <w:rPr>
                <w:sz w:val="24"/>
                <w:szCs w:val="24"/>
                <w:color w:val="auto"/>
              </w:rPr>
            </w:pPr>
          </w:p>
        </w:tc>
        <w:tc>
          <w:tcPr>
            <w:tcW w:w="1680" w:type="dxa"/>
            <w:vAlign w:val="bottom"/>
            <w:tcBorders>
              <w:bottom w:val="single" w:sz="8" w:color="E6E6E6"/>
              <w:right w:val="single" w:sz="8" w:color="2D53A6"/>
            </w:tcBorders>
            <w:shd w:val="clear" w:color="auto" w:fill="E6E6E6"/>
          </w:tcPr>
          <w:p>
            <w:pPr>
              <w:spacing w:after="0"/>
              <w:rPr>
                <w:sz w:val="24"/>
                <w:szCs w:val="24"/>
                <w:color w:val="auto"/>
              </w:rPr>
            </w:pPr>
          </w:p>
        </w:tc>
        <w:tc>
          <w:tcPr>
            <w:tcW w:w="166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2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James A. Donahue</w:t>
            </w:r>
          </w:p>
        </w:tc>
        <w:tc>
          <w:tcPr>
            <w:tcW w:w="1700" w:type="dxa"/>
            <w:vAlign w:val="bottom"/>
            <w:tcBorders>
              <w:top w:val="single" w:sz="8" w:color="2D53A6"/>
              <w:right w:val="single" w:sz="8" w:color="2D53A6"/>
            </w:tcBorders>
          </w:tcPr>
          <w:p>
            <w:pPr>
              <w:spacing w:after="0"/>
              <w:rPr>
                <w:sz w:val="23"/>
                <w:szCs w:val="23"/>
                <w:color w:val="auto"/>
              </w:rPr>
            </w:pPr>
          </w:p>
        </w:tc>
        <w:tc>
          <w:tcPr>
            <w:tcW w:w="1680" w:type="dxa"/>
            <w:vAlign w:val="bottom"/>
            <w:tcBorders>
              <w:top w:val="single" w:sz="8" w:color="2D53A6"/>
              <w:right w:val="single" w:sz="8" w:color="2D53A6"/>
            </w:tcBorders>
          </w:tcPr>
          <w:p>
            <w:pPr>
              <w:spacing w:after="0"/>
              <w:rPr>
                <w:sz w:val="23"/>
                <w:szCs w:val="23"/>
                <w:color w:val="auto"/>
              </w:rPr>
            </w:pPr>
          </w:p>
        </w:tc>
        <w:tc>
          <w:tcPr>
            <w:tcW w:w="1660" w:type="dxa"/>
            <w:vAlign w:val="bottom"/>
            <w:tcBorders>
              <w:top w:val="single" w:sz="8" w:color="2D53A6"/>
            </w:tcBorders>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6200" w:type="dxa"/>
            <w:vAlign w:val="bottom"/>
            <w:tcBorders>
              <w:bottom w:val="single" w:sz="8" w:color="2D53A6"/>
              <w:right w:val="single" w:sz="8" w:color="2D53A6"/>
            </w:tcBorders>
          </w:tcPr>
          <w:p>
            <w:pPr>
              <w:spacing w:after="0"/>
              <w:rPr>
                <w:sz w:val="3"/>
                <w:szCs w:val="3"/>
                <w:color w:val="auto"/>
              </w:rPr>
            </w:pPr>
          </w:p>
        </w:tc>
        <w:tc>
          <w:tcPr>
            <w:tcW w:w="1700" w:type="dxa"/>
            <w:vAlign w:val="bottom"/>
            <w:tcBorders>
              <w:bottom w:val="single" w:sz="8" w:color="2D53A6"/>
              <w:right w:val="single" w:sz="8" w:color="2D53A6"/>
            </w:tcBorders>
          </w:tcPr>
          <w:p>
            <w:pPr>
              <w:spacing w:after="0"/>
              <w:rPr>
                <w:sz w:val="3"/>
                <w:szCs w:val="3"/>
                <w:color w:val="auto"/>
              </w:rPr>
            </w:pPr>
          </w:p>
        </w:tc>
        <w:tc>
          <w:tcPr>
            <w:tcW w:w="168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62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Luis A. Müller</w:t>
            </w:r>
          </w:p>
        </w:tc>
        <w:tc>
          <w:tcPr>
            <w:tcW w:w="1700" w:type="dxa"/>
            <w:vAlign w:val="bottom"/>
            <w:tcBorders>
              <w:bottom w:val="single" w:sz="8" w:color="E6E6E6"/>
              <w:right w:val="single" w:sz="8" w:color="2D53A6"/>
            </w:tcBorders>
            <w:shd w:val="clear" w:color="auto" w:fill="E6E6E6"/>
          </w:tcPr>
          <w:p>
            <w:pPr>
              <w:spacing w:after="0"/>
              <w:rPr>
                <w:sz w:val="24"/>
                <w:szCs w:val="24"/>
                <w:color w:val="auto"/>
              </w:rPr>
            </w:pPr>
          </w:p>
        </w:tc>
        <w:tc>
          <w:tcPr>
            <w:tcW w:w="1680" w:type="dxa"/>
            <w:vAlign w:val="bottom"/>
            <w:tcBorders>
              <w:bottom w:val="single" w:sz="8" w:color="E6E6E6"/>
              <w:right w:val="single" w:sz="8" w:color="2D53A6"/>
            </w:tcBorders>
            <w:shd w:val="clear" w:color="auto" w:fill="E6E6E6"/>
          </w:tcPr>
          <w:p>
            <w:pPr>
              <w:spacing w:after="0"/>
              <w:rPr>
                <w:sz w:val="24"/>
                <w:szCs w:val="24"/>
                <w:color w:val="auto"/>
              </w:rPr>
            </w:pPr>
          </w:p>
        </w:tc>
        <w:tc>
          <w:tcPr>
            <w:tcW w:w="166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b w:val="1"/>
                <w:bCs w:val="1"/>
                <w:color w:val="auto"/>
              </w:rPr>
              <w:t>Number of Meetings in Fiscal Year 2025</w:t>
            </w:r>
          </w:p>
        </w:tc>
        <w:tc>
          <w:tcPr>
            <w:tcW w:w="17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5</w:t>
            </w:r>
          </w:p>
        </w:tc>
        <w:tc>
          <w:tcPr>
            <w:tcW w:w="16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5</w:t>
            </w:r>
          </w:p>
        </w:tc>
        <w:tc>
          <w:tcPr>
            <w:tcW w:w="16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9"/>
        </w:trPr>
        <w:tc>
          <w:tcPr>
            <w:tcW w:w="6200" w:type="dxa"/>
            <w:vAlign w:val="bottom"/>
            <w:tcBorders>
              <w:bottom w:val="single" w:sz="8" w:color="2D53A6"/>
              <w:right w:val="single" w:sz="8" w:color="2D53A6"/>
            </w:tcBorders>
          </w:tcPr>
          <w:p>
            <w:pPr>
              <w:spacing w:after="0"/>
              <w:rPr>
                <w:sz w:val="2"/>
                <w:szCs w:val="2"/>
                <w:color w:val="auto"/>
              </w:rPr>
            </w:pPr>
          </w:p>
        </w:tc>
        <w:tc>
          <w:tcPr>
            <w:tcW w:w="1700" w:type="dxa"/>
            <w:vAlign w:val="bottom"/>
            <w:tcBorders>
              <w:bottom w:val="single" w:sz="8" w:color="2D53A6"/>
              <w:right w:val="single" w:sz="8" w:color="2D53A6"/>
            </w:tcBorders>
          </w:tcPr>
          <w:p>
            <w:pPr>
              <w:spacing w:after="0"/>
              <w:rPr>
                <w:sz w:val="2"/>
                <w:szCs w:val="2"/>
                <w:color w:val="auto"/>
              </w:rPr>
            </w:pPr>
          </w:p>
        </w:tc>
        <w:tc>
          <w:tcPr>
            <w:tcW w:w="1680" w:type="dxa"/>
            <w:vAlign w:val="bottom"/>
            <w:tcBorders>
              <w:bottom w:val="single" w:sz="8" w:color="2D53A6"/>
              <w:right w:val="single" w:sz="8" w:color="2D53A6"/>
            </w:tcBorders>
          </w:tcPr>
          <w:p>
            <w:pPr>
              <w:spacing w:after="0"/>
              <w:rPr>
                <w:sz w:val="2"/>
                <w:szCs w:val="2"/>
                <w:color w:val="auto"/>
              </w:rPr>
            </w:pPr>
          </w:p>
        </w:tc>
        <w:tc>
          <w:tcPr>
            <w:tcW w:w="16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2D53A6"/>
        </w:rPr>
        <w:t>Audit Committee</w:t>
      </w:r>
    </w:p>
    <w:p>
      <w:pPr>
        <w:spacing w:after="0" w:line="19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independence and performance, enterprise risk assessment and risk management, and execution of Cohu’s cybersecurity risk management strategy. Among other things, the Audit Committee reviews the results of the independent registered public accounting firm’s annual audit and quarterly reviews, including the communications required by the PCAOB; prepares the Audit Committee report for inclusion in the annual proxy statement; annually reviews the Audit Committee charter and the committee’s performance; appoints, evaluates and approves the fees of Cohu’s independent registered public accounting firm and the lead audit engagement partner and reviews rotation of the lead audit engagement partner; reviews and approves the scope of the annual audit, the audit fee and the financial statements; assesses the independence of the independent registered public accounting firm; reviews Cohu’s disclosure controls and procedures, internal controls, including such controls over financial reporting; reviews the adequacy and effectiveness of Cohu’s information security policies and the internal controls regarding information security and cybersecurity; oversees investigations into complaints concerning financial and accounting matters; oversees the work of internal auditors;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spacing w:after="0" w:line="174" w:lineRule="exact"/>
        <w:rPr>
          <w:sz w:val="20"/>
          <w:szCs w:val="20"/>
          <w:color w:val="auto"/>
        </w:rPr>
      </w:pPr>
    </w:p>
    <w:p>
      <w:pPr>
        <w:ind w:right="1040"/>
        <w:spacing w:after="0" w:line="271" w:lineRule="auto"/>
        <w:rPr>
          <w:sz w:val="20"/>
          <w:szCs w:val="20"/>
          <w:color w:val="auto"/>
        </w:rPr>
      </w:pPr>
      <w:r>
        <w:rPr>
          <w:rFonts w:ascii="Arial" w:cs="Arial" w:eastAsia="Arial" w:hAnsi="Arial"/>
          <w:sz w:val="18"/>
          <w:szCs w:val="18"/>
          <w:color w:val="auto"/>
        </w:rPr>
        <w:t xml:space="preserve">The report of the Audit Committee is set forth on page 51 and the charter of the Audit Committee is available at </w:t>
      </w:r>
      <w:r>
        <w:rPr>
          <w:rFonts w:ascii="Arial" w:cs="Arial" w:eastAsia="Arial" w:hAnsi="Arial"/>
          <w:sz w:val="18"/>
          <w:szCs w:val="18"/>
          <w:u w:val="single" w:color="auto"/>
          <w:color w:val="2D53A6"/>
        </w:rPr>
        <w:t>https://cohu.gcs-web.com/corporate-governance/documents-charters</w:t>
      </w:r>
      <w:r>
        <w:rPr>
          <w:rFonts w:ascii="Arial" w:cs="Arial" w:eastAsia="Arial" w:hAnsi="Arial"/>
          <w:sz w:val="18"/>
          <w:szCs w:val="18"/>
          <w:color w:val="000000"/>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Committee</w:t>
      </w:r>
    </w:p>
    <w:p>
      <w:pPr>
        <w:spacing w:after="0" w:line="2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Compensation Committee discharges the Board’s responsibilities relating to determining compensation of Cohu’s executives, makes recommendations to the Board related to compensation of directors, produces an annual report on executive compensation for inclusion in Cohu’s proxy statement, and provides general oversight of Cohu’s compensation structure, including equity compensation plans and benefit programs. Among other things, the Compensation Committee reviews and discusses the “Compensation Discussion and Analysis” with management, and prepares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of the CEO and other Section 16 officers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overseeing executive succession planning; monitoring director and executive stock ownership; periodically reviewing and assessing risks related to compensation structures; administering Cohu’s clawback policy; and annually evaluating its performance and its charter.</w:t>
      </w:r>
    </w:p>
    <w:p>
      <w:pPr>
        <w:spacing w:after="0" w:line="174" w:lineRule="exact"/>
        <w:rPr>
          <w:sz w:val="20"/>
          <w:szCs w:val="20"/>
          <w:color w:val="auto"/>
        </w:rPr>
      </w:pPr>
    </w:p>
    <w:p>
      <w:pPr>
        <w:ind w:right="1100"/>
        <w:spacing w:after="0" w:line="271" w:lineRule="auto"/>
        <w:rPr>
          <w:sz w:val="20"/>
          <w:szCs w:val="20"/>
          <w:color w:val="auto"/>
        </w:rPr>
      </w:pPr>
      <w:r>
        <w:rPr>
          <w:rFonts w:ascii="Arial" w:cs="Arial" w:eastAsia="Arial" w:hAnsi="Arial"/>
          <w:sz w:val="18"/>
          <w:szCs w:val="18"/>
          <w:color w:val="auto"/>
        </w:rPr>
        <w:t xml:space="preserve">The report of the Compensation Committee is set forth on page 37. The charter of the Compensation Committee is available at </w:t>
      </w:r>
      <w:r>
        <w:rPr>
          <w:rFonts w:ascii="Arial" w:cs="Arial" w:eastAsia="Arial" w:hAnsi="Arial"/>
          <w:sz w:val="18"/>
          <w:szCs w:val="18"/>
          <w:u w:val="single" w:color="auto"/>
          <w:color w:val="2D53A6"/>
        </w:rPr>
        <w:t>https://cohu.gcs-web.com/corporate-governance/documents-charters</w:t>
      </w:r>
      <w:r>
        <w:rPr>
          <w:rFonts w:ascii="Arial" w:cs="Arial" w:eastAsia="Arial" w:hAnsi="Arial"/>
          <w:sz w:val="18"/>
          <w:szCs w:val="18"/>
          <w:color w:val="000000"/>
        </w:rPr>
        <w: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Nominating and Governance Committee</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Nominating and Governance Committee identifies individuals qualified to become Board members and establishes the procedures for the nomination of Board candidates for election as directors at Cohu’s annual meeting consistent with criteria the Nominating and Governance Committee deems appropriate, as approved by the Board; develops Cohu’s Corporate Governance Guidelines for approval by the Board, and reviews and recommends updates to such Guidelines, as appropriate; oversees the Company’s corporate responsibility and sustainability initiatives; oversees the organization of the Board to discharge the Board’s duties and responsibilities properly and efficiently, including the annual evaluation of the Board and its committees; and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articles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reviewing and assessing the channels through which the Board receives information, and the quality and timeliness of information received; and reviewing, overseeing and reporting to the Board on Cohu’s corporate responsibility and sustainability initiatives, including potential trends and impacts to Cohu’s business regarding environmental (including climate-related risks and opportunities), social and governance issues. The Chair of the Nominating and Governance Committee receives communications directed to non-employee directors.</w:t>
      </w:r>
    </w:p>
    <w:p>
      <w:pPr>
        <w:spacing w:after="0" w:line="18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 xml:space="preserve">The charter of the Nominating and Governance Committee is available at </w:t>
      </w:r>
      <w:r>
        <w:rPr>
          <w:rFonts w:ascii="Arial" w:cs="Arial" w:eastAsia="Arial" w:hAnsi="Arial"/>
          <w:sz w:val="18"/>
          <w:szCs w:val="18"/>
          <w:u w:val="single" w:color="auto"/>
          <w:color w:val="2D53A6"/>
        </w:rPr>
        <w:t>https://cohu.gcs-web.com/corporate-governance/documents-charters</w:t>
      </w:r>
      <w:r>
        <w:rPr>
          <w:rFonts w:ascii="Arial" w:cs="Arial" w:eastAsia="Arial" w:hAnsi="Arial"/>
          <w:sz w:val="18"/>
          <w:szCs w:val="18"/>
          <w:color w:val="000000"/>
        </w:rPr>
        <w: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Board Leadership Structure</w:t>
      </w:r>
    </w:p>
    <w:p>
      <w:pPr>
        <w:spacing w:after="0" w:line="20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As of the date of this proxy statement, our Board is currently comprised of seven (7) independent directors, one (1) non-independent, non-executive director (Mr. Donahue, as the former CEO of Cohu), and one (1) executive director (Dr. Müller, our CEO). Our corporate governance principles provide that the Board will fill the Chairperson and Chief Executive Officer positions based upon the Board’s view of what is in Cohu’s best interests at any point in time and do not prevent our Chief Executive Officer from also serving as our Chairperson of the Board. Our Board evaluates its leadership structure and elects the Chairperson and the Chief Executive Officer based on the criteria it deems to be appropriate and in the best interests of Cohu and its stockholders, given the circumstances at the time of such election. While we have in the past had one person serve as Chairperson of the Board and Chief Executive Officer, the positions are currently held by separate individuals.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Separating the positions of Chief Executive Officer and Chairperson of the Board allows our Chief Executive Officer to focus on the day-to-day operations and strategy of our business, while allowing the Chairperson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Müller serve as Cohu’s Chief Executive Officer and Mr. Donahue serve as Chairperson, in combination with Mr. Bilodeau’s service as Lead Independent Director, is in the best interests of Cohu and its stockholders.</w:t>
      </w:r>
    </w:p>
    <w:p>
      <w:pPr>
        <w:spacing w:after="0" w:line="1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Cohu’s Corporate Governance Guidelines provide for the circumstances in which the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spacing w:after="0" w:line="16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specific responsibilities of the Lead Independent Director include presiding at executive sessions of directors and at board meetings where the Chairperson is not present, calling meetings of independent directors, serving as a liaison between the independent directors and the Chairperson and CEO, annually evaluating the performance of the CEO and performing such other duties and responsibilities as the Board may determine.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Risk Oversight</w:t>
      </w:r>
    </w:p>
    <w:p>
      <w:pPr>
        <w:spacing w:after="0" w:line="20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cybersecurity, artificial intelligence (“AI”), and compliance and reporting levels. Management annually prepares an enterprise risk assessment and reviews such assessment with the Board. In 2025, the management team, with Board support, established an AI governance framework which is intended to be flexible enough to keep pace with emerging opportunities, challenges and risks, as well as the evolving international regulatory environment. Our governance structure provides for technical and AI risk assessment and oversight by a management group known as the AI Implementation Committee with a focus on the innovative and responsible use of emerging AI-enabled solutions. The AI Implementation Committee provides periodic updates to our Board regarding our AI governance process, reviews and progress on implementation.</w:t>
      </w:r>
    </w:p>
    <w:p>
      <w:pPr>
        <w:spacing w:after="0" w:line="17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While our Board is ultimately responsible for risk oversight, our Board committees assist our Board in fulfilling its oversight responsibilities in certain areas of risk. Our Audit Committee assists our Board in fulfilling its oversight responsibilities with respect to risk management in the areas of internal control over financial reporting and disclosure controls and procedures, and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In addition, our Audit Committee monitors certain key risks on a regular basis throughout the fiscal year, such as risk associated with internal control over financial reporting, liquidity and cybersecurity. Five (5) of our directors, including two (2) members of the Audit Committee, have completed a course on cybersecurity and earned the CERT Certificate in Cybersecurity Oversight from the National Association of Corporate Directors (NACD). Our Nominating and Governance Committee assists our Board in fulfilling its oversight responsibilities with respect to the management of risk associated with board organization, membership and structure, corporate governance and sustainability risks. Our Compensation Committee oversees risks related to our compensation policies to ensure that our compensation programs do not encourage unnecessary risk-taking. Finally, our full Board reviews strategic and operational risk in the context of reports from the management team, receives reports on all significant committee activities at each regular meeting, and evaluates the risks inherent in significant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2D53A6"/>
        </w:rPr>
        <w:t>Stockholder Nominees</w:t>
      </w:r>
    </w:p>
    <w:p>
      <w:pPr>
        <w:spacing w:after="0" w:line="20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capability, background and perspective on the Board and to address the membership criteria set forth under “Director Qualifications”.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Any stockholder nominations proposed for consideration by the Nominating and Governance Committee should include the nominee’s name and qualifications for Board membership and should be addressed to:</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Cohu, Inc.</w:t>
      </w:r>
    </w:p>
    <w:p>
      <w:pPr>
        <w:ind w:left="660"/>
        <w:spacing w:after="0" w:line="234" w:lineRule="auto"/>
        <w:rPr>
          <w:sz w:val="20"/>
          <w:szCs w:val="20"/>
          <w:color w:val="auto"/>
        </w:rPr>
      </w:pPr>
      <w:r>
        <w:rPr>
          <w:rFonts w:ascii="Arial" w:cs="Arial" w:eastAsia="Arial" w:hAnsi="Arial"/>
          <w:sz w:val="18"/>
          <w:szCs w:val="18"/>
          <w:color w:val="auto"/>
        </w:rPr>
        <w:t>17087 Via Del Campo</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92127-1711</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the bylaws of Cohu permit stockholders to nominate directors for consideration at an annual stockholder meeting. For a description of the process for nominating directors in accordance with Cohu’s bylaws, see “Stockholder Proposals - 2027 Annual Meeting” on page 53.</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Director Qualifications</w:t>
      </w:r>
    </w:p>
    <w:p>
      <w:pPr>
        <w:spacing w:after="0" w:line="20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Cohu’s Corporate Governance Guidelines are available at </w:t>
      </w:r>
      <w:r>
        <w:rPr>
          <w:rFonts w:ascii="Arial" w:cs="Arial" w:eastAsia="Arial" w:hAnsi="Arial"/>
          <w:sz w:val="18"/>
          <w:szCs w:val="18"/>
          <w:u w:val="single" w:color="auto"/>
          <w:color w:val="2D53A6"/>
        </w:rPr>
        <w:t>https://cohu.gcs-web.com/corporate-governance/documents-charters</w:t>
      </w:r>
      <w:r>
        <w:rPr>
          <w:rFonts w:ascii="Arial" w:cs="Arial" w:eastAsia="Arial" w:hAnsi="Arial"/>
          <w:sz w:val="18"/>
          <w:szCs w:val="18"/>
          <w:color w:val="auto"/>
        </w:rPr>
        <w:t xml:space="preserve"> and contain Board membership criteria that apply to nominees recommended by the Nominating and Governance Committee for a position on Cohu’s Board. Under these criteria, members of the Board should have high professional and personal ethics and values and diversity in perspectives and experiences,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In addition, the Board and Nominating and Governance Committee value economic, professional and educational diversity in evaluating new Board candidates and seek to incorporate a wide range of these attributes within Cohu’s Board. Their service on other boards of public companies should be limited to a number that permits them, given their individual circumstances, to responsibly perform all director duties. Consistent with these values, our Board has interviewed and considered a diverse set of candidates each time it has made new appointments to the Cohu Board. As demonstrated by our past recruitment actions, in future director searches, we will continue to broadly seek and consider qualified candidates that we believe best represent the interests of all our stockholders.</w:t>
      </w:r>
    </w:p>
    <w:p>
      <w:pPr>
        <w:spacing w:after="0" w:line="16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Additionally, our Corporate Governance Guidelines, as adopted and annually reviewed by our Board, include a retirement policy under which non-executive directors may stand for re-election to a maximum of one-term after reaching the age of 75, provided that the Nominating and Governance Committee and the Board determine it is in the best interests of the Company and its stockholders. Consistent with such policy, the Nominating and Governance Committee and the Board evaluated and determined that the nomination of Mr. Bendush for an additional term pending his re-election in 2026 (See Proposal No. 1) is in the best interest of the Company and its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Identifying and Evaluating Nominees for Directors</w:t>
      </w:r>
    </w:p>
    <w:p>
      <w:pPr>
        <w:spacing w:after="0" w:line="2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backgrounds and perspectives, experience and capability on the Board. The Board believes it is important for the Board to have diversity of knowledge base, life perspectives, professional experience and skills, and the Board and Nominating and Governance Committee takes these qualities into account when considering director nominees.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2D53A6"/>
        </w:rPr>
        <w:t>Executive Sessions</w:t>
      </w:r>
    </w:p>
    <w:p>
      <w:pPr>
        <w:spacing w:after="0" w:line="200"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Executive sessions of independent directors, without management and non-independent directors present, are held at least three times a year. The sessions are scheduled, and chaired by the Lead Independent Director or, in the absence of the Lead Independent Director, the Chair of the Nominating and Governance Committee. Any independent director can request that an additional executive session be scheduled.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Communications with the Board</w:t>
      </w:r>
    </w:p>
    <w:p>
      <w:pPr>
        <w:spacing w:after="0" w:line="200"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 xml:space="preserve">Individuals may communicate with the Board, including the non-employee directors, by submitting an e-mail to Cohu’s Board at </w:t>
      </w:r>
      <w:r>
        <w:rPr>
          <w:rFonts w:ascii="Arial" w:cs="Arial" w:eastAsia="Arial" w:hAnsi="Arial"/>
          <w:sz w:val="18"/>
          <w:szCs w:val="18"/>
          <w:u w:val="single" w:color="auto"/>
          <w:color w:val="2D53A6"/>
        </w:rPr>
        <w:t>corp@cohu.com</w:t>
      </w:r>
      <w:r>
        <w:rPr>
          <w:rFonts w:ascii="Arial" w:cs="Arial" w:eastAsia="Arial" w:hAnsi="Arial"/>
          <w:sz w:val="18"/>
          <w:szCs w:val="18"/>
          <w:color w:val="2D53A6"/>
        </w:rPr>
        <w:t xml:space="preserve"> </w:t>
      </w:r>
      <w:r>
        <w:rPr>
          <w:rFonts w:ascii="Arial" w:cs="Arial" w:eastAsia="Arial" w:hAnsi="Arial"/>
          <w:sz w:val="18"/>
          <w:szCs w:val="18"/>
          <w:color w:val="000000"/>
        </w:rPr>
        <w:t>or by sending a letter to the Cohu Board of Directors, c/o Corporate Secretary, Cohu, Inc., 17087 Via Del Campo San</w:t>
      </w:r>
      <w:r>
        <w:rPr>
          <w:rFonts w:ascii="Arial" w:cs="Arial" w:eastAsia="Arial" w:hAnsi="Arial"/>
          <w:sz w:val="18"/>
          <w:szCs w:val="18"/>
          <w:color w:val="2D53A6"/>
        </w:rPr>
        <w:t xml:space="preserve"> </w:t>
      </w:r>
      <w:r>
        <w:rPr>
          <w:rFonts w:ascii="Arial" w:cs="Arial" w:eastAsia="Arial" w:hAnsi="Arial"/>
          <w:sz w:val="18"/>
          <w:szCs w:val="18"/>
          <w:color w:val="000000"/>
        </w:rPr>
        <w:t>Diego, CA 92127-1711. Communications are distributed to our Board, or to individual directors as appropriate, depending on the facts and circumstances outlined in the communication.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Directors who are employees of Cohu do not receive any additional compensation for their services as directors. During fiscal year 2025, non-employee directors received an annual retainer, and Board committee Chairs and members received annual fees, all paid quarterly, as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5180" w:type="dxa"/>
            <w:vAlign w:val="bottom"/>
            <w:tcBorders>
              <w:bottom w:val="single" w:sz="8" w:color="2D53A6"/>
              <w:right w:val="single" w:sz="8" w:color="2D53A6"/>
            </w:tcBorders>
            <w:shd w:val="clear" w:color="auto" w:fill="2D53A6"/>
          </w:tcPr>
          <w:p>
            <w:pPr>
              <w:spacing w:after="0"/>
              <w:rPr>
                <w:sz w:val="24"/>
                <w:szCs w:val="24"/>
                <w:color w:val="auto"/>
              </w:rPr>
            </w:pPr>
          </w:p>
        </w:tc>
        <w:tc>
          <w:tcPr>
            <w:tcW w:w="4400" w:type="dxa"/>
            <w:vAlign w:val="bottom"/>
            <w:tcBorders>
              <w:bottom w:val="single" w:sz="8" w:color="2D53A6"/>
              <w:right w:val="single" w:sz="8" w:color="2D53A6"/>
            </w:tcBorders>
            <w:shd w:val="clear" w:color="auto" w:fill="2D53A6"/>
          </w:tcPr>
          <w:p>
            <w:pPr>
              <w:ind w:left="60"/>
              <w:spacing w:after="0"/>
              <w:rPr>
                <w:sz w:val="20"/>
                <w:szCs w:val="20"/>
                <w:color w:val="auto"/>
              </w:rPr>
            </w:pPr>
            <w:r>
              <w:rPr>
                <w:rFonts w:ascii="Arial" w:cs="Arial" w:eastAsia="Arial" w:hAnsi="Arial"/>
                <w:sz w:val="20"/>
                <w:szCs w:val="20"/>
                <w:b w:val="1"/>
                <w:bCs w:val="1"/>
                <w:color w:val="FFFFFF"/>
              </w:rPr>
              <w:t>Compensation</w:t>
            </w:r>
          </w:p>
        </w:tc>
        <w:tc>
          <w:tcPr>
            <w:tcW w:w="1660" w:type="dxa"/>
            <w:vAlign w:val="bottom"/>
            <w:tcBorders>
              <w:bottom w:val="single" w:sz="8" w:color="2D53A6"/>
            </w:tcBorders>
            <w:shd w:val="clear" w:color="auto" w:fill="2D53A6"/>
          </w:tcPr>
          <w:p>
            <w:pPr>
              <w:jc w:val="right"/>
              <w:ind w:right="529"/>
              <w:spacing w:after="0"/>
              <w:rPr>
                <w:sz w:val="20"/>
                <w:szCs w:val="20"/>
                <w:color w:val="auto"/>
              </w:rPr>
            </w:pPr>
            <w:r>
              <w:rPr>
                <w:rFonts w:ascii="Arial" w:cs="Arial" w:eastAsia="Arial" w:hAnsi="Arial"/>
                <w:sz w:val="20"/>
                <w:szCs w:val="20"/>
                <w:b w:val="1"/>
                <w:bCs w:val="1"/>
                <w:color w:val="FFFFFF"/>
              </w:rPr>
              <w:t>2025</w:t>
            </w:r>
          </w:p>
        </w:tc>
        <w:tc>
          <w:tcPr>
            <w:tcW w:w="0" w:type="dxa"/>
            <w:vAlign w:val="bottom"/>
          </w:tcPr>
          <w:p>
            <w:pPr>
              <w:spacing w:after="0"/>
              <w:rPr>
                <w:sz w:val="1"/>
                <w:szCs w:val="1"/>
                <w:color w:val="auto"/>
              </w:rPr>
            </w:pPr>
          </w:p>
        </w:tc>
      </w:tr>
      <w:tr>
        <w:trPr>
          <w:trHeight w:val="274"/>
        </w:trPr>
        <w:tc>
          <w:tcPr>
            <w:tcW w:w="5180" w:type="dxa"/>
            <w:vAlign w:val="bottom"/>
            <w:tcBorders>
              <w:right w:val="single" w:sz="8" w:color="2D53A6"/>
            </w:tcBorders>
          </w:tcPr>
          <w:p>
            <w:pPr>
              <w:spacing w:after="0"/>
              <w:rPr>
                <w:sz w:val="23"/>
                <w:szCs w:val="23"/>
                <w:color w:val="auto"/>
              </w:rPr>
            </w:pPr>
          </w:p>
        </w:tc>
        <w:tc>
          <w:tcPr>
            <w:tcW w:w="4400" w:type="dxa"/>
            <w:vAlign w:val="bottom"/>
            <w:tcBorders>
              <w:right w:val="single" w:sz="8" w:color="2D53A6"/>
            </w:tcBorders>
          </w:tcPr>
          <w:p>
            <w:pPr>
              <w:ind w:left="220"/>
              <w:spacing w:after="0"/>
              <w:rPr>
                <w:sz w:val="20"/>
                <w:szCs w:val="20"/>
                <w:color w:val="auto"/>
              </w:rPr>
            </w:pPr>
            <w:r>
              <w:rPr>
                <w:rFonts w:ascii="Arial" w:cs="Arial" w:eastAsia="Arial" w:hAnsi="Arial"/>
                <w:sz w:val="18"/>
                <w:szCs w:val="18"/>
                <w:color w:val="auto"/>
              </w:rPr>
              <w:t>Chairperson of the Board</w:t>
            </w:r>
          </w:p>
        </w:tc>
        <w:tc>
          <w:tcPr>
            <w:tcW w:w="1660" w:type="dxa"/>
            <w:vAlign w:val="bottom"/>
          </w:tcPr>
          <w:p>
            <w:pPr>
              <w:jc w:val="right"/>
              <w:ind w:right="129"/>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37"/>
        </w:trPr>
        <w:tc>
          <w:tcPr>
            <w:tcW w:w="5180" w:type="dxa"/>
            <w:vAlign w:val="bottom"/>
            <w:tcBorders>
              <w:right w:val="single" w:sz="8" w:color="2D53A6"/>
            </w:tcBorders>
          </w:tcPr>
          <w:p>
            <w:pPr>
              <w:spacing w:after="0"/>
              <w:rPr>
                <w:sz w:val="3"/>
                <w:szCs w:val="3"/>
                <w:color w:val="auto"/>
              </w:rPr>
            </w:pPr>
          </w:p>
        </w:tc>
        <w:tc>
          <w:tcPr>
            <w:tcW w:w="44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180" w:type="dxa"/>
            <w:vAlign w:val="bottom"/>
            <w:tcBorders>
              <w:right w:val="single" w:sz="8" w:color="2D53A6"/>
            </w:tcBorders>
          </w:tcPr>
          <w:p>
            <w:pPr>
              <w:ind w:left="60"/>
              <w:spacing w:after="0"/>
              <w:rPr>
                <w:sz w:val="20"/>
                <w:szCs w:val="20"/>
                <w:color w:val="auto"/>
              </w:rPr>
            </w:pPr>
            <w:r>
              <w:rPr>
                <w:rFonts w:ascii="Arial" w:cs="Arial" w:eastAsia="Arial" w:hAnsi="Arial"/>
                <w:sz w:val="18"/>
                <w:szCs w:val="18"/>
                <w:b w:val="1"/>
                <w:bCs w:val="1"/>
                <w:color w:val="auto"/>
              </w:rPr>
              <w:t>Annual Retainer</w:t>
            </w:r>
          </w:p>
        </w:tc>
        <w:tc>
          <w:tcPr>
            <w:tcW w:w="4400" w:type="dxa"/>
            <w:vAlign w:val="bottom"/>
            <w:tcBorders>
              <w:right w:val="single" w:sz="8" w:color="2D53A6"/>
            </w:tcBorders>
          </w:tcPr>
          <w:p>
            <w:pPr>
              <w:ind w:left="220"/>
              <w:spacing w:after="0"/>
              <w:rPr>
                <w:sz w:val="20"/>
                <w:szCs w:val="20"/>
                <w:color w:val="auto"/>
              </w:rPr>
            </w:pPr>
            <w:r>
              <w:rPr>
                <w:rFonts w:ascii="Arial" w:cs="Arial" w:eastAsia="Arial" w:hAnsi="Arial"/>
                <w:sz w:val="18"/>
                <w:szCs w:val="18"/>
                <w:color w:val="auto"/>
              </w:rPr>
              <w:t>Lead Independent Director</w:t>
            </w:r>
          </w:p>
        </w:tc>
        <w:tc>
          <w:tcPr>
            <w:tcW w:w="1660" w:type="dxa"/>
            <w:vAlign w:val="bottom"/>
          </w:tcPr>
          <w:p>
            <w:pPr>
              <w:jc w:val="right"/>
              <w:ind w:right="129"/>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8"/>
        </w:trPr>
        <w:tc>
          <w:tcPr>
            <w:tcW w:w="5180" w:type="dxa"/>
            <w:vAlign w:val="bottom"/>
            <w:tcBorders>
              <w:right w:val="single" w:sz="8" w:color="2D53A6"/>
            </w:tcBorders>
          </w:tcPr>
          <w:p>
            <w:pPr>
              <w:spacing w:after="0"/>
              <w:rPr>
                <w:sz w:val="2"/>
                <w:szCs w:val="2"/>
                <w:color w:val="auto"/>
              </w:rPr>
            </w:pPr>
          </w:p>
        </w:tc>
        <w:tc>
          <w:tcPr>
            <w:tcW w:w="4400" w:type="dxa"/>
            <w:vAlign w:val="bottom"/>
            <w:tcBorders>
              <w:bottom w:val="single" w:sz="8" w:color="2D53A6"/>
              <w:right w:val="single" w:sz="8" w:color="2D53A6"/>
            </w:tcBorders>
          </w:tcPr>
          <w:p>
            <w:pPr>
              <w:spacing w:after="0"/>
              <w:rPr>
                <w:sz w:val="2"/>
                <w:szCs w:val="2"/>
                <w:color w:val="auto"/>
              </w:rPr>
            </w:pPr>
          </w:p>
        </w:tc>
        <w:tc>
          <w:tcPr>
            <w:tcW w:w="16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Borders>
              <w:right w:val="single" w:sz="8" w:color="2D53A6"/>
            </w:tcBorders>
          </w:tcPr>
          <w:p>
            <w:pPr>
              <w:spacing w:after="0"/>
              <w:rPr>
                <w:sz w:val="23"/>
                <w:szCs w:val="23"/>
                <w:color w:val="auto"/>
              </w:rPr>
            </w:pPr>
          </w:p>
        </w:tc>
        <w:tc>
          <w:tcPr>
            <w:tcW w:w="4400" w:type="dxa"/>
            <w:vAlign w:val="bottom"/>
            <w:tcBorders>
              <w:right w:val="single" w:sz="8" w:color="2D53A6"/>
            </w:tcBorders>
          </w:tcPr>
          <w:p>
            <w:pPr>
              <w:ind w:left="220"/>
              <w:spacing w:after="0"/>
              <w:rPr>
                <w:sz w:val="20"/>
                <w:szCs w:val="20"/>
                <w:color w:val="auto"/>
              </w:rPr>
            </w:pPr>
            <w:r>
              <w:rPr>
                <w:rFonts w:ascii="Arial" w:cs="Arial" w:eastAsia="Arial" w:hAnsi="Arial"/>
                <w:sz w:val="18"/>
                <w:szCs w:val="18"/>
                <w:color w:val="auto"/>
              </w:rPr>
              <w:t>Other Directors</w:t>
            </w:r>
          </w:p>
        </w:tc>
        <w:tc>
          <w:tcPr>
            <w:tcW w:w="1660" w:type="dxa"/>
            <w:vAlign w:val="bottom"/>
          </w:tcPr>
          <w:p>
            <w:pPr>
              <w:jc w:val="right"/>
              <w:ind w:right="129"/>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36"/>
        </w:trPr>
        <w:tc>
          <w:tcPr>
            <w:tcW w:w="5180" w:type="dxa"/>
            <w:vAlign w:val="bottom"/>
            <w:tcBorders>
              <w:bottom w:val="single" w:sz="8" w:color="2D53A6"/>
              <w:right w:val="single" w:sz="8" w:color="2D53A6"/>
            </w:tcBorders>
          </w:tcPr>
          <w:p>
            <w:pPr>
              <w:spacing w:after="0"/>
              <w:rPr>
                <w:sz w:val="3"/>
                <w:szCs w:val="3"/>
                <w:color w:val="auto"/>
              </w:rPr>
            </w:pPr>
          </w:p>
        </w:tc>
        <w:tc>
          <w:tcPr>
            <w:tcW w:w="44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180" w:type="dxa"/>
            <w:vAlign w:val="bottom"/>
            <w:tcBorders>
              <w:right w:val="single" w:sz="8" w:color="2D53A6"/>
            </w:tcBorders>
            <w:vMerge w:val="restart"/>
          </w:tcPr>
          <w:p>
            <w:pPr>
              <w:ind w:left="60"/>
              <w:spacing w:after="0"/>
              <w:rPr>
                <w:sz w:val="20"/>
                <w:szCs w:val="20"/>
                <w:color w:val="auto"/>
              </w:rPr>
            </w:pPr>
            <w:r>
              <w:rPr>
                <w:rFonts w:ascii="Arial" w:cs="Arial" w:eastAsia="Arial" w:hAnsi="Arial"/>
                <w:sz w:val="18"/>
                <w:szCs w:val="18"/>
                <w:b w:val="1"/>
                <w:bCs w:val="1"/>
                <w:color w:val="auto"/>
              </w:rPr>
              <w:t>Annual Fees for</w:t>
            </w:r>
          </w:p>
        </w:tc>
        <w:tc>
          <w:tcPr>
            <w:tcW w:w="4400" w:type="dxa"/>
            <w:vAlign w:val="bottom"/>
            <w:tcBorders>
              <w:right w:val="single" w:sz="8" w:color="2D53A6"/>
            </w:tcBorders>
          </w:tcPr>
          <w:p>
            <w:pPr>
              <w:ind w:left="220"/>
              <w:spacing w:after="0"/>
              <w:rPr>
                <w:sz w:val="20"/>
                <w:szCs w:val="20"/>
                <w:color w:val="auto"/>
              </w:rPr>
            </w:pPr>
            <w:r>
              <w:rPr>
                <w:rFonts w:ascii="Arial" w:cs="Arial" w:eastAsia="Arial" w:hAnsi="Arial"/>
                <w:sz w:val="18"/>
                <w:szCs w:val="18"/>
                <w:color w:val="auto"/>
              </w:rPr>
              <w:t>Audit Committee</w:t>
            </w:r>
          </w:p>
        </w:tc>
        <w:tc>
          <w:tcPr>
            <w:tcW w:w="1660" w:type="dxa"/>
            <w:vAlign w:val="bottom"/>
          </w:tcPr>
          <w:p>
            <w:pPr>
              <w:jc w:val="right"/>
              <w:ind w:right="129"/>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7"/>
        </w:trPr>
        <w:tc>
          <w:tcPr>
            <w:tcW w:w="5180" w:type="dxa"/>
            <w:vAlign w:val="bottom"/>
            <w:tcBorders>
              <w:right w:val="single" w:sz="8" w:color="2D53A6"/>
            </w:tcBorders>
            <w:vMerge w:val="continue"/>
          </w:tcPr>
          <w:p>
            <w:pPr>
              <w:spacing w:after="0"/>
              <w:rPr>
                <w:sz w:val="3"/>
                <w:szCs w:val="3"/>
                <w:color w:val="auto"/>
              </w:rPr>
            </w:pPr>
          </w:p>
        </w:tc>
        <w:tc>
          <w:tcPr>
            <w:tcW w:w="44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5180" w:type="dxa"/>
            <w:vAlign w:val="bottom"/>
            <w:tcBorders>
              <w:right w:val="single" w:sz="8" w:color="2D53A6"/>
            </w:tcBorders>
            <w:vMerge w:val="continue"/>
          </w:tcPr>
          <w:p>
            <w:pPr>
              <w:spacing w:after="0"/>
              <w:rPr>
                <w:sz w:val="10"/>
                <w:szCs w:val="10"/>
                <w:color w:val="auto"/>
              </w:rPr>
            </w:pPr>
          </w:p>
        </w:tc>
        <w:tc>
          <w:tcPr>
            <w:tcW w:w="4400" w:type="dxa"/>
            <w:vAlign w:val="bottom"/>
            <w:tcBorders>
              <w:right w:val="single" w:sz="8" w:color="2D53A6"/>
            </w:tcBorders>
            <w:vMerge w:val="restart"/>
          </w:tcPr>
          <w:p>
            <w:pPr>
              <w:ind w:left="220"/>
              <w:spacing w:after="0"/>
              <w:rPr>
                <w:sz w:val="20"/>
                <w:szCs w:val="20"/>
                <w:color w:val="auto"/>
              </w:rPr>
            </w:pPr>
            <w:r>
              <w:rPr>
                <w:rFonts w:ascii="Arial" w:cs="Arial" w:eastAsia="Arial" w:hAnsi="Arial"/>
                <w:sz w:val="18"/>
                <w:szCs w:val="18"/>
                <w:color w:val="auto"/>
              </w:rPr>
              <w:t>Compensation Committee</w:t>
            </w:r>
          </w:p>
        </w:tc>
        <w:tc>
          <w:tcPr>
            <w:tcW w:w="1660" w:type="dxa"/>
            <w:vAlign w:val="bottom"/>
            <w:vMerge w:val="restart"/>
          </w:tcPr>
          <w:p>
            <w:pPr>
              <w:jc w:val="right"/>
              <w:ind w:right="129"/>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144"/>
        </w:trPr>
        <w:tc>
          <w:tcPr>
            <w:tcW w:w="5180" w:type="dxa"/>
            <w:vAlign w:val="bottom"/>
            <w:tcBorders>
              <w:right w:val="single" w:sz="8" w:color="2D53A6"/>
            </w:tcBorders>
            <w:vMerge w:val="restart"/>
          </w:tcPr>
          <w:p>
            <w:pPr>
              <w:ind w:left="60"/>
              <w:spacing w:after="0" w:line="161" w:lineRule="exact"/>
              <w:rPr>
                <w:sz w:val="20"/>
                <w:szCs w:val="20"/>
                <w:color w:val="auto"/>
              </w:rPr>
            </w:pPr>
            <w:r>
              <w:rPr>
                <w:rFonts w:ascii="Arial" w:cs="Arial" w:eastAsia="Arial" w:hAnsi="Arial"/>
                <w:sz w:val="18"/>
                <w:szCs w:val="18"/>
                <w:b w:val="1"/>
                <w:bCs w:val="1"/>
                <w:color w:val="auto"/>
              </w:rPr>
              <w:t>Committee Chairs</w:t>
            </w:r>
          </w:p>
        </w:tc>
        <w:tc>
          <w:tcPr>
            <w:tcW w:w="4400" w:type="dxa"/>
            <w:vAlign w:val="bottom"/>
            <w:tcBorders>
              <w:right w:val="single" w:sz="8" w:color="2D53A6"/>
            </w:tcBorders>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180" w:type="dxa"/>
            <w:vAlign w:val="bottom"/>
            <w:tcBorders>
              <w:right w:val="single" w:sz="8" w:color="2D53A6"/>
            </w:tcBorders>
            <w:vMerge w:val="continue"/>
          </w:tcPr>
          <w:p>
            <w:pPr>
              <w:spacing w:after="0"/>
              <w:rPr>
                <w:sz w:val="3"/>
                <w:szCs w:val="3"/>
                <w:color w:val="auto"/>
              </w:rPr>
            </w:pPr>
          </w:p>
        </w:tc>
        <w:tc>
          <w:tcPr>
            <w:tcW w:w="44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5180" w:type="dxa"/>
            <w:vAlign w:val="bottom"/>
            <w:tcBorders>
              <w:right w:val="single" w:sz="8" w:color="2D53A6"/>
            </w:tcBorders>
          </w:tcPr>
          <w:p>
            <w:pPr>
              <w:spacing w:after="0"/>
              <w:rPr>
                <w:sz w:val="23"/>
                <w:szCs w:val="23"/>
                <w:color w:val="auto"/>
              </w:rPr>
            </w:pPr>
          </w:p>
        </w:tc>
        <w:tc>
          <w:tcPr>
            <w:tcW w:w="4400" w:type="dxa"/>
            <w:vAlign w:val="bottom"/>
            <w:tcBorders>
              <w:right w:val="single" w:sz="8" w:color="2D53A6"/>
            </w:tcBorders>
          </w:tcPr>
          <w:p>
            <w:pPr>
              <w:ind w:left="220"/>
              <w:spacing w:after="0"/>
              <w:rPr>
                <w:sz w:val="20"/>
                <w:szCs w:val="20"/>
                <w:color w:val="auto"/>
              </w:rPr>
            </w:pPr>
            <w:r>
              <w:rPr>
                <w:rFonts w:ascii="Arial" w:cs="Arial" w:eastAsia="Arial" w:hAnsi="Arial"/>
                <w:sz w:val="18"/>
                <w:szCs w:val="18"/>
                <w:color w:val="auto"/>
              </w:rPr>
              <w:t>Nominating and Governance Committee</w:t>
            </w:r>
          </w:p>
        </w:tc>
        <w:tc>
          <w:tcPr>
            <w:tcW w:w="1660" w:type="dxa"/>
            <w:vAlign w:val="bottom"/>
          </w:tcPr>
          <w:p>
            <w:pPr>
              <w:jc w:val="right"/>
              <w:ind w:right="129"/>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37"/>
        </w:trPr>
        <w:tc>
          <w:tcPr>
            <w:tcW w:w="5180" w:type="dxa"/>
            <w:vAlign w:val="bottom"/>
            <w:tcBorders>
              <w:bottom w:val="single" w:sz="8" w:color="2D53A6"/>
              <w:right w:val="single" w:sz="8" w:color="2D53A6"/>
            </w:tcBorders>
          </w:tcPr>
          <w:p>
            <w:pPr>
              <w:spacing w:after="0"/>
              <w:rPr>
                <w:sz w:val="3"/>
                <w:szCs w:val="3"/>
                <w:color w:val="auto"/>
              </w:rPr>
            </w:pPr>
          </w:p>
        </w:tc>
        <w:tc>
          <w:tcPr>
            <w:tcW w:w="44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180" w:type="dxa"/>
            <w:vAlign w:val="bottom"/>
            <w:tcBorders>
              <w:right w:val="single" w:sz="8" w:color="2D53A6"/>
            </w:tcBorders>
            <w:vMerge w:val="restart"/>
          </w:tcPr>
          <w:p>
            <w:pPr>
              <w:ind w:left="60"/>
              <w:spacing w:after="0"/>
              <w:rPr>
                <w:sz w:val="20"/>
                <w:szCs w:val="20"/>
                <w:color w:val="auto"/>
              </w:rPr>
            </w:pPr>
            <w:r>
              <w:rPr>
                <w:rFonts w:ascii="Arial" w:cs="Arial" w:eastAsia="Arial" w:hAnsi="Arial"/>
                <w:sz w:val="18"/>
                <w:szCs w:val="18"/>
                <w:b w:val="1"/>
                <w:bCs w:val="1"/>
                <w:color w:val="auto"/>
              </w:rPr>
              <w:t>Annual Fees for Other</w:t>
            </w:r>
          </w:p>
        </w:tc>
        <w:tc>
          <w:tcPr>
            <w:tcW w:w="4400" w:type="dxa"/>
            <w:vAlign w:val="bottom"/>
            <w:tcBorders>
              <w:right w:val="single" w:sz="8" w:color="2D53A6"/>
            </w:tcBorders>
          </w:tcPr>
          <w:p>
            <w:pPr>
              <w:ind w:left="220"/>
              <w:spacing w:after="0"/>
              <w:rPr>
                <w:sz w:val="20"/>
                <w:szCs w:val="20"/>
                <w:color w:val="auto"/>
              </w:rPr>
            </w:pPr>
            <w:r>
              <w:rPr>
                <w:rFonts w:ascii="Arial" w:cs="Arial" w:eastAsia="Arial" w:hAnsi="Arial"/>
                <w:sz w:val="18"/>
                <w:szCs w:val="18"/>
                <w:color w:val="auto"/>
              </w:rPr>
              <w:t>Audit Committee</w:t>
            </w:r>
          </w:p>
        </w:tc>
        <w:tc>
          <w:tcPr>
            <w:tcW w:w="1660" w:type="dxa"/>
            <w:vAlign w:val="bottom"/>
          </w:tcPr>
          <w:p>
            <w:pPr>
              <w:jc w:val="right"/>
              <w:ind w:right="129"/>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37"/>
        </w:trPr>
        <w:tc>
          <w:tcPr>
            <w:tcW w:w="5180" w:type="dxa"/>
            <w:vAlign w:val="bottom"/>
            <w:tcBorders>
              <w:right w:val="single" w:sz="8" w:color="2D53A6"/>
            </w:tcBorders>
            <w:vMerge w:val="continue"/>
          </w:tcPr>
          <w:p>
            <w:pPr>
              <w:spacing w:after="0"/>
              <w:rPr>
                <w:sz w:val="3"/>
                <w:szCs w:val="3"/>
                <w:color w:val="auto"/>
              </w:rPr>
            </w:pPr>
          </w:p>
        </w:tc>
        <w:tc>
          <w:tcPr>
            <w:tcW w:w="44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5180" w:type="dxa"/>
            <w:vAlign w:val="bottom"/>
            <w:tcBorders>
              <w:right w:val="single" w:sz="8" w:color="2D53A6"/>
            </w:tcBorders>
            <w:vMerge w:val="continue"/>
          </w:tcPr>
          <w:p>
            <w:pPr>
              <w:spacing w:after="0"/>
              <w:rPr>
                <w:sz w:val="10"/>
                <w:szCs w:val="10"/>
                <w:color w:val="auto"/>
              </w:rPr>
            </w:pPr>
          </w:p>
        </w:tc>
        <w:tc>
          <w:tcPr>
            <w:tcW w:w="4400" w:type="dxa"/>
            <w:vAlign w:val="bottom"/>
            <w:tcBorders>
              <w:right w:val="single" w:sz="8" w:color="2D53A6"/>
            </w:tcBorders>
            <w:vMerge w:val="restart"/>
          </w:tcPr>
          <w:p>
            <w:pPr>
              <w:ind w:left="220"/>
              <w:spacing w:after="0"/>
              <w:rPr>
                <w:sz w:val="20"/>
                <w:szCs w:val="20"/>
                <w:color w:val="auto"/>
              </w:rPr>
            </w:pPr>
            <w:r>
              <w:rPr>
                <w:rFonts w:ascii="Arial" w:cs="Arial" w:eastAsia="Arial" w:hAnsi="Arial"/>
                <w:sz w:val="18"/>
                <w:szCs w:val="18"/>
                <w:color w:val="auto"/>
              </w:rPr>
              <w:t>Compensation Committee</w:t>
            </w:r>
          </w:p>
        </w:tc>
        <w:tc>
          <w:tcPr>
            <w:tcW w:w="1660" w:type="dxa"/>
            <w:vAlign w:val="bottom"/>
            <w:vMerge w:val="restart"/>
          </w:tcPr>
          <w:p>
            <w:pPr>
              <w:jc w:val="right"/>
              <w:ind w:right="129"/>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144"/>
        </w:trPr>
        <w:tc>
          <w:tcPr>
            <w:tcW w:w="5180" w:type="dxa"/>
            <w:vAlign w:val="bottom"/>
            <w:tcBorders>
              <w:right w:val="single" w:sz="8" w:color="2D53A6"/>
            </w:tcBorders>
            <w:vMerge w:val="restart"/>
          </w:tcPr>
          <w:p>
            <w:pPr>
              <w:ind w:left="60"/>
              <w:spacing w:after="0" w:line="161" w:lineRule="exact"/>
              <w:rPr>
                <w:sz w:val="20"/>
                <w:szCs w:val="20"/>
                <w:color w:val="auto"/>
              </w:rPr>
            </w:pPr>
            <w:r>
              <w:rPr>
                <w:rFonts w:ascii="Arial" w:cs="Arial" w:eastAsia="Arial" w:hAnsi="Arial"/>
                <w:sz w:val="18"/>
                <w:szCs w:val="18"/>
                <w:b w:val="1"/>
                <w:bCs w:val="1"/>
                <w:color w:val="auto"/>
              </w:rPr>
              <w:t>Committee Members</w:t>
            </w:r>
          </w:p>
        </w:tc>
        <w:tc>
          <w:tcPr>
            <w:tcW w:w="4400" w:type="dxa"/>
            <w:vAlign w:val="bottom"/>
            <w:tcBorders>
              <w:right w:val="single" w:sz="8" w:color="2D53A6"/>
            </w:tcBorders>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180" w:type="dxa"/>
            <w:vAlign w:val="bottom"/>
            <w:tcBorders>
              <w:right w:val="single" w:sz="8" w:color="2D53A6"/>
            </w:tcBorders>
            <w:vMerge w:val="continue"/>
          </w:tcPr>
          <w:p>
            <w:pPr>
              <w:spacing w:after="0"/>
              <w:rPr>
                <w:sz w:val="3"/>
                <w:szCs w:val="3"/>
                <w:color w:val="auto"/>
              </w:rPr>
            </w:pPr>
          </w:p>
        </w:tc>
        <w:tc>
          <w:tcPr>
            <w:tcW w:w="44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180" w:type="dxa"/>
            <w:vAlign w:val="bottom"/>
            <w:tcBorders>
              <w:right w:val="single" w:sz="8" w:color="2D53A6"/>
            </w:tcBorders>
          </w:tcPr>
          <w:p>
            <w:pPr>
              <w:spacing w:after="0"/>
              <w:rPr>
                <w:sz w:val="23"/>
                <w:szCs w:val="23"/>
                <w:color w:val="auto"/>
              </w:rPr>
            </w:pPr>
          </w:p>
        </w:tc>
        <w:tc>
          <w:tcPr>
            <w:tcW w:w="4400" w:type="dxa"/>
            <w:vAlign w:val="bottom"/>
            <w:tcBorders>
              <w:right w:val="single" w:sz="8" w:color="2D53A6"/>
            </w:tcBorders>
          </w:tcPr>
          <w:p>
            <w:pPr>
              <w:ind w:left="220"/>
              <w:spacing w:after="0"/>
              <w:rPr>
                <w:sz w:val="20"/>
                <w:szCs w:val="20"/>
                <w:color w:val="auto"/>
              </w:rPr>
            </w:pPr>
            <w:r>
              <w:rPr>
                <w:rFonts w:ascii="Arial" w:cs="Arial" w:eastAsia="Arial" w:hAnsi="Arial"/>
                <w:sz w:val="18"/>
                <w:szCs w:val="18"/>
                <w:color w:val="auto"/>
              </w:rPr>
              <w:t>Nominating and Governance Committee</w:t>
            </w:r>
          </w:p>
        </w:tc>
        <w:tc>
          <w:tcPr>
            <w:tcW w:w="1660" w:type="dxa"/>
            <w:vAlign w:val="bottom"/>
          </w:tcPr>
          <w:p>
            <w:pPr>
              <w:jc w:val="right"/>
              <w:ind w:right="129"/>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7"/>
        </w:trPr>
        <w:tc>
          <w:tcPr>
            <w:tcW w:w="5180" w:type="dxa"/>
            <w:vAlign w:val="bottom"/>
            <w:tcBorders>
              <w:bottom w:val="single" w:sz="8" w:color="2D53A6"/>
              <w:right w:val="single" w:sz="8" w:color="2D53A6"/>
            </w:tcBorders>
          </w:tcPr>
          <w:p>
            <w:pPr>
              <w:spacing w:after="0"/>
              <w:rPr>
                <w:sz w:val="3"/>
                <w:szCs w:val="3"/>
                <w:color w:val="auto"/>
              </w:rPr>
            </w:pPr>
          </w:p>
        </w:tc>
        <w:tc>
          <w:tcPr>
            <w:tcW w:w="44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addition to the retainers and fees noted above, non-employee directors are reimbursed for out-of-town travel and other reasonable out-of-pocket expenses related to attendance at Board and committee meetings.</w:t>
      </w:r>
    </w:p>
    <w:p>
      <w:pPr>
        <w:spacing w:after="0" w:line="14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Under the terms and conditions of the Cohu 2005 Equity Incentive Plan (the “2005 Plan”) and the proposed Cohu 2026 Equity Incentive Plan (the “2026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Cohu will grant deferred stock units (“DSUs”) in lieu of cash, with an initial value equal to the deferred cash using the same 20-day average closing price calculation used for other value-based grants, which will be settled at a future date through the issuance of Cohu common stock upon the first to occur of cessation of service as a director for any reason, a change in control of Cohu or a future date selected by the director at the time of deferral. Mr. Caggia elected to defer 100% of his 2025 cash-based non-employee director fees.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9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 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for non-employee directors during 2025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2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Initial Appointment</w:t>
            </w:r>
          </w:p>
        </w:tc>
        <w:tc>
          <w:tcPr>
            <w:tcW w:w="8520" w:type="dxa"/>
            <w:vAlign w:val="bottom"/>
            <w:tcBorders>
              <w:top w:val="single" w:sz="8" w:color="2D53A6"/>
            </w:tcBorders>
          </w:tcPr>
          <w:p>
            <w:pPr>
              <w:ind w:left="20"/>
              <w:spacing w:after="0"/>
              <w:rPr>
                <w:sz w:val="20"/>
                <w:szCs w:val="20"/>
                <w:color w:val="auto"/>
              </w:rPr>
            </w:pPr>
            <w:r>
              <w:rPr>
                <w:rFonts w:ascii="Arial" w:cs="Arial" w:eastAsia="Arial" w:hAnsi="Arial"/>
                <w:sz w:val="18"/>
                <w:szCs w:val="18"/>
                <w:color w:val="auto"/>
              </w:rPr>
              <w:t>RSUs with a total value of $167,500, but the total value of such grant is prorated based on the period of</w:t>
            </w:r>
          </w:p>
        </w:tc>
        <w:tc>
          <w:tcPr>
            <w:tcW w:w="0" w:type="dxa"/>
            <w:vAlign w:val="bottom"/>
          </w:tcPr>
          <w:p>
            <w:pPr>
              <w:spacing w:after="0"/>
              <w:rPr>
                <w:sz w:val="1"/>
                <w:szCs w:val="1"/>
                <w:color w:val="auto"/>
              </w:rPr>
            </w:pPr>
          </w:p>
        </w:tc>
      </w:tr>
      <w:tr>
        <w:trPr>
          <w:trHeight w:val="131"/>
        </w:trPr>
        <w:tc>
          <w:tcPr>
            <w:tcW w:w="2720" w:type="dxa"/>
            <w:vAlign w:val="bottom"/>
            <w:tcBorders>
              <w:right w:val="single" w:sz="8" w:color="2D53A6"/>
            </w:tcBorders>
            <w:vMerge w:val="continue"/>
          </w:tcPr>
          <w:p>
            <w:pPr>
              <w:spacing w:after="0"/>
              <w:rPr>
                <w:sz w:val="11"/>
                <w:szCs w:val="11"/>
                <w:color w:val="auto"/>
              </w:rPr>
            </w:pPr>
          </w:p>
        </w:tc>
        <w:tc>
          <w:tcPr>
            <w:tcW w:w="8520" w:type="dxa"/>
            <w:vAlign w:val="bottom"/>
            <w:vMerge w:val="restart"/>
          </w:tcPr>
          <w:p>
            <w:pPr>
              <w:ind w:left="20"/>
              <w:spacing w:after="0"/>
              <w:rPr>
                <w:sz w:val="20"/>
                <w:szCs w:val="20"/>
                <w:color w:val="auto"/>
              </w:rPr>
            </w:pPr>
            <w:r>
              <w:rPr>
                <w:rFonts w:ascii="Arial" w:cs="Arial" w:eastAsia="Arial" w:hAnsi="Arial"/>
                <w:sz w:val="18"/>
                <w:szCs w:val="18"/>
                <w:color w:val="auto"/>
              </w:rPr>
              <w:t>time between appointment as director and the next scheduled director annual equity grant date</w:t>
            </w:r>
          </w:p>
        </w:tc>
        <w:tc>
          <w:tcPr>
            <w:tcW w:w="0" w:type="dxa"/>
            <w:vAlign w:val="bottom"/>
          </w:tcPr>
          <w:p>
            <w:pPr>
              <w:spacing w:after="0"/>
              <w:rPr>
                <w:sz w:val="1"/>
                <w:szCs w:val="1"/>
                <w:color w:val="auto"/>
              </w:rPr>
            </w:pPr>
          </w:p>
        </w:tc>
      </w:tr>
      <w:tr>
        <w:trPr>
          <w:trHeight w:val="113"/>
        </w:trPr>
        <w:tc>
          <w:tcPr>
            <w:tcW w:w="2720" w:type="dxa"/>
            <w:vAlign w:val="bottom"/>
            <w:tcBorders>
              <w:bottom w:val="single" w:sz="8" w:color="2D53A6"/>
              <w:right w:val="single" w:sz="8" w:color="2D53A6"/>
            </w:tcBorders>
          </w:tcPr>
          <w:p>
            <w:pPr>
              <w:spacing w:after="0"/>
              <w:rPr>
                <w:sz w:val="9"/>
                <w:szCs w:val="9"/>
                <w:color w:val="auto"/>
              </w:rPr>
            </w:pPr>
          </w:p>
        </w:tc>
        <w:tc>
          <w:tcPr>
            <w:tcW w:w="8520" w:type="dxa"/>
            <w:vAlign w:val="bottom"/>
            <w:tcBorders>
              <w:bottom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Annual Grants</w:t>
            </w:r>
          </w:p>
        </w:tc>
        <w:tc>
          <w:tcPr>
            <w:tcW w:w="852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RSUs with a total value of $167,500</w:t>
            </w:r>
          </w:p>
        </w:tc>
        <w:tc>
          <w:tcPr>
            <w:tcW w:w="0" w:type="dxa"/>
            <w:vAlign w:val="bottom"/>
          </w:tcPr>
          <w:p>
            <w:pPr>
              <w:spacing w:after="0"/>
              <w:rPr>
                <w:sz w:val="1"/>
                <w:szCs w:val="1"/>
                <w:color w:val="auto"/>
              </w:rPr>
            </w:pPr>
          </w:p>
        </w:tc>
      </w:tr>
      <w:tr>
        <w:trPr>
          <w:trHeight w:val="20"/>
        </w:trPr>
        <w:tc>
          <w:tcPr>
            <w:tcW w:w="2720" w:type="dxa"/>
            <w:vAlign w:val="bottom"/>
            <w:tcBorders>
              <w:right w:val="single" w:sz="8" w:color="2D53A6"/>
            </w:tcBorders>
            <w:shd w:val="clear" w:color="auto" w:fill="2D53A6"/>
          </w:tcPr>
          <w:p>
            <w:pPr>
              <w:spacing w:after="0" w:line="20" w:lineRule="exact"/>
              <w:rPr>
                <w:sz w:val="1"/>
                <w:szCs w:val="1"/>
                <w:color w:val="auto"/>
              </w:rPr>
            </w:pPr>
          </w:p>
        </w:tc>
        <w:tc>
          <w:tcPr>
            <w:tcW w:w="852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number of RSUs granted is calculated by dividing the grant total value by the fair market value of the stock as of the date of grant. For purposes of the 2005 Plan, our Board has deemed “fair market value” as the average closing price of a share of Cohu common stock for the twenty (20) trading days prior to and excluding the relevant grant or award date. Each RSU represents a contingent right to receive one share of Cohu common stock upon vesting. Subject to continued service on the Board, the RSUs granted to non-employee directors upon their initial appointment to the Board will vest in three equal annual installments after the date of grant. The annual RSU awards vest over approximately one year, and shares are issued upon the earlier to occur of the one-year anniversary of the grant date or the next annual meeting of stockholders. RSUs may be accelerated upon a change in control, as defined in the 2005 Plan.</w:t>
      </w:r>
    </w:p>
    <w:p>
      <w:pPr>
        <w:spacing w:after="0" w:line="17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On May, 16, 2025, 10,257 RSUs were awarded to each of Mses. Jorden, Rapp and Richardson and Messrs. Bendush, Bilodeau, Caggia, Donahue, and Mattes.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Benefits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Mr. Donahue, who is a retired executive officer of Cohu, and his spouse receive medical benefits consisting of reimbursement of health insurance premiums and other medical costs not covered by insurance. These benefits are no longer offered to any current Cohu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Director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compensation for Cohu’s non-employee directors for fiscal year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8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20"/>
                <w:szCs w:val="20"/>
                <w:b w:val="1"/>
                <w:bCs w:val="1"/>
                <w:color w:val="FFFFFF"/>
              </w:rPr>
              <w:t>Name</w:t>
            </w:r>
          </w:p>
        </w:tc>
        <w:tc>
          <w:tcPr>
            <w:tcW w:w="18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Fees Earned or</w:t>
            </w: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Stock</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All Other</w:t>
            </w:r>
          </w:p>
        </w:tc>
        <w:tc>
          <w:tcPr>
            <w:tcW w:w="1620" w:type="dxa"/>
            <w:vAlign w:val="bottom"/>
            <w:vMerge w:val="restart"/>
            <w:shd w:val="clear" w:color="auto" w:fill="2D53A6"/>
          </w:tcPr>
          <w:p>
            <w:pPr>
              <w:jc w:val="right"/>
              <w:ind w:right="349"/>
              <w:spacing w:after="0"/>
              <w:rPr>
                <w:sz w:val="20"/>
                <w:szCs w:val="20"/>
                <w:color w:val="auto"/>
              </w:rPr>
            </w:pPr>
            <w:r>
              <w:rPr>
                <w:rFonts w:ascii="Arial" w:cs="Arial" w:eastAsia="Arial" w:hAnsi="Arial"/>
                <w:sz w:val="20"/>
                <w:szCs w:val="20"/>
                <w:b w:val="1"/>
                <w:bCs w:val="1"/>
                <w:color w:val="FFFFFF"/>
              </w:rPr>
              <w:t>Total ($)</w:t>
            </w:r>
          </w:p>
        </w:tc>
        <w:tc>
          <w:tcPr>
            <w:tcW w:w="0" w:type="dxa"/>
            <w:vAlign w:val="bottom"/>
          </w:tcPr>
          <w:p>
            <w:pPr>
              <w:spacing w:after="0"/>
              <w:rPr>
                <w:sz w:val="1"/>
                <w:szCs w:val="1"/>
                <w:color w:val="auto"/>
              </w:rPr>
            </w:pPr>
          </w:p>
        </w:tc>
      </w:tr>
      <w:tr>
        <w:trPr>
          <w:trHeight w:val="216"/>
        </w:trPr>
        <w:tc>
          <w:tcPr>
            <w:tcW w:w="4380" w:type="dxa"/>
            <w:vAlign w:val="bottom"/>
            <w:tcBorders>
              <w:right w:val="single" w:sz="8" w:color="2D53A6"/>
            </w:tcBorders>
            <w:vMerge w:val="continue"/>
            <w:shd w:val="clear" w:color="auto" w:fill="2D53A6"/>
          </w:tcPr>
          <w:p>
            <w:pPr>
              <w:spacing w:after="0"/>
              <w:rPr>
                <w:sz w:val="18"/>
                <w:szCs w:val="18"/>
                <w:color w:val="auto"/>
              </w:rPr>
            </w:pPr>
          </w:p>
        </w:tc>
        <w:tc>
          <w:tcPr>
            <w:tcW w:w="184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Paid in Cash</w:t>
            </w:r>
          </w:p>
        </w:tc>
        <w:tc>
          <w:tcPr>
            <w:tcW w:w="162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Awards</w:t>
            </w:r>
          </w:p>
        </w:tc>
        <w:tc>
          <w:tcPr>
            <w:tcW w:w="178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7"/>
              </w:rPr>
              <w:t>Compensation</w:t>
            </w:r>
          </w:p>
        </w:tc>
        <w:tc>
          <w:tcPr>
            <w:tcW w:w="1620" w:type="dxa"/>
            <w:vAlign w:val="bottom"/>
            <w:vMerge w:val="continue"/>
            <w:shd w:val="clear" w:color="auto" w:fill="2D53A6"/>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380" w:type="dxa"/>
            <w:vAlign w:val="bottom"/>
            <w:tcBorders>
              <w:bottom w:val="single" w:sz="8" w:color="2D53A6"/>
              <w:right w:val="single" w:sz="8" w:color="2D53A6"/>
            </w:tcBorders>
            <w:shd w:val="clear" w:color="auto" w:fill="2D53A6"/>
          </w:tcPr>
          <w:p>
            <w:pPr>
              <w:spacing w:after="0"/>
              <w:rPr>
                <w:sz w:val="23"/>
                <w:szCs w:val="23"/>
                <w:color w:val="auto"/>
              </w:rPr>
            </w:pPr>
          </w:p>
        </w:tc>
        <w:tc>
          <w:tcPr>
            <w:tcW w:w="184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7"/>
              </w:rPr>
              <w:t>($)</w:t>
            </w:r>
          </w:p>
        </w:tc>
        <w:tc>
          <w:tcPr>
            <w:tcW w:w="162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w:t>
            </w:r>
            <w:r>
              <w:rPr>
                <w:rFonts w:ascii="Arial" w:cs="Arial" w:eastAsia="Arial" w:hAnsi="Arial"/>
                <w:sz w:val="16"/>
                <w:szCs w:val="16"/>
                <w:b w:val="1"/>
                <w:bCs w:val="1"/>
                <w:color w:val="FFFFFF"/>
                <w:w w:val="99"/>
              </w:rPr>
              <w:t>(1)</w:t>
            </w:r>
          </w:p>
        </w:tc>
        <w:tc>
          <w:tcPr>
            <w:tcW w:w="178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w:t>
            </w:r>
            <w:r>
              <w:rPr>
                <w:rFonts w:ascii="Arial" w:cs="Arial" w:eastAsia="Arial" w:hAnsi="Arial"/>
                <w:sz w:val="16"/>
                <w:szCs w:val="16"/>
                <w:b w:val="1"/>
                <w:bCs w:val="1"/>
                <w:color w:val="FFFFFF"/>
                <w:w w:val="99"/>
              </w:rPr>
              <w:t>(2)</w:t>
            </w:r>
          </w:p>
        </w:tc>
        <w:tc>
          <w:tcPr>
            <w:tcW w:w="1620" w:type="dxa"/>
            <w:vAlign w:val="bottom"/>
            <w:tcBorders>
              <w:bottom w:val="single" w:sz="8" w:color="2D53A6"/>
            </w:tcBorders>
            <w:shd w:val="clear" w:color="auto" w:fill="2D53A6"/>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38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William E. Bendush</w:t>
            </w:r>
          </w:p>
        </w:tc>
        <w:tc>
          <w:tcPr>
            <w:tcW w:w="1840" w:type="dxa"/>
            <w:vAlign w:val="bottom"/>
            <w:tcBorders>
              <w:right w:val="single" w:sz="8" w:color="2D53A6"/>
            </w:tcBorders>
          </w:tcPr>
          <w:p>
            <w:pPr>
              <w:jc w:val="right"/>
              <w:ind w:right="128"/>
              <w:spacing w:after="0"/>
              <w:rPr>
                <w:sz w:val="20"/>
                <w:szCs w:val="20"/>
                <w:color w:val="auto"/>
              </w:rPr>
            </w:pPr>
            <w:r>
              <w:rPr>
                <w:rFonts w:ascii="Arial" w:cs="Arial" w:eastAsia="Arial" w:hAnsi="Arial"/>
                <w:sz w:val="18"/>
                <w:szCs w:val="18"/>
                <w:color w:val="auto"/>
              </w:rPr>
              <w:t>90,000</w:t>
            </w:r>
          </w:p>
        </w:tc>
        <w:tc>
          <w:tcPr>
            <w:tcW w:w="1620" w:type="dxa"/>
            <w:vAlign w:val="bottom"/>
            <w:tcBorders>
              <w:right w:val="single" w:sz="8" w:color="2D53A6"/>
            </w:tcBorders>
          </w:tcPr>
          <w:p>
            <w:pPr>
              <w:jc w:val="right"/>
              <w:ind w:right="108"/>
              <w:spacing w:after="0"/>
              <w:rPr>
                <w:sz w:val="20"/>
                <w:szCs w:val="20"/>
                <w:color w:val="auto"/>
              </w:rPr>
            </w:pPr>
            <w:r>
              <w:rPr>
                <w:rFonts w:ascii="Arial" w:cs="Arial" w:eastAsia="Arial" w:hAnsi="Arial"/>
                <w:sz w:val="18"/>
                <w:szCs w:val="18"/>
                <w:color w:val="auto"/>
              </w:rPr>
              <w:t>182,216</w:t>
            </w:r>
          </w:p>
        </w:tc>
        <w:tc>
          <w:tcPr>
            <w:tcW w:w="1780" w:type="dxa"/>
            <w:vAlign w:val="bottom"/>
            <w:tcBorders>
              <w:right w:val="single" w:sz="8" w:color="2D53A6"/>
            </w:tcBorders>
          </w:tcPr>
          <w:p>
            <w:pPr>
              <w:jc w:val="right"/>
              <w:ind w:right="108"/>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89"/>
              <w:spacing w:after="0"/>
              <w:rPr>
                <w:sz w:val="20"/>
                <w:szCs w:val="20"/>
                <w:color w:val="auto"/>
              </w:rPr>
            </w:pPr>
            <w:r>
              <w:rPr>
                <w:rFonts w:ascii="Arial" w:cs="Arial" w:eastAsia="Arial" w:hAnsi="Arial"/>
                <w:sz w:val="18"/>
                <w:szCs w:val="18"/>
                <w:color w:val="auto"/>
              </w:rPr>
              <w:t>272,216</w:t>
            </w:r>
          </w:p>
        </w:tc>
        <w:tc>
          <w:tcPr>
            <w:tcW w:w="0" w:type="dxa"/>
            <w:vAlign w:val="bottom"/>
          </w:tcPr>
          <w:p>
            <w:pPr>
              <w:spacing w:after="0"/>
              <w:rPr>
                <w:sz w:val="1"/>
                <w:szCs w:val="1"/>
                <w:color w:val="auto"/>
              </w:rPr>
            </w:pPr>
          </w:p>
        </w:tc>
      </w:tr>
      <w:tr>
        <w:trPr>
          <w:trHeight w:val="23"/>
        </w:trPr>
        <w:tc>
          <w:tcPr>
            <w:tcW w:w="4380" w:type="dxa"/>
            <w:vAlign w:val="bottom"/>
            <w:tcBorders>
              <w:bottom w:val="single" w:sz="8" w:color="2D53A6"/>
              <w:right w:val="single" w:sz="8" w:color="2D53A6"/>
            </w:tcBorders>
          </w:tcPr>
          <w:p>
            <w:pPr>
              <w:spacing w:after="0"/>
              <w:rPr>
                <w:sz w:val="2"/>
                <w:szCs w:val="2"/>
                <w:color w:val="auto"/>
              </w:rPr>
            </w:pPr>
          </w:p>
        </w:tc>
        <w:tc>
          <w:tcPr>
            <w:tcW w:w="184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78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3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 xml:space="preserve">Steven J. Bilodeau </w:t>
            </w:r>
            <w:r>
              <w:rPr>
                <w:rFonts w:ascii="Arial" w:cs="Arial" w:eastAsia="Arial" w:hAnsi="Arial"/>
                <w:sz w:val="14"/>
                <w:szCs w:val="14"/>
                <w:color w:val="auto"/>
              </w:rPr>
              <w:t>(3)</w:t>
            </w:r>
          </w:p>
        </w:tc>
        <w:tc>
          <w:tcPr>
            <w:tcW w:w="1840" w:type="dxa"/>
            <w:vAlign w:val="bottom"/>
            <w:tcBorders>
              <w:bottom w:val="single" w:sz="8" w:color="E6E6E6"/>
              <w:right w:val="single" w:sz="8" w:color="2D53A6"/>
            </w:tcBorders>
            <w:shd w:val="clear" w:color="auto" w:fill="E6E6E6"/>
          </w:tcPr>
          <w:p>
            <w:pPr>
              <w:jc w:val="right"/>
              <w:ind w:right="128"/>
              <w:spacing w:after="0"/>
              <w:rPr>
                <w:sz w:val="20"/>
                <w:szCs w:val="20"/>
                <w:color w:val="auto"/>
              </w:rPr>
            </w:pPr>
            <w:r>
              <w:rPr>
                <w:rFonts w:ascii="Arial" w:cs="Arial" w:eastAsia="Arial" w:hAnsi="Arial"/>
                <w:sz w:val="18"/>
                <w:szCs w:val="18"/>
                <w:color w:val="auto"/>
              </w:rPr>
              <w:t>104,577</w:t>
            </w:r>
          </w:p>
        </w:tc>
        <w:tc>
          <w:tcPr>
            <w:tcW w:w="1620" w:type="dxa"/>
            <w:vAlign w:val="bottom"/>
            <w:tcBorders>
              <w:bottom w:val="single" w:sz="8" w:color="E6E6E6"/>
              <w:right w:val="single" w:sz="8" w:color="2D53A6"/>
            </w:tcBorders>
            <w:shd w:val="clear" w:color="auto" w:fill="E6E6E6"/>
          </w:tcPr>
          <w:p>
            <w:pPr>
              <w:jc w:val="right"/>
              <w:ind w:right="108"/>
              <w:spacing w:after="0"/>
              <w:rPr>
                <w:sz w:val="20"/>
                <w:szCs w:val="20"/>
                <w:color w:val="auto"/>
              </w:rPr>
            </w:pPr>
            <w:r>
              <w:rPr>
                <w:rFonts w:ascii="Arial" w:cs="Arial" w:eastAsia="Arial" w:hAnsi="Arial"/>
                <w:sz w:val="18"/>
                <w:szCs w:val="18"/>
                <w:color w:val="auto"/>
              </w:rPr>
              <w:t>182,216</w:t>
            </w:r>
          </w:p>
        </w:tc>
        <w:tc>
          <w:tcPr>
            <w:tcW w:w="1780" w:type="dxa"/>
            <w:vAlign w:val="bottom"/>
            <w:tcBorders>
              <w:bottom w:val="single" w:sz="8" w:color="E6E6E6"/>
              <w:right w:val="single" w:sz="8" w:color="2D53A6"/>
            </w:tcBorders>
            <w:shd w:val="clear" w:color="auto" w:fill="E6E6E6"/>
          </w:tcPr>
          <w:p>
            <w:pPr>
              <w:jc w:val="right"/>
              <w:ind w:right="108"/>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6E6E6"/>
            </w:tcBorders>
            <w:shd w:val="clear" w:color="auto" w:fill="E6E6E6"/>
          </w:tcPr>
          <w:p>
            <w:pPr>
              <w:jc w:val="right"/>
              <w:ind w:right="89"/>
              <w:spacing w:after="0"/>
              <w:rPr>
                <w:sz w:val="20"/>
                <w:szCs w:val="20"/>
                <w:color w:val="auto"/>
              </w:rPr>
            </w:pPr>
            <w:r>
              <w:rPr>
                <w:rFonts w:ascii="Arial" w:cs="Arial" w:eastAsia="Arial" w:hAnsi="Arial"/>
                <w:sz w:val="18"/>
                <w:szCs w:val="18"/>
                <w:color w:val="auto"/>
              </w:rPr>
              <w:t>286,793</w:t>
            </w:r>
          </w:p>
        </w:tc>
        <w:tc>
          <w:tcPr>
            <w:tcW w:w="0" w:type="dxa"/>
            <w:vAlign w:val="bottom"/>
          </w:tcPr>
          <w:p>
            <w:pPr>
              <w:spacing w:after="0"/>
              <w:rPr>
                <w:sz w:val="1"/>
                <w:szCs w:val="1"/>
                <w:color w:val="auto"/>
              </w:rPr>
            </w:pPr>
          </w:p>
        </w:tc>
      </w:tr>
      <w:tr>
        <w:trPr>
          <w:trHeight w:val="254"/>
        </w:trPr>
        <w:tc>
          <w:tcPr>
            <w:tcW w:w="43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 xml:space="preserve">Andrew M. Caggia </w:t>
            </w:r>
            <w:r>
              <w:rPr>
                <w:rFonts w:ascii="Arial" w:cs="Arial" w:eastAsia="Arial" w:hAnsi="Arial"/>
                <w:sz w:val="14"/>
                <w:szCs w:val="14"/>
                <w:color w:val="auto"/>
              </w:rPr>
              <w:t>(3)</w:t>
            </w:r>
          </w:p>
        </w:tc>
        <w:tc>
          <w:tcPr>
            <w:tcW w:w="1840" w:type="dxa"/>
            <w:vAlign w:val="bottom"/>
            <w:tcBorders>
              <w:top w:val="single" w:sz="8" w:color="2D53A6"/>
              <w:right w:val="single" w:sz="8" w:color="2D53A6"/>
            </w:tcBorders>
          </w:tcPr>
          <w:p>
            <w:pPr>
              <w:jc w:val="right"/>
              <w:ind w:right="128"/>
              <w:spacing w:after="0"/>
              <w:rPr>
                <w:sz w:val="20"/>
                <w:szCs w:val="20"/>
                <w:color w:val="auto"/>
              </w:rPr>
            </w:pPr>
            <w:r>
              <w:rPr>
                <w:rFonts w:ascii="Arial" w:cs="Arial" w:eastAsia="Arial" w:hAnsi="Arial"/>
                <w:sz w:val="18"/>
                <w:szCs w:val="18"/>
                <w:color w:val="auto"/>
              </w:rPr>
              <w:t>74,423</w:t>
            </w:r>
          </w:p>
        </w:tc>
        <w:tc>
          <w:tcPr>
            <w:tcW w:w="1620" w:type="dxa"/>
            <w:vAlign w:val="bottom"/>
            <w:tcBorders>
              <w:top w:val="single" w:sz="8" w:color="2D53A6"/>
              <w:right w:val="single" w:sz="8" w:color="2D53A6"/>
            </w:tcBorders>
          </w:tcPr>
          <w:p>
            <w:pPr>
              <w:jc w:val="right"/>
              <w:ind w:right="108"/>
              <w:spacing w:after="0"/>
              <w:rPr>
                <w:sz w:val="20"/>
                <w:szCs w:val="20"/>
                <w:color w:val="auto"/>
              </w:rPr>
            </w:pPr>
            <w:r>
              <w:rPr>
                <w:rFonts w:ascii="Arial" w:cs="Arial" w:eastAsia="Arial" w:hAnsi="Arial"/>
                <w:sz w:val="18"/>
                <w:szCs w:val="18"/>
                <w:color w:val="auto"/>
              </w:rPr>
              <w:t>182,216</w:t>
            </w:r>
          </w:p>
        </w:tc>
        <w:tc>
          <w:tcPr>
            <w:tcW w:w="1780" w:type="dxa"/>
            <w:vAlign w:val="bottom"/>
            <w:tcBorders>
              <w:top w:val="single" w:sz="8" w:color="2D53A6"/>
              <w:right w:val="single" w:sz="8" w:color="2D53A6"/>
            </w:tcBorders>
          </w:tcPr>
          <w:p>
            <w:pPr>
              <w:jc w:val="right"/>
              <w:ind w:right="108"/>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2D53A6"/>
            </w:tcBorders>
          </w:tcPr>
          <w:p>
            <w:pPr>
              <w:jc w:val="right"/>
              <w:ind w:right="89"/>
              <w:spacing w:after="0"/>
              <w:rPr>
                <w:sz w:val="20"/>
                <w:szCs w:val="20"/>
                <w:color w:val="auto"/>
              </w:rPr>
            </w:pPr>
            <w:r>
              <w:rPr>
                <w:rFonts w:ascii="Arial" w:cs="Arial" w:eastAsia="Arial" w:hAnsi="Arial"/>
                <w:sz w:val="18"/>
                <w:szCs w:val="18"/>
                <w:color w:val="auto"/>
              </w:rPr>
              <w:t>256,639</w:t>
            </w:r>
          </w:p>
        </w:tc>
        <w:tc>
          <w:tcPr>
            <w:tcW w:w="0" w:type="dxa"/>
            <w:vAlign w:val="bottom"/>
          </w:tcPr>
          <w:p>
            <w:pPr>
              <w:spacing w:after="0"/>
              <w:rPr>
                <w:sz w:val="1"/>
                <w:szCs w:val="1"/>
                <w:color w:val="auto"/>
              </w:rPr>
            </w:pPr>
          </w:p>
        </w:tc>
      </w:tr>
      <w:tr>
        <w:trPr>
          <w:trHeight w:val="23"/>
        </w:trPr>
        <w:tc>
          <w:tcPr>
            <w:tcW w:w="4380" w:type="dxa"/>
            <w:vAlign w:val="bottom"/>
            <w:tcBorders>
              <w:bottom w:val="single" w:sz="8" w:color="2D53A6"/>
              <w:right w:val="single" w:sz="8" w:color="2D53A6"/>
            </w:tcBorders>
          </w:tcPr>
          <w:p>
            <w:pPr>
              <w:spacing w:after="0"/>
              <w:rPr>
                <w:sz w:val="2"/>
                <w:szCs w:val="2"/>
                <w:color w:val="auto"/>
              </w:rPr>
            </w:pPr>
          </w:p>
        </w:tc>
        <w:tc>
          <w:tcPr>
            <w:tcW w:w="184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78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3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James A. Donahue</w:t>
            </w:r>
          </w:p>
        </w:tc>
        <w:tc>
          <w:tcPr>
            <w:tcW w:w="1840" w:type="dxa"/>
            <w:vAlign w:val="bottom"/>
            <w:tcBorders>
              <w:bottom w:val="single" w:sz="8" w:color="E6E6E6"/>
              <w:right w:val="single" w:sz="8" w:color="2D53A6"/>
            </w:tcBorders>
            <w:shd w:val="clear" w:color="auto" w:fill="E6E6E6"/>
          </w:tcPr>
          <w:p>
            <w:pPr>
              <w:jc w:val="right"/>
              <w:ind w:right="128"/>
              <w:spacing w:after="0"/>
              <w:rPr>
                <w:sz w:val="20"/>
                <w:szCs w:val="20"/>
                <w:color w:val="auto"/>
              </w:rPr>
            </w:pPr>
            <w:r>
              <w:rPr>
                <w:rFonts w:ascii="Arial" w:cs="Arial" w:eastAsia="Arial" w:hAnsi="Arial"/>
                <w:sz w:val="18"/>
                <w:szCs w:val="18"/>
                <w:color w:val="auto"/>
              </w:rPr>
              <w:t>110,000</w:t>
            </w:r>
          </w:p>
        </w:tc>
        <w:tc>
          <w:tcPr>
            <w:tcW w:w="1620" w:type="dxa"/>
            <w:vAlign w:val="bottom"/>
            <w:tcBorders>
              <w:bottom w:val="single" w:sz="8" w:color="E6E6E6"/>
              <w:right w:val="single" w:sz="8" w:color="2D53A6"/>
            </w:tcBorders>
            <w:shd w:val="clear" w:color="auto" w:fill="E6E6E6"/>
          </w:tcPr>
          <w:p>
            <w:pPr>
              <w:jc w:val="right"/>
              <w:ind w:right="108"/>
              <w:spacing w:after="0"/>
              <w:rPr>
                <w:sz w:val="20"/>
                <w:szCs w:val="20"/>
                <w:color w:val="auto"/>
              </w:rPr>
            </w:pPr>
            <w:r>
              <w:rPr>
                <w:rFonts w:ascii="Arial" w:cs="Arial" w:eastAsia="Arial" w:hAnsi="Arial"/>
                <w:sz w:val="18"/>
                <w:szCs w:val="18"/>
                <w:color w:val="auto"/>
              </w:rPr>
              <w:t>182,216</w:t>
            </w:r>
          </w:p>
        </w:tc>
        <w:tc>
          <w:tcPr>
            <w:tcW w:w="1780" w:type="dxa"/>
            <w:vAlign w:val="bottom"/>
            <w:tcBorders>
              <w:bottom w:val="single" w:sz="8" w:color="E6E6E6"/>
              <w:right w:val="single" w:sz="8" w:color="2D53A6"/>
            </w:tcBorders>
            <w:shd w:val="clear" w:color="auto" w:fill="E6E6E6"/>
          </w:tcPr>
          <w:p>
            <w:pPr>
              <w:jc w:val="right"/>
              <w:ind w:right="108"/>
              <w:spacing w:after="0"/>
              <w:rPr>
                <w:sz w:val="20"/>
                <w:szCs w:val="20"/>
                <w:color w:val="auto"/>
              </w:rPr>
            </w:pPr>
            <w:r>
              <w:rPr>
                <w:rFonts w:ascii="Arial" w:cs="Arial" w:eastAsia="Arial" w:hAnsi="Arial"/>
                <w:sz w:val="18"/>
                <w:szCs w:val="18"/>
                <w:color w:val="auto"/>
              </w:rPr>
              <w:t>38,800</w:t>
            </w:r>
          </w:p>
        </w:tc>
        <w:tc>
          <w:tcPr>
            <w:tcW w:w="1620" w:type="dxa"/>
            <w:vAlign w:val="bottom"/>
            <w:tcBorders>
              <w:bottom w:val="single" w:sz="8" w:color="E6E6E6"/>
            </w:tcBorders>
            <w:shd w:val="clear" w:color="auto" w:fill="E6E6E6"/>
          </w:tcPr>
          <w:p>
            <w:pPr>
              <w:jc w:val="right"/>
              <w:ind w:right="89"/>
              <w:spacing w:after="0"/>
              <w:rPr>
                <w:sz w:val="20"/>
                <w:szCs w:val="20"/>
                <w:color w:val="auto"/>
              </w:rPr>
            </w:pPr>
            <w:r>
              <w:rPr>
                <w:rFonts w:ascii="Arial" w:cs="Arial" w:eastAsia="Arial" w:hAnsi="Arial"/>
                <w:sz w:val="18"/>
                <w:szCs w:val="18"/>
                <w:color w:val="auto"/>
              </w:rPr>
              <w:t>331,016</w:t>
            </w:r>
          </w:p>
        </w:tc>
        <w:tc>
          <w:tcPr>
            <w:tcW w:w="0" w:type="dxa"/>
            <w:vAlign w:val="bottom"/>
          </w:tcPr>
          <w:p>
            <w:pPr>
              <w:spacing w:after="0"/>
              <w:rPr>
                <w:sz w:val="1"/>
                <w:szCs w:val="1"/>
                <w:color w:val="auto"/>
              </w:rPr>
            </w:pPr>
          </w:p>
        </w:tc>
      </w:tr>
      <w:tr>
        <w:trPr>
          <w:trHeight w:val="254"/>
        </w:trPr>
        <w:tc>
          <w:tcPr>
            <w:tcW w:w="43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Yon Y. Jorden</w:t>
            </w:r>
          </w:p>
        </w:tc>
        <w:tc>
          <w:tcPr>
            <w:tcW w:w="1840" w:type="dxa"/>
            <w:vAlign w:val="bottom"/>
            <w:tcBorders>
              <w:top w:val="single" w:sz="8" w:color="2D53A6"/>
              <w:right w:val="single" w:sz="8" w:color="2D53A6"/>
            </w:tcBorders>
          </w:tcPr>
          <w:p>
            <w:pPr>
              <w:jc w:val="right"/>
              <w:ind w:right="128"/>
              <w:spacing w:after="0"/>
              <w:rPr>
                <w:sz w:val="20"/>
                <w:szCs w:val="20"/>
                <w:color w:val="auto"/>
              </w:rPr>
            </w:pPr>
            <w:r>
              <w:rPr>
                <w:rFonts w:ascii="Arial" w:cs="Arial" w:eastAsia="Arial" w:hAnsi="Arial"/>
                <w:sz w:val="18"/>
                <w:szCs w:val="18"/>
                <w:color w:val="auto"/>
              </w:rPr>
              <w:t>75,000</w:t>
            </w:r>
          </w:p>
        </w:tc>
        <w:tc>
          <w:tcPr>
            <w:tcW w:w="1620" w:type="dxa"/>
            <w:vAlign w:val="bottom"/>
            <w:tcBorders>
              <w:top w:val="single" w:sz="8" w:color="2D53A6"/>
              <w:right w:val="single" w:sz="8" w:color="2D53A6"/>
            </w:tcBorders>
          </w:tcPr>
          <w:p>
            <w:pPr>
              <w:jc w:val="right"/>
              <w:ind w:right="108"/>
              <w:spacing w:after="0"/>
              <w:rPr>
                <w:sz w:val="20"/>
                <w:szCs w:val="20"/>
                <w:color w:val="auto"/>
              </w:rPr>
            </w:pPr>
            <w:r>
              <w:rPr>
                <w:rFonts w:ascii="Arial" w:cs="Arial" w:eastAsia="Arial" w:hAnsi="Arial"/>
                <w:sz w:val="18"/>
                <w:szCs w:val="18"/>
                <w:color w:val="auto"/>
              </w:rPr>
              <w:t>182,216</w:t>
            </w:r>
          </w:p>
        </w:tc>
        <w:tc>
          <w:tcPr>
            <w:tcW w:w="1780" w:type="dxa"/>
            <w:vAlign w:val="bottom"/>
            <w:tcBorders>
              <w:top w:val="single" w:sz="8" w:color="2D53A6"/>
              <w:right w:val="single" w:sz="8" w:color="2D53A6"/>
            </w:tcBorders>
          </w:tcPr>
          <w:p>
            <w:pPr>
              <w:jc w:val="right"/>
              <w:ind w:right="108"/>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2D53A6"/>
            </w:tcBorders>
          </w:tcPr>
          <w:p>
            <w:pPr>
              <w:jc w:val="right"/>
              <w:ind w:right="89"/>
              <w:spacing w:after="0"/>
              <w:rPr>
                <w:sz w:val="20"/>
                <w:szCs w:val="20"/>
                <w:color w:val="auto"/>
              </w:rPr>
            </w:pPr>
            <w:r>
              <w:rPr>
                <w:rFonts w:ascii="Arial" w:cs="Arial" w:eastAsia="Arial" w:hAnsi="Arial"/>
                <w:sz w:val="18"/>
                <w:szCs w:val="18"/>
                <w:color w:val="auto"/>
              </w:rPr>
              <w:t>257,216</w:t>
            </w:r>
          </w:p>
        </w:tc>
        <w:tc>
          <w:tcPr>
            <w:tcW w:w="0" w:type="dxa"/>
            <w:vAlign w:val="bottom"/>
          </w:tcPr>
          <w:p>
            <w:pPr>
              <w:spacing w:after="0"/>
              <w:rPr>
                <w:sz w:val="1"/>
                <w:szCs w:val="1"/>
                <w:color w:val="auto"/>
              </w:rPr>
            </w:pPr>
          </w:p>
        </w:tc>
      </w:tr>
      <w:tr>
        <w:trPr>
          <w:trHeight w:val="23"/>
        </w:trPr>
        <w:tc>
          <w:tcPr>
            <w:tcW w:w="4380" w:type="dxa"/>
            <w:vAlign w:val="bottom"/>
            <w:tcBorders>
              <w:bottom w:val="single" w:sz="8" w:color="2D53A6"/>
              <w:right w:val="single" w:sz="8" w:color="2D53A6"/>
            </w:tcBorders>
          </w:tcPr>
          <w:p>
            <w:pPr>
              <w:spacing w:after="0"/>
              <w:rPr>
                <w:sz w:val="2"/>
                <w:szCs w:val="2"/>
                <w:color w:val="auto"/>
              </w:rPr>
            </w:pPr>
          </w:p>
        </w:tc>
        <w:tc>
          <w:tcPr>
            <w:tcW w:w="184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78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3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Andreas W. Mattes</w:t>
            </w:r>
          </w:p>
        </w:tc>
        <w:tc>
          <w:tcPr>
            <w:tcW w:w="1840" w:type="dxa"/>
            <w:vAlign w:val="bottom"/>
            <w:tcBorders>
              <w:bottom w:val="single" w:sz="8" w:color="E6E6E6"/>
              <w:right w:val="single" w:sz="8" w:color="2D53A6"/>
            </w:tcBorders>
            <w:shd w:val="clear" w:color="auto" w:fill="E6E6E6"/>
          </w:tcPr>
          <w:p>
            <w:pPr>
              <w:jc w:val="right"/>
              <w:ind w:right="128"/>
              <w:spacing w:after="0"/>
              <w:rPr>
                <w:sz w:val="20"/>
                <w:szCs w:val="20"/>
                <w:color w:val="auto"/>
              </w:rPr>
            </w:pPr>
            <w:r>
              <w:rPr>
                <w:rFonts w:ascii="Arial" w:cs="Arial" w:eastAsia="Arial" w:hAnsi="Arial"/>
                <w:sz w:val="18"/>
                <w:szCs w:val="18"/>
                <w:color w:val="auto"/>
              </w:rPr>
              <w:t>67,500</w:t>
            </w:r>
          </w:p>
        </w:tc>
        <w:tc>
          <w:tcPr>
            <w:tcW w:w="1620" w:type="dxa"/>
            <w:vAlign w:val="bottom"/>
            <w:tcBorders>
              <w:bottom w:val="single" w:sz="8" w:color="E6E6E6"/>
              <w:right w:val="single" w:sz="8" w:color="2D53A6"/>
            </w:tcBorders>
            <w:shd w:val="clear" w:color="auto" w:fill="E6E6E6"/>
          </w:tcPr>
          <w:p>
            <w:pPr>
              <w:jc w:val="right"/>
              <w:ind w:right="108"/>
              <w:spacing w:after="0"/>
              <w:rPr>
                <w:sz w:val="20"/>
                <w:szCs w:val="20"/>
                <w:color w:val="auto"/>
              </w:rPr>
            </w:pPr>
            <w:r>
              <w:rPr>
                <w:rFonts w:ascii="Arial" w:cs="Arial" w:eastAsia="Arial" w:hAnsi="Arial"/>
                <w:sz w:val="18"/>
                <w:szCs w:val="18"/>
                <w:color w:val="auto"/>
              </w:rPr>
              <w:t>182,216</w:t>
            </w:r>
          </w:p>
        </w:tc>
        <w:tc>
          <w:tcPr>
            <w:tcW w:w="1780" w:type="dxa"/>
            <w:vAlign w:val="bottom"/>
            <w:tcBorders>
              <w:bottom w:val="single" w:sz="8" w:color="E6E6E6"/>
              <w:right w:val="single" w:sz="8" w:color="2D53A6"/>
            </w:tcBorders>
            <w:shd w:val="clear" w:color="auto" w:fill="E6E6E6"/>
          </w:tcPr>
          <w:p>
            <w:pPr>
              <w:jc w:val="right"/>
              <w:ind w:right="108"/>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6E6E6"/>
            </w:tcBorders>
            <w:shd w:val="clear" w:color="auto" w:fill="E6E6E6"/>
          </w:tcPr>
          <w:p>
            <w:pPr>
              <w:jc w:val="right"/>
              <w:ind w:right="89"/>
              <w:spacing w:after="0"/>
              <w:rPr>
                <w:sz w:val="20"/>
                <w:szCs w:val="20"/>
                <w:color w:val="auto"/>
              </w:rPr>
            </w:pPr>
            <w:r>
              <w:rPr>
                <w:rFonts w:ascii="Arial" w:cs="Arial" w:eastAsia="Arial" w:hAnsi="Arial"/>
                <w:sz w:val="18"/>
                <w:szCs w:val="18"/>
                <w:color w:val="auto"/>
              </w:rPr>
              <w:t>249,716</w:t>
            </w:r>
          </w:p>
        </w:tc>
        <w:tc>
          <w:tcPr>
            <w:tcW w:w="0" w:type="dxa"/>
            <w:vAlign w:val="bottom"/>
          </w:tcPr>
          <w:p>
            <w:pPr>
              <w:spacing w:after="0"/>
              <w:rPr>
                <w:sz w:val="1"/>
                <w:szCs w:val="1"/>
                <w:color w:val="auto"/>
              </w:rPr>
            </w:pPr>
          </w:p>
        </w:tc>
      </w:tr>
      <w:tr>
        <w:trPr>
          <w:trHeight w:val="254"/>
        </w:trPr>
        <w:tc>
          <w:tcPr>
            <w:tcW w:w="43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Karen M. Rapp</w:t>
            </w:r>
          </w:p>
        </w:tc>
        <w:tc>
          <w:tcPr>
            <w:tcW w:w="1840" w:type="dxa"/>
            <w:vAlign w:val="bottom"/>
            <w:tcBorders>
              <w:top w:val="single" w:sz="8" w:color="2D53A6"/>
              <w:right w:val="single" w:sz="8" w:color="2D53A6"/>
            </w:tcBorders>
          </w:tcPr>
          <w:p>
            <w:pPr>
              <w:jc w:val="right"/>
              <w:ind w:right="128"/>
              <w:spacing w:after="0"/>
              <w:rPr>
                <w:sz w:val="20"/>
                <w:szCs w:val="20"/>
                <w:color w:val="auto"/>
              </w:rPr>
            </w:pPr>
            <w:r>
              <w:rPr>
                <w:rFonts w:ascii="Arial" w:cs="Arial" w:eastAsia="Arial" w:hAnsi="Arial"/>
                <w:sz w:val="18"/>
                <w:szCs w:val="18"/>
                <w:color w:val="auto"/>
              </w:rPr>
              <w:t>70,000</w:t>
            </w:r>
          </w:p>
        </w:tc>
        <w:tc>
          <w:tcPr>
            <w:tcW w:w="1620" w:type="dxa"/>
            <w:vAlign w:val="bottom"/>
            <w:tcBorders>
              <w:top w:val="single" w:sz="8" w:color="2D53A6"/>
              <w:right w:val="single" w:sz="8" w:color="2D53A6"/>
            </w:tcBorders>
          </w:tcPr>
          <w:p>
            <w:pPr>
              <w:jc w:val="right"/>
              <w:ind w:right="108"/>
              <w:spacing w:after="0"/>
              <w:rPr>
                <w:sz w:val="20"/>
                <w:szCs w:val="20"/>
                <w:color w:val="auto"/>
              </w:rPr>
            </w:pPr>
            <w:r>
              <w:rPr>
                <w:rFonts w:ascii="Arial" w:cs="Arial" w:eastAsia="Arial" w:hAnsi="Arial"/>
                <w:sz w:val="18"/>
                <w:szCs w:val="18"/>
                <w:color w:val="auto"/>
              </w:rPr>
              <w:t>182,216</w:t>
            </w:r>
          </w:p>
        </w:tc>
        <w:tc>
          <w:tcPr>
            <w:tcW w:w="1780" w:type="dxa"/>
            <w:vAlign w:val="bottom"/>
            <w:tcBorders>
              <w:top w:val="single" w:sz="8" w:color="2D53A6"/>
              <w:right w:val="single" w:sz="8" w:color="2D53A6"/>
            </w:tcBorders>
          </w:tcPr>
          <w:p>
            <w:pPr>
              <w:jc w:val="right"/>
              <w:ind w:right="108"/>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2D53A6"/>
            </w:tcBorders>
          </w:tcPr>
          <w:p>
            <w:pPr>
              <w:jc w:val="right"/>
              <w:ind w:right="89"/>
              <w:spacing w:after="0"/>
              <w:rPr>
                <w:sz w:val="20"/>
                <w:szCs w:val="20"/>
                <w:color w:val="auto"/>
              </w:rPr>
            </w:pPr>
            <w:r>
              <w:rPr>
                <w:rFonts w:ascii="Arial" w:cs="Arial" w:eastAsia="Arial" w:hAnsi="Arial"/>
                <w:sz w:val="18"/>
                <w:szCs w:val="18"/>
                <w:color w:val="auto"/>
              </w:rPr>
              <w:t>252,216</w:t>
            </w:r>
          </w:p>
        </w:tc>
        <w:tc>
          <w:tcPr>
            <w:tcW w:w="0" w:type="dxa"/>
            <w:vAlign w:val="bottom"/>
          </w:tcPr>
          <w:p>
            <w:pPr>
              <w:spacing w:after="0"/>
              <w:rPr>
                <w:sz w:val="1"/>
                <w:szCs w:val="1"/>
                <w:color w:val="auto"/>
              </w:rPr>
            </w:pPr>
          </w:p>
        </w:tc>
      </w:tr>
      <w:tr>
        <w:trPr>
          <w:trHeight w:val="23"/>
        </w:trPr>
        <w:tc>
          <w:tcPr>
            <w:tcW w:w="4380" w:type="dxa"/>
            <w:vAlign w:val="bottom"/>
            <w:tcBorders>
              <w:bottom w:val="single" w:sz="8" w:color="2D53A6"/>
              <w:right w:val="single" w:sz="8" w:color="2D53A6"/>
            </w:tcBorders>
          </w:tcPr>
          <w:p>
            <w:pPr>
              <w:spacing w:after="0"/>
              <w:rPr>
                <w:sz w:val="2"/>
                <w:szCs w:val="2"/>
                <w:color w:val="auto"/>
              </w:rPr>
            </w:pPr>
          </w:p>
        </w:tc>
        <w:tc>
          <w:tcPr>
            <w:tcW w:w="184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78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 xml:space="preserve">Nina L. Richardson </w:t>
            </w:r>
            <w:r>
              <w:rPr>
                <w:rFonts w:ascii="Arial" w:cs="Arial" w:eastAsia="Arial" w:hAnsi="Arial"/>
                <w:sz w:val="14"/>
                <w:szCs w:val="14"/>
                <w:color w:val="auto"/>
              </w:rPr>
              <w:t>(3)</w:t>
            </w:r>
          </w:p>
        </w:tc>
        <w:tc>
          <w:tcPr>
            <w:tcW w:w="1840" w:type="dxa"/>
            <w:vAlign w:val="bottom"/>
            <w:tcBorders>
              <w:bottom w:val="single" w:sz="8" w:color="E6E6E6"/>
              <w:right w:val="single" w:sz="8" w:color="2D53A6"/>
            </w:tcBorders>
            <w:shd w:val="clear" w:color="auto" w:fill="E6E6E6"/>
          </w:tcPr>
          <w:p>
            <w:pPr>
              <w:jc w:val="right"/>
              <w:ind w:right="128"/>
              <w:spacing w:after="0"/>
              <w:rPr>
                <w:sz w:val="20"/>
                <w:szCs w:val="20"/>
                <w:color w:val="auto"/>
              </w:rPr>
            </w:pPr>
            <w:r>
              <w:rPr>
                <w:rFonts w:ascii="Arial" w:cs="Arial" w:eastAsia="Arial" w:hAnsi="Arial"/>
                <w:sz w:val="18"/>
                <w:szCs w:val="18"/>
                <w:color w:val="auto"/>
              </w:rPr>
              <w:t>67,500</w:t>
            </w:r>
          </w:p>
        </w:tc>
        <w:tc>
          <w:tcPr>
            <w:tcW w:w="1620" w:type="dxa"/>
            <w:vAlign w:val="bottom"/>
            <w:tcBorders>
              <w:bottom w:val="single" w:sz="8" w:color="E6E6E6"/>
              <w:right w:val="single" w:sz="8" w:color="2D53A6"/>
            </w:tcBorders>
            <w:shd w:val="clear" w:color="auto" w:fill="E6E6E6"/>
          </w:tcPr>
          <w:p>
            <w:pPr>
              <w:jc w:val="right"/>
              <w:ind w:right="108"/>
              <w:spacing w:after="0"/>
              <w:rPr>
                <w:sz w:val="20"/>
                <w:szCs w:val="20"/>
                <w:color w:val="auto"/>
              </w:rPr>
            </w:pPr>
            <w:r>
              <w:rPr>
                <w:rFonts w:ascii="Arial" w:cs="Arial" w:eastAsia="Arial" w:hAnsi="Arial"/>
                <w:sz w:val="18"/>
                <w:szCs w:val="18"/>
                <w:color w:val="auto"/>
              </w:rPr>
              <w:t>182,216</w:t>
            </w:r>
          </w:p>
        </w:tc>
        <w:tc>
          <w:tcPr>
            <w:tcW w:w="1780" w:type="dxa"/>
            <w:vAlign w:val="bottom"/>
            <w:tcBorders>
              <w:bottom w:val="single" w:sz="8" w:color="E6E6E6"/>
              <w:right w:val="single" w:sz="8" w:color="2D53A6"/>
            </w:tcBorders>
            <w:shd w:val="clear" w:color="auto" w:fill="E6E6E6"/>
          </w:tcPr>
          <w:p>
            <w:pPr>
              <w:jc w:val="right"/>
              <w:ind w:right="108"/>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6E6E6"/>
            </w:tcBorders>
            <w:shd w:val="clear" w:color="auto" w:fill="E6E6E6"/>
          </w:tcPr>
          <w:p>
            <w:pPr>
              <w:jc w:val="right"/>
              <w:ind w:right="89"/>
              <w:spacing w:after="0"/>
              <w:rPr>
                <w:sz w:val="20"/>
                <w:szCs w:val="20"/>
                <w:color w:val="auto"/>
              </w:rPr>
            </w:pPr>
            <w:r>
              <w:rPr>
                <w:rFonts w:ascii="Arial" w:cs="Arial" w:eastAsia="Arial" w:hAnsi="Arial"/>
                <w:sz w:val="18"/>
                <w:szCs w:val="18"/>
                <w:color w:val="auto"/>
              </w:rPr>
              <w:t>249,716</w:t>
            </w:r>
          </w:p>
        </w:tc>
        <w:tc>
          <w:tcPr>
            <w:tcW w:w="0" w:type="dxa"/>
            <w:vAlign w:val="bottom"/>
          </w:tcPr>
          <w:p>
            <w:pPr>
              <w:spacing w:after="0"/>
              <w:rPr>
                <w:sz w:val="1"/>
                <w:szCs w:val="1"/>
                <w:color w:val="auto"/>
              </w:rPr>
            </w:pPr>
          </w:p>
        </w:tc>
      </w:tr>
      <w:tr>
        <w:trPr>
          <w:trHeight w:val="20"/>
        </w:trPr>
        <w:tc>
          <w:tcPr>
            <w:tcW w:w="4380" w:type="dxa"/>
            <w:vAlign w:val="bottom"/>
            <w:tcBorders>
              <w:right w:val="single" w:sz="8" w:color="2D53A6"/>
            </w:tcBorders>
            <w:shd w:val="clear" w:color="auto" w:fill="2D53A6"/>
          </w:tcPr>
          <w:p>
            <w:pPr>
              <w:spacing w:after="0" w:line="20" w:lineRule="exact"/>
              <w:rPr>
                <w:sz w:val="1"/>
                <w:szCs w:val="1"/>
                <w:color w:val="auto"/>
              </w:rPr>
            </w:pPr>
          </w:p>
        </w:tc>
        <w:tc>
          <w:tcPr>
            <w:tcW w:w="1840" w:type="dxa"/>
            <w:vAlign w:val="bottom"/>
            <w:tcBorders>
              <w:right w:val="single" w:sz="8" w:color="2D53A6"/>
            </w:tcBorders>
            <w:shd w:val="clear" w:color="auto" w:fill="2D53A6"/>
          </w:tcPr>
          <w:p>
            <w:pPr>
              <w:spacing w:after="0" w:line="20" w:lineRule="exact"/>
              <w:rPr>
                <w:sz w:val="1"/>
                <w:szCs w:val="1"/>
                <w:color w:val="auto"/>
              </w:rPr>
            </w:pPr>
          </w:p>
        </w:tc>
        <w:tc>
          <w:tcPr>
            <w:tcW w:w="1620" w:type="dxa"/>
            <w:vAlign w:val="bottom"/>
            <w:tcBorders>
              <w:right w:val="single" w:sz="8" w:color="2D53A6"/>
            </w:tcBorders>
            <w:shd w:val="clear" w:color="auto" w:fill="2D53A6"/>
          </w:tcPr>
          <w:p>
            <w:pPr>
              <w:spacing w:after="0" w:line="20" w:lineRule="exact"/>
              <w:rPr>
                <w:sz w:val="1"/>
                <w:szCs w:val="1"/>
                <w:color w:val="auto"/>
              </w:rPr>
            </w:pPr>
          </w:p>
        </w:tc>
        <w:tc>
          <w:tcPr>
            <w:tcW w:w="1780" w:type="dxa"/>
            <w:vAlign w:val="bottom"/>
            <w:tcBorders>
              <w:right w:val="single" w:sz="8" w:color="2D53A6"/>
            </w:tcBorders>
            <w:shd w:val="clear" w:color="auto" w:fill="2D53A6"/>
          </w:tcPr>
          <w:p>
            <w:pPr>
              <w:spacing w:after="0" w:line="20" w:lineRule="exact"/>
              <w:rPr>
                <w:sz w:val="1"/>
                <w:szCs w:val="1"/>
                <w:color w:val="auto"/>
              </w:rPr>
            </w:pPr>
          </w:p>
        </w:tc>
        <w:tc>
          <w:tcPr>
            <w:tcW w:w="162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60" w:hanging="332"/>
        <w:spacing w:after="0" w:line="25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shown do not reflect the compensation actually received by the directors. Instead, the amounts above are the grant date fair value for stock awards issued in the form of RSUs granted in fiscal year 2025 calculated in accordance with FASB ASC Topic 718. The assumptions used to calculate the grant date fair value of the stock awards are set forth in Note 6, “Employee Benefit Plans”, included in Part IV, Item 15(a) of Cohu’s Annual Report on Form 10-K for the year ended December 27, 2025, filed with the SEC. The derived grant date fair value for the stock award is recognized, for financial statement purposes, over the number of days of service required for the award to vest in full. As of December 27, 2025, Mses. Jorden, Rapp and Richardson had 10,257, 10,525 and 10,257 unvested RSUs outstanding, respectively, and Messrs. Bendush, Bilodeau, Caggia, Donahue and Mattes each had 10,257 unvested RSUs outstanding.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amount shown for Mr. Donahue is for reimbursement of health insurance premiums and other medical costs for him and his spouse not covered by insurance.</w:t>
      </w:r>
    </w:p>
    <w:p>
      <w:pPr>
        <w:spacing w:after="0" w:line="15" w:lineRule="exact"/>
        <w:rPr>
          <w:rFonts w:ascii="Arial" w:cs="Arial" w:eastAsia="Arial" w:hAnsi="Arial"/>
          <w:sz w:val="14"/>
          <w:szCs w:val="14"/>
          <w:color w:val="auto"/>
        </w:rPr>
      </w:pPr>
    </w:p>
    <w:p>
      <w:pPr>
        <w:ind w:left="340" w:right="20" w:hanging="332"/>
        <w:spacing w:after="0" w:line="252"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During the year ended December 27, 2025, Mr. Caggia elected to defer his cash director fees. The deferred amounts are credited in the form of DSU awards and ultimately payable in shares of Cohu common stock, if the director ceases to be a director for any reason, upon the occurrence of a change in control of Cohu or at a future date selected at the time of deferral. As of December 27, 2025, Ms. Richardson and Messrs. Bilodeau and Caggia had 11,992, 27,403 and 49,911 DSUs,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351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89" w:lineRule="exact"/>
        <w:rPr>
          <w:sz w:val="20"/>
          <w:szCs w:val="20"/>
          <w:color w:val="auto"/>
        </w:rPr>
      </w:pPr>
    </w:p>
    <w:p>
      <w:pPr>
        <w:ind w:left="400"/>
        <w:spacing w:after="0"/>
        <w:rPr>
          <w:sz w:val="20"/>
          <w:szCs w:val="20"/>
          <w:color w:val="auto"/>
        </w:rPr>
      </w:pPr>
      <w:r>
        <w:rPr>
          <w:rFonts w:ascii="Arial" w:cs="Arial" w:eastAsia="Arial" w:hAnsi="Arial"/>
          <w:sz w:val="36"/>
          <w:szCs w:val="36"/>
          <w:b w:val="1"/>
          <w:bCs w:val="1"/>
          <w:color w:val="FFFFFF"/>
        </w:rPr>
        <w:t>Compensation Matters</w:t>
      </w: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Executive Compensation and Other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Discussion and Analysis</w:t>
      </w:r>
    </w:p>
    <w:p>
      <w:pPr>
        <w:spacing w:after="0" w:line="20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This Compensation Discussion and Analysis (“CD&amp;A”) provides information regarding the 2025 compensation program for our Chief Executive Officer, Chief Financial Officer and our next most highly compensated executive officers of Cohu who were serving at the end of 2025 (there were only four executive officers of Cohu serving at the end of 2025). These individuals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20"/>
                <w:szCs w:val="20"/>
                <w:b w:val="1"/>
                <w:bCs w:val="1"/>
                <w:color w:val="FFFFFF"/>
              </w:rPr>
              <w:t>Named Executive Officer</w:t>
            </w:r>
          </w:p>
        </w:tc>
        <w:tc>
          <w:tcPr>
            <w:tcW w:w="6520" w:type="dxa"/>
            <w:vAlign w:val="bottom"/>
            <w:shd w:val="clear" w:color="auto" w:fill="2D53A6"/>
          </w:tcPr>
          <w:p>
            <w:pPr>
              <w:spacing w:after="0"/>
              <w:rPr>
                <w:sz w:val="20"/>
                <w:szCs w:val="20"/>
                <w:color w:val="auto"/>
              </w:rPr>
            </w:pPr>
            <w:r>
              <w:rPr>
                <w:rFonts w:ascii="Arial" w:cs="Arial" w:eastAsia="Arial" w:hAnsi="Arial"/>
                <w:sz w:val="20"/>
                <w:szCs w:val="20"/>
                <w:b w:val="1"/>
                <w:bCs w:val="1"/>
                <w:color w:val="FFFFFF"/>
              </w:rPr>
              <w:t>Position(s)</w:t>
            </w:r>
          </w:p>
        </w:tc>
      </w:tr>
      <w:tr>
        <w:trPr>
          <w:trHeight w:val="203"/>
        </w:trPr>
        <w:tc>
          <w:tcPr>
            <w:tcW w:w="4720" w:type="dxa"/>
            <w:vAlign w:val="bottom"/>
            <w:tcBorders>
              <w:bottom w:val="single" w:sz="8" w:color="2D53A6"/>
              <w:right w:val="single" w:sz="8" w:color="2D53A6"/>
            </w:tcBorders>
          </w:tcPr>
          <w:p>
            <w:pPr>
              <w:spacing w:after="0" w:line="202" w:lineRule="exact"/>
              <w:rPr>
                <w:sz w:val="20"/>
                <w:szCs w:val="20"/>
                <w:color w:val="auto"/>
              </w:rPr>
            </w:pPr>
            <w:r>
              <w:rPr>
                <w:rFonts w:ascii="Arial" w:cs="Arial" w:eastAsia="Arial" w:hAnsi="Arial"/>
                <w:sz w:val="18"/>
                <w:szCs w:val="18"/>
                <w:color w:val="auto"/>
              </w:rPr>
              <w:t>Luis A. Müller</w:t>
            </w:r>
          </w:p>
        </w:tc>
        <w:tc>
          <w:tcPr>
            <w:tcW w:w="6520" w:type="dxa"/>
            <w:vAlign w:val="bottom"/>
            <w:tcBorders>
              <w:bottom w:val="single" w:sz="8" w:color="2D53A6"/>
            </w:tcBorders>
          </w:tcPr>
          <w:p>
            <w:pPr>
              <w:spacing w:after="0" w:line="202" w:lineRule="exact"/>
              <w:rPr>
                <w:sz w:val="20"/>
                <w:szCs w:val="20"/>
                <w:color w:val="auto"/>
              </w:rPr>
            </w:pPr>
            <w:r>
              <w:rPr>
                <w:rFonts w:ascii="Arial" w:cs="Arial" w:eastAsia="Arial" w:hAnsi="Arial"/>
                <w:sz w:val="18"/>
                <w:szCs w:val="18"/>
                <w:color w:val="auto"/>
              </w:rPr>
              <w:t>President and Chief Executive Officer (our “CEO”)</w:t>
            </w:r>
          </w:p>
        </w:tc>
      </w:tr>
      <w:tr>
        <w:trPr>
          <w:trHeight w:val="196"/>
        </w:trPr>
        <w:tc>
          <w:tcPr>
            <w:tcW w:w="472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Jeffrey D. Jones</w:t>
            </w:r>
          </w:p>
        </w:tc>
        <w:tc>
          <w:tcPr>
            <w:tcW w:w="6520" w:type="dxa"/>
            <w:vAlign w:val="bottom"/>
            <w:tcBorders>
              <w:bottom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Senior Vice President Finance and Chief Financial Officer</w:t>
            </w:r>
          </w:p>
        </w:tc>
      </w:tr>
      <w:tr>
        <w:trPr>
          <w:trHeight w:val="196"/>
        </w:trPr>
        <w:tc>
          <w:tcPr>
            <w:tcW w:w="472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Christopher G. Bohrson</w:t>
            </w:r>
          </w:p>
        </w:tc>
        <w:tc>
          <w:tcPr>
            <w:tcW w:w="6520" w:type="dxa"/>
            <w:vAlign w:val="bottom"/>
            <w:tcBorders>
              <w:bottom w:val="single" w:sz="8" w:color="2D53A6"/>
            </w:tcBorders>
          </w:tcPr>
          <w:p>
            <w:pPr>
              <w:spacing w:after="0" w:line="196" w:lineRule="exact"/>
              <w:rPr>
                <w:sz w:val="20"/>
                <w:szCs w:val="20"/>
                <w:color w:val="auto"/>
              </w:rPr>
            </w:pPr>
            <w:r>
              <w:rPr>
                <w:rFonts w:ascii="Arial" w:cs="Arial" w:eastAsia="Arial" w:hAnsi="Arial"/>
                <w:sz w:val="18"/>
                <w:szCs w:val="18"/>
                <w:color w:val="auto"/>
              </w:rPr>
              <w:t>Senior Vice President and Chief Customer Officer</w:t>
            </w:r>
          </w:p>
        </w:tc>
      </w:tr>
      <w:tr>
        <w:trPr>
          <w:trHeight w:val="196"/>
        </w:trPr>
        <w:tc>
          <w:tcPr>
            <w:tcW w:w="472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Klaus Ilgenfritz</w:t>
            </w:r>
            <w:r>
              <w:rPr>
                <w:rFonts w:ascii="Arial" w:cs="Arial" w:eastAsia="Arial" w:hAnsi="Arial"/>
                <w:sz w:val="14"/>
                <w:szCs w:val="14"/>
                <w:color w:val="auto"/>
              </w:rPr>
              <w:t>(1)</w:t>
            </w:r>
          </w:p>
        </w:tc>
        <w:tc>
          <w:tcPr>
            <w:tcW w:w="6520" w:type="dxa"/>
            <w:vAlign w:val="bottom"/>
            <w:tcBorders>
              <w:bottom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Senior Vice President and Chief Product Officer</w:t>
            </w:r>
          </w:p>
        </w:tc>
      </w:tr>
    </w:tbl>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Ilgenfritz became a named executive officer in fiscal 2025 in connection with his promotion to Chief Product Officer in January 2025.</w:t>
      </w:r>
    </w:p>
    <w:p>
      <w:pPr>
        <w:spacing w:after="0" w:line="18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refer to our named executive officers collectively in this CD&amp;A and the related compensation tables as our “NEOs”. This CD&amp;A provides an overview of our philosophy and principles that govern our executive compensation program, how we applied those principles in compensating our NEOs for 2025, and how we use our executive compensation program to drive Company performance and alignment with our stockholders. In addition, we explain how and why the Compensation Committee of our Board of Directors, referred to as our “Compensation Committee,” arrived at the specific compensation policies and decisions involving our NEOs during 2025.</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Executive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Business Highlights</w:t>
      </w:r>
    </w:p>
    <w:p>
      <w:pPr>
        <w:spacing w:after="0" w:line="15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Cohu delivered full</w:t>
      </w:r>
      <w:r>
        <w:rPr>
          <w:rFonts w:ascii="MS PGothic" w:cs="MS PGothic" w:eastAsia="MS PGothic" w:hAnsi="MS PGothic"/>
          <w:sz w:val="18"/>
          <w:szCs w:val="18"/>
          <w:color w:val="auto"/>
        </w:rPr>
        <w:t>‑</w:t>
      </w:r>
      <w:r>
        <w:rPr>
          <w:rFonts w:ascii="Arial" w:cs="Arial" w:eastAsia="Arial" w:hAnsi="Arial"/>
          <w:sz w:val="18"/>
          <w:szCs w:val="18"/>
          <w:color w:val="auto"/>
        </w:rPr>
        <w:t>year 2025 revenue of $453.0 million, growing 13% year-over-year, and non</w:t>
      </w:r>
      <w:r>
        <w:rPr>
          <w:rFonts w:ascii="MS PGothic" w:cs="MS PGothic" w:eastAsia="MS PGothic" w:hAnsi="MS PGothic"/>
          <w:sz w:val="18"/>
          <w:szCs w:val="18"/>
          <w:color w:val="auto"/>
        </w:rPr>
        <w:t>‑</w:t>
      </w:r>
      <w:r>
        <w:rPr>
          <w:rFonts w:ascii="Arial" w:cs="Arial" w:eastAsia="Arial" w:hAnsi="Arial"/>
          <w:sz w:val="18"/>
          <w:szCs w:val="18"/>
          <w:color w:val="auto"/>
        </w:rPr>
        <w:t>GAAP adjusted pre</w:t>
      </w:r>
      <w:r>
        <w:rPr>
          <w:rFonts w:ascii="MS PGothic" w:cs="MS PGothic" w:eastAsia="MS PGothic" w:hAnsi="MS PGothic"/>
          <w:sz w:val="18"/>
          <w:szCs w:val="18"/>
          <w:color w:val="auto"/>
        </w:rPr>
        <w:t>‑</w:t>
      </w:r>
      <w:r>
        <w:rPr>
          <w:rFonts w:ascii="Arial" w:cs="Arial" w:eastAsia="Arial" w:hAnsi="Arial"/>
          <w:sz w:val="18"/>
          <w:szCs w:val="18"/>
          <w:color w:val="auto"/>
        </w:rPr>
        <w:t>tax income of</w:t>
      </w:r>
    </w:p>
    <w:p>
      <w:pPr>
        <w:spacing w:after="0" w:line="50" w:lineRule="exact"/>
        <w:rPr>
          <w:sz w:val="20"/>
          <w:szCs w:val="20"/>
          <w:color w:val="auto"/>
        </w:rPr>
      </w:pPr>
    </w:p>
    <w:p>
      <w:pPr>
        <w:ind w:right="40"/>
        <w:spacing w:after="0" w:line="207" w:lineRule="exact"/>
        <w:rPr>
          <w:sz w:val="20"/>
          <w:szCs w:val="20"/>
          <w:color w:val="auto"/>
        </w:rPr>
      </w:pPr>
      <w:r>
        <w:rPr>
          <w:rFonts w:ascii="Arial" w:cs="Arial" w:eastAsia="Arial" w:hAnsi="Arial"/>
          <w:sz w:val="18"/>
          <w:szCs w:val="18"/>
          <w:color w:val="auto"/>
        </w:rPr>
        <w:t>$7.3 million, an improvement over 2024 despite a slower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recovery across our end markets. Results reflect continuing efforts in cost control, stable gross margin and design-win successes in high-performance computing and memory markets. We made important gains in key development projects and launched new products in each of our major business lines. We also completed the acquisition of Tignis, Inc., which will enhance our software solutions offerings with their artificial intelligence process control and analytics-based monitoring platforms. Some key business outcomes:</w:t>
      </w:r>
    </w:p>
    <w:p>
      <w:pPr>
        <w:spacing w:after="0" w:line="166" w:lineRule="exact"/>
        <w:rPr>
          <w:sz w:val="20"/>
          <w:szCs w:val="20"/>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Net sales were $453.0 million, increasing 12.7% from 2024.</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GAAP gross margin was 42.7%, and non-GAAP gross margin was 43.3%.</w:t>
      </w:r>
      <w:r>
        <w:rPr>
          <w:rFonts w:ascii="Arial" w:cs="Arial" w:eastAsia="Arial" w:hAnsi="Arial"/>
          <w:sz w:val="14"/>
          <w:szCs w:val="14"/>
          <w:color w:val="auto"/>
        </w:rPr>
        <w:t>(1)</w:t>
      </w:r>
      <w:r>
        <w:rPr>
          <w:rFonts w:ascii="Arial" w:cs="Arial" w:eastAsia="Arial" w:hAnsi="Arial"/>
          <w:sz w:val="18"/>
          <w:szCs w:val="18"/>
          <w:color w:val="auto"/>
        </w:rPr>
        <w:t>.</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GAAP pretax loss of (13.8)% of sales, and non-GAAP pretax income of 1.6%.</w:t>
      </w:r>
      <w:r>
        <w:rPr>
          <w:rFonts w:ascii="Arial" w:cs="Arial" w:eastAsia="Arial" w:hAnsi="Arial"/>
          <w:sz w:val="14"/>
          <w:szCs w:val="14"/>
          <w:color w:val="auto"/>
        </w:rPr>
        <w:t>(1)</w:t>
      </w:r>
      <w:r>
        <w:rPr>
          <w:rFonts w:ascii="Arial" w:cs="Arial" w:eastAsia="Arial" w:hAnsi="Arial"/>
          <w:sz w:val="18"/>
          <w:szCs w:val="18"/>
          <w:color w:val="auto"/>
        </w:rPr>
        <w:t xml:space="preserve"> of sales.</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Remained cash-flow positive from operations.</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Returned $8.6 million in capital to stockholders in the form of stock buybacks.</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Strong net cash position of $3.82 per share at the end of 2025.</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Completed the acquisition of Tignis, Inc. in early 2025.</w:t>
      </w: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Delivered strong operational execution in the face of an extended downcycle in the semiconductor equipment market.</w:t>
      </w:r>
    </w:p>
    <w:p>
      <w:pPr>
        <w:spacing w:after="0" w:line="180"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GAAP to non-GAAP reconciliations</w:t>
      </w:r>
      <w:r>
        <w:rPr>
          <w:rFonts w:ascii="Arial" w:cs="Arial" w:eastAsia="Arial" w:hAnsi="Arial"/>
          <w:sz w:val="18"/>
          <w:szCs w:val="18"/>
          <w:i w:val="1"/>
          <w:iCs w:val="1"/>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Key Executive Compensation Actions</w:t>
      </w:r>
    </w:p>
    <w:p>
      <w:pPr>
        <w:spacing w:after="0" w:line="19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Consistent with our performance and the compensation objectives established for 2025, the Compensation Committee made the following compensation decisions for our NEOs, including our CEO, for 2025:</w:t>
      </w:r>
    </w:p>
    <w:p>
      <w:pPr>
        <w:spacing w:after="0" w:line="140" w:lineRule="exact"/>
        <w:rPr>
          <w:sz w:val="20"/>
          <w:szCs w:val="20"/>
          <w:color w:val="auto"/>
        </w:rPr>
      </w:pPr>
    </w:p>
    <w:p>
      <w:pPr>
        <w:ind w:left="660" w:right="100" w:hanging="328"/>
        <w:spacing w:after="0" w:line="24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Kept base salaries and target bonus percentages unchanged, except for Mr. Ilgenfritz in connection with his promotion, as no increases for any other NEOs were deemed appropriate following a review of compensation market data and in consideration of the continuing softness in the industry;</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cash bonuses were earned based on 2025 financial results; and</w:t>
      </w:r>
    </w:p>
    <w:p>
      <w:pPr>
        <w:ind w:left="660" w:right="60" w:hanging="328"/>
        <w:spacing w:after="0" w:line="24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Granted long-term incentive compensation in the form of time-based vesting restricted stock units (“RSUs”) vesting ratably over a three-year period and performance share units (“PSUs”) to be earned based on our total stockholder return (“TSR”) relative to a pre-selected index for a three-year period from 2025 through 2027.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for Performance</w:t>
      </w:r>
    </w:p>
    <w:p>
      <w:pPr>
        <w:spacing w:after="0" w:line="19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Compensation Committee believes that the compensation of our NEOs for 2025 was reasonable and appropriate, was supported by our performance, and carefully balanced both time-based and performance-based compensation elements. The 2025 compensation objectives for our NEOs were established in February and March 2025. The Compensation Committee continued the emphasis on performance-based equity within our long-term incentive program by keeping the proportion of performance-based equity granted to our CEO and other NEOs at 60% of the total target award and the remaining at 40% of the total target award value in time-based equity.</w:t>
      </w:r>
    </w:p>
    <w:p>
      <w:pPr>
        <w:spacing w:after="0" w:line="16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following chart illustrates the mix of elements of the target total direct compensation opportunity for our CEO for 2025. The majority of his compensation, 89%, is considered variable and at risk, 59% is paid upon achievement of certain performance metrics, and only 11% of his total target direct compensation is paid as fixed base salary reflecting an increased emphasis on both the at-risk and performance elements of our CEO’s compensation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113665</wp:posOffset>
            </wp:positionV>
            <wp:extent cx="4963160" cy="3068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6316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the compensation of our NEOs over the previous five years demonstrates the alignment between pay and performance. The variable cash compensation earned by our NEOs for each year from 2021 through 2025 varied from 0% to 193% of their target annual cash incentive opportunities based on our financial performance. Specifically:</w:t>
      </w:r>
    </w:p>
    <w:p>
      <w:pPr>
        <w:spacing w:after="0" w:line="155" w:lineRule="exact"/>
        <w:rPr>
          <w:sz w:val="20"/>
          <w:szCs w:val="20"/>
          <w:color w:val="auto"/>
        </w:rPr>
      </w:pPr>
    </w:p>
    <w:p>
      <w:pPr>
        <w:ind w:left="660" w:right="26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2021 continued to pose COVID-19 pandemic related challenges, yet Cohu still achieved record sales, profitability and order levels resulting in the seventh consecutive year of sales growth. Due to this strong performance, our NEOs, including our CEO, earned 168% of their target annual cash incentive opportunities.</w:t>
      </w:r>
    </w:p>
    <w:p>
      <w:pPr>
        <w:spacing w:after="0" w:line="155" w:lineRule="exact"/>
        <w:rPr>
          <w:rFonts w:ascii="Arial" w:cs="Arial" w:eastAsia="Arial" w:hAnsi="Arial"/>
          <w:sz w:val="18"/>
          <w:szCs w:val="18"/>
          <w:color w:val="auto"/>
        </w:rPr>
      </w:pPr>
    </w:p>
    <w:p>
      <w:pPr>
        <w:ind w:left="660" w:right="46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2022 continued to present supply chain related challenges, inflationary cost pressures and a softening market, yet Cohu still achieved strong profitability. Due to this robust performance in difficult market conditions, our NEOs, including our CEO, earned 193% of their target annual cash incentive opportunities.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left="660" w:right="180" w:hanging="328"/>
        <w:spacing w:after="0" w:line="25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2023 marked the beginning of a downturn in the semiconductor industry, but Cohu was able to achieve improved gross margin results and exceeded our model profitability levels. Due to the adept navigation of these challenges, our NEOs, including our CEO, earned 96% of their target annual cash incentive opportunities.</w:t>
      </w:r>
    </w:p>
    <w:p>
      <w:pPr>
        <w:spacing w:after="0" w:line="155" w:lineRule="exact"/>
        <w:rPr>
          <w:rFonts w:ascii="Arial" w:cs="Arial" w:eastAsia="Arial" w:hAnsi="Arial"/>
          <w:sz w:val="18"/>
          <w:szCs w:val="18"/>
          <w:color w:val="auto"/>
        </w:rPr>
      </w:pPr>
    </w:p>
    <w:p>
      <w:pPr>
        <w:ind w:left="660" w:right="120" w:hanging="328"/>
        <w:spacing w:after="0" w:line="27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2024 continued the unprecedented downturn in the semiconductor industry. Cohu did not achieve the targeted goals with respect to revenue growth nor profitability, which resulted in no annual cash incentives being earned by our NEOs, including our CEO.</w:t>
      </w:r>
    </w:p>
    <w:p>
      <w:pPr>
        <w:spacing w:after="0" w:line="140" w:lineRule="exact"/>
        <w:rPr>
          <w:rFonts w:ascii="Arial" w:cs="Arial" w:eastAsia="Arial" w:hAnsi="Arial"/>
          <w:sz w:val="18"/>
          <w:szCs w:val="18"/>
          <w:color w:val="auto"/>
        </w:rPr>
      </w:pPr>
    </w:p>
    <w:p>
      <w:pPr>
        <w:ind w:left="660" w:right="120" w:hanging="328"/>
        <w:spacing w:after="0" w:line="25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2025 showed gradual improvement in the semiconductor industry. With continued focus on rapidly evolving market dynamics, Cohu exceeded the year-over-year sales growth goal but did not achieve the thresholds established for the four-year sales growth or profitability goals. This resulted in 32% of target annual bonuses being earned by our NEOs, including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110490</wp:posOffset>
            </wp:positionV>
            <wp:extent cx="6189345" cy="3780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89345"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Since 2015, the PSU portion of the long-term incentive compensation program has been earned solely on our TSR relative to a pre-selected comparator group of companies. Starting with the 2021 PSU grants, achievement is based on the Cohu TSR relative to the Russell 2000 Index as described in the “Long-Term Incentive Compensation” section that follows. The weighting of these PSUs in relation to time-based RSU grants has also evolved over the years and, commencing with the long-term incentive grants made in March 2023, 60% of each NEO’s total annual equity grant value is awarded in PSUs and 40% awarded in time-based RSUs. For PSU performance periods concluding since 2021, our NEOs have historically earned from a low of 0% of their target PSU awards to a high of 142% of their target PSU awards.</w:t>
      </w:r>
    </w:p>
    <w:p>
      <w:pPr>
        <w:spacing w:after="0" w:line="1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appropriate balance between short-term financial performance and long-term stockholder return. For example, commencing with PSUs granted in March 2021, we eliminated the 25% minimum number of PSUs that were guaranteed to vest, regardless of performance. This formula is described in detail in the section entitled “Long-Term Incentive Compensation” below.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Executive Compensation Policies and Practices</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2025:</w:t>
      </w:r>
    </w:p>
    <w:p>
      <w:pPr>
        <w:spacing w:after="0" w:line="16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Independent Compensation Committee</w:t>
      </w:r>
      <w:r>
        <w:rPr>
          <w:rFonts w:ascii="Arial" w:cs="Arial" w:eastAsia="Arial" w:hAnsi="Arial"/>
          <w:sz w:val="18"/>
          <w:szCs w:val="18"/>
          <w:color w:val="auto"/>
        </w:rPr>
        <w:t>. The Compensation Committee is comprised solely of independent directors.</w:t>
      </w:r>
    </w:p>
    <w:p>
      <w:pPr>
        <w:spacing w:after="0" w:line="13" w:lineRule="exact"/>
        <w:rPr>
          <w:rFonts w:ascii="Arial" w:cs="Arial" w:eastAsia="Arial" w:hAnsi="Arial"/>
          <w:sz w:val="18"/>
          <w:szCs w:val="18"/>
          <w:color w:val="auto"/>
        </w:rPr>
      </w:pPr>
    </w:p>
    <w:p>
      <w:pPr>
        <w:ind w:left="660" w:right="180" w:hanging="328"/>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Independent Compensation Committee Advisors</w:t>
      </w:r>
      <w:r>
        <w:rPr>
          <w:rFonts w:ascii="Arial" w:cs="Arial" w:eastAsia="Arial" w:hAnsi="Arial"/>
          <w:sz w:val="18"/>
          <w:szCs w:val="18"/>
          <w:color w:val="auto"/>
        </w:rPr>
        <w:t>. The Compensation Committee engaged its own compensation consultant to</w:t>
      </w:r>
      <w:r>
        <w:rPr>
          <w:rFonts w:ascii="Arial" w:cs="Arial" w:eastAsia="Arial" w:hAnsi="Arial"/>
          <w:sz w:val="18"/>
          <w:szCs w:val="18"/>
          <w:b w:val="1"/>
          <w:bCs w:val="1"/>
          <w:color w:val="auto"/>
        </w:rPr>
        <w:t xml:space="preserve"> </w:t>
      </w:r>
      <w:r>
        <w:rPr>
          <w:rFonts w:ascii="Arial" w:cs="Arial" w:eastAsia="Arial" w:hAnsi="Arial"/>
          <w:sz w:val="18"/>
          <w:szCs w:val="18"/>
          <w:color w:val="auto"/>
        </w:rPr>
        <w:t>assist with its continuous compensation and governance reviews. This consultant performed no other consulting or services for the Company.</w:t>
      </w:r>
    </w:p>
    <w:p>
      <w:pPr>
        <w:spacing w:after="0" w:line="2" w:lineRule="exact"/>
        <w:rPr>
          <w:rFonts w:ascii="Arial" w:cs="Arial" w:eastAsia="Arial" w:hAnsi="Arial"/>
          <w:sz w:val="18"/>
          <w:szCs w:val="18"/>
          <w:color w:val="auto"/>
        </w:rPr>
      </w:pPr>
    </w:p>
    <w:p>
      <w:pPr>
        <w:ind w:left="660" w:right="780" w:hanging="328"/>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Annual Executive Compensation Review. </w:t>
      </w:r>
      <w:r>
        <w:rPr>
          <w:rFonts w:ascii="Arial" w:cs="Arial" w:eastAsia="Arial" w:hAnsi="Arial"/>
          <w:sz w:val="18"/>
          <w:szCs w:val="18"/>
          <w:color w:val="auto"/>
        </w:rPr>
        <w:t>The Compensation Committee conducts an annual review and approval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strategy, including a review of our compensation peer group used for comparative purposes.</w:t>
      </w:r>
    </w:p>
    <w:p>
      <w:pPr>
        <w:spacing w:after="0" w:line="1" w:lineRule="exact"/>
        <w:rPr>
          <w:rFonts w:ascii="Arial" w:cs="Arial" w:eastAsia="Arial" w:hAnsi="Arial"/>
          <w:sz w:val="18"/>
          <w:szCs w:val="18"/>
          <w:color w:val="auto"/>
        </w:rPr>
      </w:pPr>
    </w:p>
    <w:p>
      <w:pPr>
        <w:ind w:left="660" w:right="400" w:hanging="328"/>
        <w:spacing w:after="0" w:line="24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Annual Compensation-Related Risk Review. </w:t>
      </w:r>
      <w:r>
        <w:rPr>
          <w:rFonts w:ascii="Arial" w:cs="Arial" w:eastAsia="Arial" w:hAnsi="Arial"/>
          <w:sz w:val="17"/>
          <w:szCs w:val="17"/>
          <w:color w:val="auto"/>
        </w:rPr>
        <w:t>The Compensation Committee conducts an annual review of our compensation-related risk profile to ensure that compensation practices are not reasonably likely to have a material adverse effect on Cohu.</w:t>
      </w:r>
    </w:p>
    <w:p>
      <w:pPr>
        <w:spacing w:after="0" w:line="1" w:lineRule="exact"/>
        <w:rPr>
          <w:rFonts w:ascii="Arial" w:cs="Arial" w:eastAsia="Arial" w:hAnsi="Arial"/>
          <w:sz w:val="17"/>
          <w:szCs w:val="17"/>
          <w:color w:val="auto"/>
        </w:rPr>
      </w:pPr>
    </w:p>
    <w:p>
      <w:pPr>
        <w:ind w:left="660" w:right="240" w:hanging="328"/>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Executive Compensation Policies and Practices. </w:t>
      </w:r>
      <w:r>
        <w:rPr>
          <w:rFonts w:ascii="Arial" w:cs="Arial" w:eastAsia="Arial" w:hAnsi="Arial"/>
          <w:sz w:val="18"/>
          <w:szCs w:val="18"/>
          <w:color w:val="auto"/>
        </w:rPr>
        <w:t>Our compensation philosophy and related corporate governance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are complemented by several specific compensation policies and practices that are designed to align our executive compensation with long-term stockholder interests, including the following:</w:t>
      </w:r>
    </w:p>
    <w:p>
      <w:pPr>
        <w:spacing w:after="0" w:line="2" w:lineRule="exact"/>
        <w:rPr>
          <w:rFonts w:ascii="Arial" w:cs="Arial" w:eastAsia="Arial" w:hAnsi="Arial"/>
          <w:sz w:val="18"/>
          <w:szCs w:val="18"/>
          <w:color w:val="auto"/>
        </w:rPr>
      </w:pPr>
    </w:p>
    <w:p>
      <w:pPr>
        <w:ind w:left="1300" w:right="180" w:hanging="320"/>
        <w:spacing w:after="0" w:line="23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At-Risk. </w:t>
      </w:r>
      <w:r>
        <w:rPr>
          <w:rFonts w:ascii="Arial" w:cs="Arial" w:eastAsia="Arial" w:hAnsi="Arial"/>
          <w:sz w:val="18"/>
          <w:szCs w:val="18"/>
          <w:color w:val="auto"/>
        </w:rPr>
        <w:t>Our executive compensation program is designed so that a significant portion of compensation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“at risk” based on corporate performance, as well as equity-based to align the interests of our executive officers and stockholders.</w:t>
      </w:r>
    </w:p>
    <w:p>
      <w:pPr>
        <w:spacing w:after="0" w:line="2" w:lineRule="exact"/>
        <w:rPr>
          <w:rFonts w:ascii="Arial" w:cs="Arial" w:eastAsia="Arial" w:hAnsi="Arial"/>
          <w:sz w:val="18"/>
          <w:szCs w:val="18"/>
          <w:color w:val="auto"/>
        </w:rPr>
      </w:pPr>
    </w:p>
    <w:p>
      <w:pPr>
        <w:ind w:left="1300" w:right="360" w:hanging="320"/>
        <w:spacing w:after="0" w:line="23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No Defined Benefit Pension Plans. </w:t>
      </w:r>
      <w:r>
        <w:rPr>
          <w:rFonts w:ascii="Arial" w:cs="Arial" w:eastAsia="Arial" w:hAnsi="Arial"/>
          <w:sz w:val="18"/>
          <w:szCs w:val="18"/>
          <w:color w:val="auto"/>
        </w:rPr>
        <w:t>We do not currently offer, nor do we have plans to provide, defined benefit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or arrangements for our executive officers.</w:t>
      </w:r>
    </w:p>
    <w:p>
      <w:pPr>
        <w:spacing w:after="0" w:line="1" w:lineRule="exact"/>
        <w:rPr>
          <w:rFonts w:ascii="Arial" w:cs="Arial" w:eastAsia="Arial" w:hAnsi="Arial"/>
          <w:sz w:val="18"/>
          <w:szCs w:val="18"/>
          <w:color w:val="auto"/>
        </w:rPr>
      </w:pPr>
    </w:p>
    <w:p>
      <w:pPr>
        <w:ind w:left="1300" w:right="280" w:hanging="320"/>
        <w:spacing w:after="0" w:line="23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Limited Perquisites. </w:t>
      </w:r>
      <w:r>
        <w:rPr>
          <w:rFonts w:ascii="Arial" w:cs="Arial" w:eastAsia="Arial" w:hAnsi="Arial"/>
          <w:sz w:val="18"/>
          <w:szCs w:val="18"/>
          <w:color w:val="auto"/>
        </w:rPr>
        <w:t>We provide minimal perquisites and other personal benefits to our executive officers,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described below.</w:t>
      </w:r>
    </w:p>
    <w:p>
      <w:pPr>
        <w:spacing w:after="0" w:line="1" w:lineRule="exact"/>
        <w:rPr>
          <w:rFonts w:ascii="Arial" w:cs="Arial" w:eastAsia="Arial" w:hAnsi="Arial"/>
          <w:sz w:val="18"/>
          <w:szCs w:val="18"/>
          <w:color w:val="auto"/>
        </w:rPr>
      </w:pPr>
    </w:p>
    <w:p>
      <w:pPr>
        <w:ind w:left="1300" w:right="160" w:hanging="320"/>
        <w:spacing w:after="0" w:line="23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No Tax Reimbursements. </w:t>
      </w:r>
      <w:r>
        <w:rPr>
          <w:rFonts w:ascii="Arial" w:cs="Arial" w:eastAsia="Arial" w:hAnsi="Arial"/>
          <w:sz w:val="18"/>
          <w:szCs w:val="18"/>
          <w:color w:val="auto"/>
        </w:rPr>
        <w:t>We do not provide any tax or “gross-up” reimbursement payments on any severance or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payments, perquisites or other personal benefits other than immaterial COBRA reimbursements, standard relocation benefits and tax equalization agreements related to expatriate assignments.</w:t>
      </w:r>
    </w:p>
    <w:p>
      <w:pPr>
        <w:spacing w:after="0" w:line="2" w:lineRule="exact"/>
        <w:rPr>
          <w:rFonts w:ascii="Arial" w:cs="Arial" w:eastAsia="Arial" w:hAnsi="Arial"/>
          <w:sz w:val="18"/>
          <w:szCs w:val="18"/>
          <w:color w:val="auto"/>
        </w:rPr>
      </w:pPr>
    </w:p>
    <w:p>
      <w:pPr>
        <w:ind w:left="1300" w:right="180" w:hanging="320"/>
        <w:spacing w:after="0" w:line="23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“Double-Trigger</w:t>
      </w:r>
      <w:r>
        <w:rPr>
          <w:rFonts w:ascii="Arial" w:cs="Arial" w:eastAsia="Arial" w:hAnsi="Arial"/>
          <w:sz w:val="18"/>
          <w:szCs w:val="18"/>
          <w:color w:val="auto"/>
        </w:rPr>
        <w:t>”</w:t>
      </w:r>
      <w:r>
        <w:rPr>
          <w:rFonts w:ascii="Arial" w:cs="Arial" w:eastAsia="Arial" w:hAnsi="Arial"/>
          <w:sz w:val="18"/>
          <w:szCs w:val="18"/>
          <w:b w:val="1"/>
          <w:bCs w:val="1"/>
          <w:color w:val="auto"/>
        </w:rPr>
        <w:t xml:space="preserve"> Change-in-Control Arrangements. </w:t>
      </w:r>
      <w:r>
        <w:rPr>
          <w:rFonts w:ascii="Arial" w:cs="Arial" w:eastAsia="Arial" w:hAnsi="Arial"/>
          <w:sz w:val="18"/>
          <w:szCs w:val="18"/>
          <w:color w:val="auto"/>
        </w:rPr>
        <w:t>All change-in-control cash payments and benefits are based on a</w:t>
      </w:r>
      <w:r>
        <w:rPr>
          <w:rFonts w:ascii="Arial" w:cs="Arial" w:eastAsia="Arial" w:hAnsi="Arial"/>
          <w:sz w:val="18"/>
          <w:szCs w:val="18"/>
          <w:b w:val="1"/>
          <w:bCs w:val="1"/>
          <w:color w:val="auto"/>
        </w:rPr>
        <w:t xml:space="preserve"> </w:t>
      </w:r>
      <w:r>
        <w:rPr>
          <w:rFonts w:ascii="Arial" w:cs="Arial" w:eastAsia="Arial" w:hAnsi="Arial"/>
          <w:sz w:val="18"/>
          <w:szCs w:val="18"/>
          <w:color w:val="auto"/>
        </w:rPr>
        <w:t>“double-trigger” arrangement (that is, they require both a change-in-control plus a qualifying termination of employment before payments and benefits are paid), although the vesting of equity awards will accelerate in full if the awards are not or cannot reasonably be assumed or replaced by an acquiring corporation.</w:t>
      </w:r>
    </w:p>
    <w:p>
      <w:pPr>
        <w:spacing w:after="0" w:line="2"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Performance-Based Incentives. </w:t>
      </w:r>
      <w:r>
        <w:rPr>
          <w:rFonts w:ascii="Arial" w:cs="Arial" w:eastAsia="Arial" w:hAnsi="Arial"/>
          <w:sz w:val="18"/>
          <w:szCs w:val="18"/>
          <w:color w:val="auto"/>
        </w:rPr>
        <w:t>We use performance-based short-term and long-term incentives and do not have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or overlapping metrics between these programs.</w:t>
      </w:r>
    </w:p>
    <w:p>
      <w:pPr>
        <w:spacing w:after="0" w:line="1" w:lineRule="exact"/>
        <w:rPr>
          <w:rFonts w:ascii="Arial" w:cs="Arial" w:eastAsia="Arial" w:hAnsi="Arial"/>
          <w:sz w:val="18"/>
          <w:szCs w:val="18"/>
          <w:color w:val="auto"/>
        </w:rPr>
      </w:pPr>
    </w:p>
    <w:p>
      <w:pPr>
        <w:ind w:left="1300" w:right="140" w:hanging="320"/>
        <w:spacing w:after="0" w:line="23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Recovery of Erroneously Awarded Incentive Compensation. </w:t>
      </w:r>
      <w:r>
        <w:rPr>
          <w:rFonts w:ascii="Arial" w:cs="Arial" w:eastAsia="Arial" w:hAnsi="Arial"/>
          <w:sz w:val="18"/>
          <w:szCs w:val="18"/>
          <w:color w:val="auto"/>
        </w:rPr>
        <w:t>Certain compensation awarded to our executive officers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recovery by Cohu if our financial results are restated under a policy which complies with the Exchange Act Rule 10D-1 and the corresponding Nasdaq listing standards.</w:t>
      </w:r>
    </w:p>
    <w:p>
      <w:pPr>
        <w:spacing w:after="0" w:line="2" w:lineRule="exact"/>
        <w:rPr>
          <w:rFonts w:ascii="Arial" w:cs="Arial" w:eastAsia="Arial" w:hAnsi="Arial"/>
          <w:sz w:val="18"/>
          <w:szCs w:val="18"/>
          <w:color w:val="auto"/>
        </w:rPr>
      </w:pPr>
    </w:p>
    <w:p>
      <w:pPr>
        <w:ind w:left="1300" w:right="140" w:hanging="320"/>
        <w:spacing w:after="0" w:line="23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Multi-Year Vesting Requirements. </w:t>
      </w:r>
      <w:r>
        <w:rPr>
          <w:rFonts w:ascii="Arial" w:cs="Arial" w:eastAsia="Arial" w:hAnsi="Arial"/>
          <w:sz w:val="18"/>
          <w:szCs w:val="18"/>
          <w:color w:val="auto"/>
        </w:rPr>
        <w:t>The equity awards granted to our executive officer’s vest or are earned over multi-year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consistent with current market practice and our retention objectives.</w:t>
      </w:r>
    </w:p>
    <w:p>
      <w:pPr>
        <w:spacing w:after="0" w:line="1" w:lineRule="exact"/>
        <w:rPr>
          <w:rFonts w:ascii="Arial" w:cs="Arial" w:eastAsia="Arial" w:hAnsi="Arial"/>
          <w:sz w:val="18"/>
          <w:szCs w:val="18"/>
          <w:color w:val="auto"/>
        </w:rPr>
      </w:pPr>
    </w:p>
    <w:p>
      <w:pPr>
        <w:ind w:left="1300" w:right="300" w:hanging="320"/>
        <w:spacing w:after="0" w:line="23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Repricing Prohibited. </w:t>
      </w:r>
      <w:r>
        <w:rPr>
          <w:rFonts w:ascii="Arial" w:cs="Arial" w:eastAsia="Arial" w:hAnsi="Arial"/>
          <w:sz w:val="18"/>
          <w:szCs w:val="18"/>
          <w:color w:val="auto"/>
        </w:rPr>
        <w:t>Our stock incentive plans prohibit the repricing of stock options without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w:t>
      </w:r>
    </w:p>
    <w:p>
      <w:pPr>
        <w:spacing w:after="0" w:line="1" w:lineRule="exact"/>
        <w:rPr>
          <w:rFonts w:ascii="Arial" w:cs="Arial" w:eastAsia="Arial" w:hAnsi="Arial"/>
          <w:sz w:val="18"/>
          <w:szCs w:val="18"/>
          <w:color w:val="auto"/>
        </w:rPr>
      </w:pPr>
    </w:p>
    <w:p>
      <w:pPr>
        <w:ind w:left="1300" w:right="40" w:hanging="320"/>
        <w:spacing w:after="0" w:line="23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Hedging and Pledging Prohibited. </w:t>
      </w:r>
      <w:r>
        <w:rPr>
          <w:rFonts w:ascii="Arial" w:cs="Arial" w:eastAsia="Arial" w:hAnsi="Arial"/>
          <w:sz w:val="18"/>
          <w:szCs w:val="18"/>
          <w:color w:val="auto"/>
        </w:rPr>
        <w:t>We prohibit our employees, including our executive officers and directors, from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or pledging any Company securities.</w:t>
      </w:r>
    </w:p>
    <w:p>
      <w:pPr>
        <w:spacing w:after="0" w:line="1" w:lineRule="exact"/>
        <w:rPr>
          <w:rFonts w:ascii="Arial" w:cs="Arial" w:eastAsia="Arial" w:hAnsi="Arial"/>
          <w:sz w:val="18"/>
          <w:szCs w:val="18"/>
          <w:color w:val="auto"/>
        </w:rPr>
      </w:pPr>
    </w:p>
    <w:p>
      <w:pPr>
        <w:ind w:left="1300" w:right="40" w:hanging="320"/>
        <w:spacing w:after="0" w:line="25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Policy. </w:t>
      </w:r>
      <w:r>
        <w:rPr>
          <w:rFonts w:ascii="Arial" w:cs="Arial" w:eastAsia="Arial" w:hAnsi="Arial"/>
          <w:sz w:val="18"/>
          <w:szCs w:val="18"/>
          <w:color w:val="auto"/>
        </w:rPr>
        <w:t>We maintain a stock ownership policy for our executive officers and directors which requires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them to beneficially own a specified value of shares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Stockholder Advisory Vote on Executive Compensation</w:t>
      </w:r>
    </w:p>
    <w:p>
      <w:pPr>
        <w:spacing w:after="0" w:line="196"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color w:val="auto"/>
        </w:rPr>
        <w:t>At our 2025 Annual Meeting of Stockholders, we conducted a stockholder advisory vote on the 2024 compensation of our NEOs (commonly known as a “Say-on-Pay” vote). Our stockholders approved, in a non-binding vote, the 2024 compensation of our NEOs, as disclosed in our proxy statement for the 2024 Annual Meeting of Stockholders, with approximately 98.1% of the votes cast in favor of the proposal.</w:t>
      </w:r>
    </w:p>
    <w:p>
      <w:pPr>
        <w:spacing w:after="0" w:line="138"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our NEOs.</w:t>
      </w:r>
    </w:p>
    <w:p>
      <w:pPr>
        <w:spacing w:after="0" w:line="15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Based on the results of a previous stockholder advisory vote on the frequency of future stockholder advisory votes regarding the compensation of our NEOs (commonly known as a “Say-When-on-Pay” vote) conducted at our 2023 Annual Meeting of Stockholders, our Board of Directors determined that we will continue to hold our Say-on-Pay votes on an annual basis.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137160</wp:posOffset>
            </wp:positionV>
            <wp:extent cx="5701030" cy="2708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103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0" w:hanging="328"/>
        <w:spacing w:after="0" w:line="27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Percentages shown are percentage of votes cast. Abstentions and broker non-votes are not deemed to be votes cast and, therefore, are not included in the tabulation of the voting results in respect to the Say-on-Pay proposals.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Compensation Philosophy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is intended to meet three principal objectives:</w:t>
      </w:r>
    </w:p>
    <w:p>
      <w:pPr>
        <w:spacing w:after="0" w:line="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reward and retain our executive officers;</w:t>
      </w:r>
    </w:p>
    <w:p>
      <w:pPr>
        <w:ind w:left="340" w:hanging="332"/>
        <w:spacing w:after="0" w:line="23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Motivate these individuals to achieve our short-term and long-term corporate goals that enhance stockholder value; and</w:t>
      </w: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Support our core values and culture by promoting internal equity and external competitiveness.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meet these objectives, we have adopted the following overarching policies:</w:t>
      </w:r>
    </w:p>
    <w:p>
      <w:pPr>
        <w:spacing w:after="0" w:line="14" w:lineRule="exact"/>
        <w:rPr>
          <w:sz w:val="20"/>
          <w:szCs w:val="20"/>
          <w:color w:val="auto"/>
        </w:rPr>
      </w:pPr>
    </w:p>
    <w:p>
      <w:pPr>
        <w:ind w:left="660" w:right="600" w:hanging="328"/>
        <w:spacing w:after="0" w:line="23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pay compensation that is competitive with the practices of other leading semiconductor equipment and similar technology companies; and</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pay for performance by:</w:t>
      </w:r>
    </w:p>
    <w:p>
      <w:pPr>
        <w:ind w:left="1300" w:right="200" w:hanging="320"/>
        <w:spacing w:after="0" w:line="23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Providing a short-term incentive compensation opportunity paid in cash that is based on challenging financial performance objectives for our executive officers; and</w:t>
      </w:r>
    </w:p>
    <w:p>
      <w:pPr>
        <w:spacing w:after="0" w:line="1" w:lineRule="exact"/>
        <w:rPr>
          <w:rFonts w:ascii="Arial" w:cs="Arial" w:eastAsia="Arial" w:hAnsi="Arial"/>
          <w:sz w:val="18"/>
          <w:szCs w:val="18"/>
          <w:color w:val="auto"/>
        </w:rPr>
      </w:pPr>
    </w:p>
    <w:p>
      <w:pPr>
        <w:ind w:left="1300" w:hanging="320"/>
        <w:spacing w:after="0" w:line="242"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Providing long-term incentive compensation opportunities in the form of a combination of RSU awards and PSU awards, that enable us to motivate and retain those executive officers with the leadership abilities necessary to create sustainable long-term value for our stockholders.</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Compensation-Setting Process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19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described in further detail below. Based on its review and assessment, the Compensation Committee from time to time recommends changes in our executive compensation program.</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Compensation Committee reviews our executive compensation program on an annual basis, including each of the elements of compensation provided under the program (other than deferred compensation and Section 401(k) benefits, which are reviewed from time to time to ensure that benefit levels remain competitive). In determining the overall compensation arrangements for our executive officers, including our NEOs, as well as the level of each specific element of compensation, the Compensation Committee takes into consideration a number of factors, including the following:</w:t>
      </w:r>
    </w:p>
    <w:p>
      <w:pPr>
        <w:spacing w:after="0" w:line="16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recommendations of our CEO (except with respect to his own compensation) as described below.</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corporate revenue and profitability growth and other elements of financial performance.</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individual performance of each executive officer, including his or her achievement of management objectives.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review of the relevant competitive market data, as described below.</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skill set, prior experience, and tenure of the executive officer.</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role and responsibilities of the executive officer.</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past and expected future contribution of the executive officer.</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Internal pay consistency for similar positions or skill levels within Cohu.</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External factors to attract and retain talent and overall market conditions.</w:t>
      </w:r>
    </w:p>
    <w:p>
      <w:pPr>
        <w:spacing w:after="0" w:line="18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Compensation Committee does not weigh these factors in any predetermined manner, nor does it apply any formulas in developing its compensation recommendations. The members of the Compensation Committee consider all this information in light of their individual experience, knowledge of Cohu, knowledge of the competitive market, knowledge of each executive officer, and business judgment in making these recommendations.</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The Compensation Committee’s authority, duties, and responsibilities are described in its charter, which is reviewed annually and revised and updated as warranted. The charter is available at the Corporate Governance section of our website </w:t>
      </w:r>
      <w:r>
        <w:rPr>
          <w:rFonts w:ascii="Arial" w:cs="Arial" w:eastAsia="Arial" w:hAnsi="Arial"/>
          <w:sz w:val="18"/>
          <w:szCs w:val="18"/>
          <w:u w:val="single" w:color="auto"/>
          <w:color w:val="2D53A6"/>
        </w:rPr>
        <w:t>www.cohu.com</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96"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On occasion, the Compensation Committee meets with our CEO and our Chief Human Resources Officer to obtain information and recommendations with respect to our executive compensation program, policies, and practices, as well as the compensation arrangements of our executive officers. In 2025, the Compensation Committee met with Dr. Müller, our CEO, who made recommendations to the Compensation Committee on the base salary, target annual cash incentive award opportunities, and long-term incentive compensation for our executive officers, including our NEOs (except with respect to his own compensation). In formulating these recommendations, our CEO used, among other things, competitive market data, an internal equity analysis and individual performance factors.</w:t>
      </w: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Compensation Committee considers, but is not bound by and does not always accept, these recommendations with respect to executive compensation. In recent years, the Compensation Committee has modified several of our CEO’s compensation proposals and regularly seeks input from its compensation consultant or data from other independent sources prior to making its decisions.</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2025, our CEO attended some of the Compensation Committee’s meetings, but the Compensation Committee also held executive sessions not attended by any members of management. The Compensation Committee held discussions and made its decisions with respect to our CEO’s compensation without him present.</w:t>
      </w:r>
    </w:p>
    <w:p>
      <w:pPr>
        <w:spacing w:after="0" w:line="15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Compensation Committee has the ultimate authority to make decisions with respect to the compensation of our executive officers, including our NEOs, but may, if it chooses, delegate any of its responsibilities to subcommittees. The Compensation Committee has authorized our CEO to make base salary adjustments and short-term cash incentive award decisions for all employees other than our NEOs or other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Compensation Committee has the authority to engage independent advisors to assist in carrying out its responsibilities. The Compensation Committee typically engages Compensia, a national compensation consulting firm, to advise and assist it on various aspects of executive and director compensation, including base salaries, annual and long-term incentive compensation. The Chair of the Compensation Committee reviews and approves all payments to Compensia.</w:t>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Compensation Committee’s practice is to have Compensia prepare a comprehensive executive compensation analysis annually and directors compensation analysis in alternating years. In 2025, Compensia completed and presented only the executive compensation market analysis.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Compensia reports directly to the Compensation Committee. The Compensation Committee may replace Compensia or hire additional advisors at any time. Compensia does not provide any other services to the Company and receives compensation only with respect to the services provided to the Compensation Committee.</w:t>
      </w:r>
    </w:p>
    <w:p>
      <w:pPr>
        <w:spacing w:after="0" w:line="155"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Compensation Committee has considered the independence of Compensia in light of the rules of the SEC and the listing standards of Nasdaq. Based on these rules and standards, the Compensation Committee has concluded that the work performed by Compensia did not raise any conflict of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w:t>
      </w:r>
    </w:p>
    <w:p>
      <w:pPr>
        <w:spacing w:after="0" w:line="19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arriving at its compensation decisions for our executive officers, including our NEOs, for 2025,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after reviewing data prepared by Compensia and input from management. In selecting companies for the compensation peer group, the Compensation Committee identified companies headquartered in the U.S. in the semiconductor capital equipment, electronic capital equipment and instrumentation sectors that were comparable to us on the basis of 0.4x – 2.5x revenue, 0.25x – 5.0x the Company’s market capitalization, had similar scope of operations, and which the Compensation Committee believed may compete with us for executive talent.</w:t>
      </w:r>
    </w:p>
    <w:p>
      <w:pPr>
        <w:spacing w:after="0" w:line="16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On September 12, 2024, the Compensation Committee reviewed the compensation peer group noting that the acquisition of National Instruments had been completed and several other peers no longer met the criteria for inclusion. The Compensation Committee engaged with Compensia to conduct an analysis of the current peer group and provide recommendations for any potential adjustments.</w:t>
      </w:r>
    </w:p>
    <w:p>
      <w:pPr>
        <w:spacing w:after="0" w:line="15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After reviewing the report prepared by Compensia, the Compensation Committee approved the following 23 companies to be used for determining executive compensation levels in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ACM Research</w:t>
            </w:r>
          </w:p>
        </w:tc>
        <w:tc>
          <w:tcPr>
            <w:tcW w:w="26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Harmonic</w:t>
            </w:r>
          </w:p>
        </w:tc>
        <w:tc>
          <w:tcPr>
            <w:tcW w:w="220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Novanta</w:t>
            </w:r>
          </w:p>
        </w:tc>
        <w:tc>
          <w:tcPr>
            <w:tcW w:w="3160" w:type="dxa"/>
            <w:vAlign w:val="bottom"/>
            <w:tcBorders>
              <w:bottom w:val="single" w:sz="8" w:color="E6E6E6"/>
            </w:tcBorders>
            <w:shd w:val="clear" w:color="auto" w:fill="E6E6E6"/>
          </w:tcPr>
          <w:p>
            <w:pPr>
              <w:ind w:left="600"/>
              <w:spacing w:after="0"/>
              <w:rPr>
                <w:sz w:val="20"/>
                <w:szCs w:val="20"/>
                <w:color w:val="auto"/>
              </w:rPr>
            </w:pPr>
            <w:r>
              <w:rPr>
                <w:rFonts w:ascii="Arial" w:cs="Arial" w:eastAsia="Arial" w:hAnsi="Arial"/>
                <w:sz w:val="18"/>
                <w:szCs w:val="18"/>
                <w:color w:val="auto"/>
              </w:rPr>
              <w:t>Semtech</w:t>
            </w:r>
          </w:p>
        </w:tc>
        <w:tc>
          <w:tcPr>
            <w:tcW w:w="0" w:type="dxa"/>
            <w:vAlign w:val="bottom"/>
          </w:tcPr>
          <w:p>
            <w:pPr>
              <w:spacing w:after="0"/>
              <w:rPr>
                <w:sz w:val="1"/>
                <w:szCs w:val="1"/>
                <w:color w:val="auto"/>
              </w:rPr>
            </w:pPr>
          </w:p>
        </w:tc>
      </w:tr>
      <w:tr>
        <w:trPr>
          <w:trHeight w:val="238"/>
        </w:trPr>
        <w:tc>
          <w:tcPr>
            <w:tcW w:w="2700" w:type="dxa"/>
            <w:vAlign w:val="bottom"/>
          </w:tcPr>
          <w:p>
            <w:pPr>
              <w:ind w:left="60"/>
              <w:spacing w:after="0"/>
              <w:rPr>
                <w:sz w:val="20"/>
                <w:szCs w:val="20"/>
                <w:color w:val="auto"/>
              </w:rPr>
            </w:pPr>
            <w:r>
              <w:rPr>
                <w:rFonts w:ascii="Arial" w:cs="Arial" w:eastAsia="Arial" w:hAnsi="Arial"/>
                <w:sz w:val="18"/>
                <w:szCs w:val="18"/>
                <w:color w:val="auto"/>
              </w:rPr>
              <w:t>Alpha and Omega</w:t>
            </w:r>
          </w:p>
        </w:tc>
        <w:tc>
          <w:tcPr>
            <w:tcW w:w="2620" w:type="dxa"/>
            <w:vAlign w:val="bottom"/>
            <w:vMerge w:val="restart"/>
          </w:tcPr>
          <w:p>
            <w:pPr>
              <w:ind w:left="40"/>
              <w:spacing w:after="0"/>
              <w:rPr>
                <w:sz w:val="20"/>
                <w:szCs w:val="20"/>
                <w:color w:val="auto"/>
              </w:rPr>
            </w:pPr>
            <w:r>
              <w:rPr>
                <w:rFonts w:ascii="Arial" w:cs="Arial" w:eastAsia="Arial" w:hAnsi="Arial"/>
                <w:sz w:val="18"/>
                <w:szCs w:val="18"/>
                <w:color w:val="auto"/>
              </w:rPr>
              <w:t>Ichor Holdings</w:t>
            </w:r>
          </w:p>
        </w:tc>
        <w:tc>
          <w:tcPr>
            <w:tcW w:w="2200" w:type="dxa"/>
            <w:vAlign w:val="bottom"/>
            <w:vMerge w:val="restart"/>
          </w:tcPr>
          <w:p>
            <w:pPr>
              <w:ind w:left="120"/>
              <w:spacing w:after="0"/>
              <w:rPr>
                <w:sz w:val="20"/>
                <w:szCs w:val="20"/>
                <w:color w:val="auto"/>
              </w:rPr>
            </w:pPr>
            <w:r>
              <w:rPr>
                <w:rFonts w:ascii="Arial" w:cs="Arial" w:eastAsia="Arial" w:hAnsi="Arial"/>
                <w:sz w:val="18"/>
                <w:szCs w:val="18"/>
                <w:color w:val="auto"/>
              </w:rPr>
              <w:t>OSI Systems</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Silicon Laboratories</w:t>
            </w:r>
          </w:p>
        </w:tc>
        <w:tc>
          <w:tcPr>
            <w:tcW w:w="0" w:type="dxa"/>
            <w:vAlign w:val="bottom"/>
          </w:tcPr>
          <w:p>
            <w:pPr>
              <w:spacing w:after="0"/>
              <w:rPr>
                <w:sz w:val="1"/>
                <w:szCs w:val="1"/>
                <w:color w:val="auto"/>
              </w:rPr>
            </w:pPr>
          </w:p>
        </w:tc>
      </w:tr>
      <w:tr>
        <w:trPr>
          <w:trHeight w:val="131"/>
        </w:trPr>
        <w:tc>
          <w:tcPr>
            <w:tcW w:w="2700" w:type="dxa"/>
            <w:vAlign w:val="bottom"/>
            <w:vMerge w:val="restart"/>
          </w:tcPr>
          <w:p>
            <w:pPr>
              <w:ind w:left="60"/>
              <w:spacing w:after="0"/>
              <w:rPr>
                <w:sz w:val="20"/>
                <w:szCs w:val="20"/>
                <w:color w:val="auto"/>
              </w:rPr>
            </w:pPr>
            <w:r>
              <w:rPr>
                <w:rFonts w:ascii="Arial" w:cs="Arial" w:eastAsia="Arial" w:hAnsi="Arial"/>
                <w:sz w:val="18"/>
                <w:szCs w:val="18"/>
                <w:color w:val="auto"/>
              </w:rPr>
              <w:t>Semiconductor</w:t>
            </w:r>
          </w:p>
        </w:tc>
        <w:tc>
          <w:tcPr>
            <w:tcW w:w="2620" w:type="dxa"/>
            <w:vAlign w:val="bottom"/>
            <w:vMerge w:val="continue"/>
          </w:tcPr>
          <w:p>
            <w:pPr>
              <w:spacing w:after="0"/>
              <w:rPr>
                <w:sz w:val="11"/>
                <w:szCs w:val="11"/>
                <w:color w:val="auto"/>
              </w:rPr>
            </w:pPr>
          </w:p>
        </w:tc>
        <w:tc>
          <w:tcPr>
            <w:tcW w:w="2200" w:type="dxa"/>
            <w:vAlign w:val="bottom"/>
            <w:vMerge w:val="continue"/>
          </w:tcPr>
          <w:p>
            <w:pPr>
              <w:spacing w:after="0"/>
              <w:rPr>
                <w:sz w:val="11"/>
                <w:szCs w:val="11"/>
                <w:color w:val="auto"/>
              </w:rPr>
            </w:pPr>
          </w:p>
        </w:tc>
        <w:tc>
          <w:tcPr>
            <w:tcW w:w="3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7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2700" w:type="dxa"/>
            <w:vAlign w:val="bottom"/>
            <w:shd w:val="clear" w:color="auto" w:fill="E6E6E6"/>
          </w:tcPr>
          <w:p>
            <w:pPr>
              <w:ind w:left="60"/>
              <w:spacing w:after="0"/>
              <w:rPr>
                <w:sz w:val="20"/>
                <w:szCs w:val="20"/>
                <w:color w:val="auto"/>
              </w:rPr>
            </w:pPr>
            <w:r>
              <w:rPr>
                <w:rFonts w:ascii="Arial" w:cs="Arial" w:eastAsia="Arial" w:hAnsi="Arial"/>
                <w:sz w:val="18"/>
                <w:szCs w:val="18"/>
                <w:color w:val="auto"/>
              </w:rPr>
              <w:t>Arlo Technologies</w:t>
            </w:r>
          </w:p>
        </w:tc>
        <w:tc>
          <w:tcPr>
            <w:tcW w:w="2620" w:type="dxa"/>
            <w:vAlign w:val="bottom"/>
            <w:shd w:val="clear" w:color="auto" w:fill="E6E6E6"/>
          </w:tcPr>
          <w:p>
            <w:pPr>
              <w:ind w:left="40"/>
              <w:spacing w:after="0"/>
              <w:rPr>
                <w:sz w:val="20"/>
                <w:szCs w:val="20"/>
                <w:color w:val="auto"/>
              </w:rPr>
            </w:pPr>
            <w:r>
              <w:rPr>
                <w:rFonts w:ascii="Arial" w:cs="Arial" w:eastAsia="Arial" w:hAnsi="Arial"/>
                <w:sz w:val="18"/>
                <w:szCs w:val="18"/>
                <w:color w:val="auto"/>
              </w:rPr>
              <w:t>Indie Semiconductor</w:t>
            </w:r>
          </w:p>
        </w:tc>
        <w:tc>
          <w:tcPr>
            <w:tcW w:w="2200" w:type="dxa"/>
            <w:vAlign w:val="bottom"/>
            <w:shd w:val="clear" w:color="auto" w:fill="E6E6E6"/>
          </w:tcPr>
          <w:p>
            <w:pPr>
              <w:ind w:left="120"/>
              <w:spacing w:after="0"/>
              <w:rPr>
                <w:sz w:val="20"/>
                <w:szCs w:val="20"/>
                <w:color w:val="auto"/>
              </w:rPr>
            </w:pPr>
            <w:r>
              <w:rPr>
                <w:rFonts w:ascii="Arial" w:cs="Arial" w:eastAsia="Arial" w:hAnsi="Arial"/>
                <w:sz w:val="18"/>
                <w:szCs w:val="18"/>
                <w:color w:val="auto"/>
              </w:rPr>
              <w:t>PAR Technologies</w:t>
            </w:r>
          </w:p>
        </w:tc>
        <w:tc>
          <w:tcPr>
            <w:tcW w:w="3160" w:type="dxa"/>
            <w:vAlign w:val="bottom"/>
            <w:shd w:val="clear" w:color="auto" w:fill="E6E6E6"/>
          </w:tcPr>
          <w:p>
            <w:pPr>
              <w:ind w:left="600"/>
              <w:spacing w:after="0"/>
              <w:rPr>
                <w:sz w:val="20"/>
                <w:szCs w:val="20"/>
                <w:color w:val="auto"/>
              </w:rPr>
            </w:pPr>
            <w:r>
              <w:rPr>
                <w:rFonts w:ascii="Arial" w:cs="Arial" w:eastAsia="Arial" w:hAnsi="Arial"/>
                <w:sz w:val="18"/>
                <w:szCs w:val="18"/>
                <w:color w:val="auto"/>
              </w:rPr>
              <w:t>Ultra Clean Holdings</w:t>
            </w:r>
          </w:p>
        </w:tc>
        <w:tc>
          <w:tcPr>
            <w:tcW w:w="0" w:type="dxa"/>
            <w:vAlign w:val="bottom"/>
          </w:tcPr>
          <w:p>
            <w:pPr>
              <w:spacing w:after="0"/>
              <w:rPr>
                <w:sz w:val="1"/>
                <w:szCs w:val="1"/>
                <w:color w:val="auto"/>
              </w:rPr>
            </w:pPr>
          </w:p>
        </w:tc>
      </w:tr>
      <w:tr>
        <w:trPr>
          <w:trHeight w:val="327"/>
        </w:trPr>
        <w:tc>
          <w:tcPr>
            <w:tcW w:w="2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Axcelis Technologies</w:t>
            </w:r>
          </w:p>
        </w:tc>
        <w:tc>
          <w:tcPr>
            <w:tcW w:w="26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Kulicke and Soffa</w:t>
            </w:r>
          </w:p>
        </w:tc>
        <w:tc>
          <w:tcPr>
            <w:tcW w:w="220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Penguin Solutions</w:t>
            </w:r>
          </w:p>
        </w:tc>
        <w:tc>
          <w:tcPr>
            <w:tcW w:w="3160" w:type="dxa"/>
            <w:vAlign w:val="bottom"/>
            <w:tcBorders>
              <w:bottom w:val="single" w:sz="8" w:color="E6E6E6"/>
            </w:tcBorders>
            <w:shd w:val="clear" w:color="auto" w:fill="E6E6E6"/>
          </w:tcPr>
          <w:p>
            <w:pPr>
              <w:ind w:left="600"/>
              <w:spacing w:after="0"/>
              <w:rPr>
                <w:sz w:val="20"/>
                <w:szCs w:val="20"/>
                <w:color w:val="auto"/>
              </w:rPr>
            </w:pPr>
            <w:r>
              <w:rPr>
                <w:rFonts w:ascii="Arial" w:cs="Arial" w:eastAsia="Arial" w:hAnsi="Arial"/>
                <w:sz w:val="18"/>
                <w:szCs w:val="18"/>
                <w:color w:val="auto"/>
              </w:rPr>
              <w:t>Veeco Instruments</w:t>
            </w:r>
          </w:p>
        </w:tc>
        <w:tc>
          <w:tcPr>
            <w:tcW w:w="0" w:type="dxa"/>
            <w:vAlign w:val="bottom"/>
          </w:tcPr>
          <w:p>
            <w:pPr>
              <w:spacing w:after="0"/>
              <w:rPr>
                <w:sz w:val="1"/>
                <w:szCs w:val="1"/>
                <w:color w:val="auto"/>
              </w:rPr>
            </w:pPr>
          </w:p>
        </w:tc>
      </w:tr>
      <w:tr>
        <w:trPr>
          <w:trHeight w:val="274"/>
        </w:trPr>
        <w:tc>
          <w:tcPr>
            <w:tcW w:w="2700" w:type="dxa"/>
            <w:vAlign w:val="bottom"/>
          </w:tcPr>
          <w:p>
            <w:pPr>
              <w:ind w:left="60"/>
              <w:spacing w:after="0"/>
              <w:rPr>
                <w:sz w:val="20"/>
                <w:szCs w:val="20"/>
                <w:color w:val="auto"/>
              </w:rPr>
            </w:pPr>
            <w:r>
              <w:rPr>
                <w:rFonts w:ascii="Arial" w:cs="Arial" w:eastAsia="Arial" w:hAnsi="Arial"/>
                <w:sz w:val="18"/>
                <w:szCs w:val="18"/>
                <w:color w:val="auto"/>
              </w:rPr>
              <w:t>Badger Meter</w:t>
            </w:r>
          </w:p>
        </w:tc>
        <w:tc>
          <w:tcPr>
            <w:tcW w:w="2620" w:type="dxa"/>
            <w:vAlign w:val="bottom"/>
          </w:tcPr>
          <w:p>
            <w:pPr>
              <w:ind w:left="40"/>
              <w:spacing w:after="0"/>
              <w:rPr>
                <w:sz w:val="20"/>
                <w:szCs w:val="20"/>
                <w:color w:val="auto"/>
              </w:rPr>
            </w:pPr>
            <w:r>
              <w:rPr>
                <w:rFonts w:ascii="Arial" w:cs="Arial" w:eastAsia="Arial" w:hAnsi="Arial"/>
                <w:sz w:val="18"/>
                <w:szCs w:val="18"/>
                <w:color w:val="auto"/>
              </w:rPr>
              <w:t>MACOM Technology Solutions</w:t>
            </w:r>
          </w:p>
        </w:tc>
        <w:tc>
          <w:tcPr>
            <w:tcW w:w="2200" w:type="dxa"/>
            <w:vAlign w:val="bottom"/>
          </w:tcPr>
          <w:p>
            <w:pPr>
              <w:ind w:left="120"/>
              <w:spacing w:after="0"/>
              <w:rPr>
                <w:sz w:val="20"/>
                <w:szCs w:val="20"/>
                <w:color w:val="auto"/>
              </w:rPr>
            </w:pPr>
            <w:r>
              <w:rPr>
                <w:rFonts w:ascii="Arial" w:cs="Arial" w:eastAsia="Arial" w:hAnsi="Arial"/>
                <w:sz w:val="18"/>
                <w:szCs w:val="18"/>
                <w:color w:val="auto"/>
              </w:rPr>
              <w:t>Power Integrations</w:t>
            </w:r>
          </w:p>
        </w:tc>
        <w:tc>
          <w:tcPr>
            <w:tcW w:w="3160" w:type="dxa"/>
            <w:vAlign w:val="bottom"/>
          </w:tcPr>
          <w:p>
            <w:pPr>
              <w:ind w:left="600"/>
              <w:spacing w:after="0"/>
              <w:rPr>
                <w:sz w:val="20"/>
                <w:szCs w:val="20"/>
                <w:color w:val="auto"/>
              </w:rPr>
            </w:pPr>
            <w:r>
              <w:rPr>
                <w:rFonts w:ascii="Arial" w:cs="Arial" w:eastAsia="Arial" w:hAnsi="Arial"/>
                <w:sz w:val="18"/>
                <w:szCs w:val="18"/>
                <w:color w:val="auto"/>
              </w:rPr>
              <w:t>Vishay Precision Group</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2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FormFactor</w:t>
            </w:r>
          </w:p>
        </w:tc>
        <w:tc>
          <w:tcPr>
            <w:tcW w:w="26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MaxLinear</w:t>
            </w:r>
          </w:p>
        </w:tc>
        <w:tc>
          <w:tcPr>
            <w:tcW w:w="220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Photronics</w:t>
            </w:r>
          </w:p>
        </w:tc>
        <w:tc>
          <w:tcPr>
            <w:tcW w:w="316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2D53A6"/>
          </w:tcPr>
          <w:p>
            <w:pPr>
              <w:spacing w:after="0" w:line="20" w:lineRule="exact"/>
              <w:rPr>
                <w:sz w:val="1"/>
                <w:szCs w:val="1"/>
                <w:color w:val="auto"/>
              </w:rPr>
            </w:pPr>
          </w:p>
        </w:tc>
        <w:tc>
          <w:tcPr>
            <w:tcW w:w="2620" w:type="dxa"/>
            <w:vAlign w:val="bottom"/>
            <w:shd w:val="clear" w:color="auto" w:fill="2D53A6"/>
          </w:tcPr>
          <w:p>
            <w:pPr>
              <w:spacing w:after="0" w:line="20" w:lineRule="exact"/>
              <w:rPr>
                <w:sz w:val="1"/>
                <w:szCs w:val="1"/>
                <w:color w:val="auto"/>
              </w:rPr>
            </w:pPr>
          </w:p>
        </w:tc>
        <w:tc>
          <w:tcPr>
            <w:tcW w:w="2200" w:type="dxa"/>
            <w:vAlign w:val="bottom"/>
            <w:shd w:val="clear" w:color="auto" w:fill="2D53A6"/>
          </w:tcPr>
          <w:p>
            <w:pPr>
              <w:spacing w:after="0" w:line="20" w:lineRule="exact"/>
              <w:rPr>
                <w:sz w:val="1"/>
                <w:szCs w:val="1"/>
                <w:color w:val="auto"/>
              </w:rPr>
            </w:pPr>
          </w:p>
        </w:tc>
        <w:tc>
          <w:tcPr>
            <w:tcW w:w="316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Generally, historical data on the compensation practices of the companies in the compensation peer group was gathered by Compensia from publicly available sources, including publicly available databases. Peer company data was gathered with respect to base salary, target annual incentive opportunities, equity awards (including stock options, RSU awards, and PSU awards), and long-term cash-based awards. In addition, similar data was gathered from the Radford McLagan Compensation Database for purposes of providing additional perspective in the case of executive positions where the compensation peer group offered a limited number of relevant data points.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Elements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consists of seven principal elements:</w:t>
      </w:r>
    </w:p>
    <w:p>
      <w:pPr>
        <w:spacing w:after="0" w:line="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 salary;</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Short-term incentive compensation opportunities paid in cash;</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Deferred compensation benefits;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Welfare and health benefits, including a Section 401(k) plan;</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Post-employment compensation and retirement equity programs; and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Limited perquisites and other personal benefits.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Compensation Committee has selected these elements because each is considered necessary, appropriate and when combined, are effective, and will continue to be effective, in achieving our compensation objectives.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9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spacing w:after="0" w:line="13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Compensation Committee reviews the base salaries of our executive officers, including our NEOs, annually and makes adjustments to base salaries as it determines to be necessary or appropriate.</w:t>
      </w:r>
    </w:p>
    <w:p>
      <w:pPr>
        <w:spacing w:after="0" w:line="14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On February 6, 2025, the Compensation Committee, after considering the recommendations of our CEO (other than with respect to his own compensation), market salary data, and other factors described above, including the extended downcycle of the semiconductor industry, determined that no salary increases were warranted for the Company’s executive officers, including our NEOs, other than Mr. Ilgenfritz, whose increase reflected his expanded responsibilities in connection with his promotion to Chief Product Officer in January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4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20"/>
                <w:szCs w:val="20"/>
                <w:b w:val="1"/>
                <w:bCs w:val="1"/>
                <w:color w:val="FFFFFF"/>
              </w:rPr>
              <w:t>Named Executive Officer</w:t>
            </w:r>
          </w:p>
        </w:tc>
        <w:tc>
          <w:tcPr>
            <w:tcW w:w="1760" w:type="dxa"/>
            <w:vAlign w:val="bottom"/>
            <w:tcBorders>
              <w:right w:val="single" w:sz="8" w:color="2D53A6"/>
            </w:tcBorders>
            <w:shd w:val="clear" w:color="auto" w:fill="2D53A6"/>
          </w:tcPr>
          <w:p>
            <w:pPr>
              <w:jc w:val="right"/>
              <w:ind w:right="567"/>
              <w:spacing w:after="0"/>
              <w:rPr>
                <w:sz w:val="20"/>
                <w:szCs w:val="20"/>
                <w:color w:val="auto"/>
              </w:rPr>
            </w:pPr>
            <w:r>
              <w:rPr>
                <w:rFonts w:ascii="Arial" w:cs="Arial" w:eastAsia="Arial" w:hAnsi="Arial"/>
                <w:sz w:val="20"/>
                <w:szCs w:val="20"/>
                <w:b w:val="1"/>
                <w:bCs w:val="1"/>
                <w:color w:val="FFFFFF"/>
              </w:rPr>
              <w:t>2024</w:t>
            </w:r>
          </w:p>
        </w:tc>
        <w:tc>
          <w:tcPr>
            <w:tcW w:w="1780" w:type="dxa"/>
            <w:vAlign w:val="bottom"/>
            <w:tcBorders>
              <w:right w:val="single" w:sz="8" w:color="2D53A6"/>
            </w:tcBorders>
            <w:shd w:val="clear" w:color="auto" w:fill="2D53A6"/>
          </w:tcPr>
          <w:p>
            <w:pPr>
              <w:jc w:val="right"/>
              <w:ind w:right="587"/>
              <w:spacing w:after="0"/>
              <w:rPr>
                <w:sz w:val="20"/>
                <w:szCs w:val="20"/>
                <w:color w:val="auto"/>
              </w:rPr>
            </w:pPr>
            <w:r>
              <w:rPr>
                <w:rFonts w:ascii="Arial" w:cs="Arial" w:eastAsia="Arial" w:hAnsi="Arial"/>
                <w:sz w:val="20"/>
                <w:szCs w:val="20"/>
                <w:b w:val="1"/>
                <w:bCs w:val="1"/>
                <w:color w:val="FFFFFF"/>
              </w:rPr>
              <w:t>2025</w:t>
            </w:r>
          </w:p>
        </w:tc>
        <w:tc>
          <w:tcPr>
            <w:tcW w:w="1760" w:type="dxa"/>
            <w:vAlign w:val="bottom"/>
            <w:shd w:val="clear" w:color="auto" w:fill="2D53A6"/>
          </w:tcPr>
          <w:p>
            <w:pPr>
              <w:jc w:val="right"/>
              <w:ind w:right="267"/>
              <w:spacing w:after="0"/>
              <w:rPr>
                <w:sz w:val="20"/>
                <w:szCs w:val="20"/>
                <w:color w:val="auto"/>
              </w:rPr>
            </w:pPr>
            <w:r>
              <w:rPr>
                <w:rFonts w:ascii="Arial" w:cs="Arial" w:eastAsia="Arial" w:hAnsi="Arial"/>
                <w:sz w:val="20"/>
                <w:szCs w:val="20"/>
                <w:b w:val="1"/>
                <w:bCs w:val="1"/>
                <w:color w:val="FFFFFF"/>
              </w:rPr>
              <w:t>Percentage</w:t>
            </w:r>
          </w:p>
        </w:tc>
        <w:tc>
          <w:tcPr>
            <w:tcW w:w="0" w:type="dxa"/>
            <w:vAlign w:val="bottom"/>
          </w:tcPr>
          <w:p>
            <w:pPr>
              <w:spacing w:after="0"/>
              <w:rPr>
                <w:sz w:val="1"/>
                <w:szCs w:val="1"/>
                <w:color w:val="auto"/>
              </w:rPr>
            </w:pPr>
          </w:p>
        </w:tc>
      </w:tr>
      <w:tr>
        <w:trPr>
          <w:trHeight w:val="274"/>
        </w:trPr>
        <w:tc>
          <w:tcPr>
            <w:tcW w:w="5940" w:type="dxa"/>
            <w:vAlign w:val="bottom"/>
            <w:tcBorders>
              <w:bottom w:val="single" w:sz="8" w:color="2D53A6"/>
              <w:right w:val="single" w:sz="8" w:color="2D53A6"/>
            </w:tcBorders>
            <w:vMerge w:val="continue"/>
            <w:shd w:val="clear" w:color="auto" w:fill="2D53A6"/>
          </w:tcPr>
          <w:p>
            <w:pPr>
              <w:spacing w:after="0"/>
              <w:rPr>
                <w:sz w:val="23"/>
                <w:szCs w:val="23"/>
                <w:color w:val="auto"/>
              </w:rPr>
            </w:pPr>
          </w:p>
        </w:tc>
        <w:tc>
          <w:tcPr>
            <w:tcW w:w="1760" w:type="dxa"/>
            <w:vAlign w:val="bottom"/>
            <w:tcBorders>
              <w:bottom w:val="single" w:sz="8" w:color="2D53A6"/>
              <w:right w:val="single" w:sz="8" w:color="2D53A6"/>
            </w:tcBorders>
            <w:shd w:val="clear" w:color="auto" w:fill="2D53A6"/>
          </w:tcPr>
          <w:p>
            <w:pPr>
              <w:jc w:val="right"/>
              <w:ind w:right="227"/>
              <w:spacing w:after="0"/>
              <w:rPr>
                <w:sz w:val="20"/>
                <w:szCs w:val="20"/>
                <w:color w:val="auto"/>
              </w:rPr>
            </w:pPr>
            <w:r>
              <w:rPr>
                <w:rFonts w:ascii="Arial" w:cs="Arial" w:eastAsia="Arial" w:hAnsi="Arial"/>
                <w:sz w:val="20"/>
                <w:szCs w:val="20"/>
                <w:b w:val="1"/>
                <w:bCs w:val="1"/>
                <w:color w:val="FFFFFF"/>
              </w:rPr>
              <w:t>Base Salary</w:t>
            </w:r>
          </w:p>
        </w:tc>
        <w:tc>
          <w:tcPr>
            <w:tcW w:w="1780" w:type="dxa"/>
            <w:vAlign w:val="bottom"/>
            <w:tcBorders>
              <w:bottom w:val="single" w:sz="8" w:color="2D53A6"/>
              <w:right w:val="single" w:sz="8" w:color="2D53A6"/>
            </w:tcBorders>
            <w:shd w:val="clear" w:color="auto" w:fill="2D53A6"/>
          </w:tcPr>
          <w:p>
            <w:pPr>
              <w:jc w:val="right"/>
              <w:ind w:right="247"/>
              <w:spacing w:after="0"/>
              <w:rPr>
                <w:sz w:val="20"/>
                <w:szCs w:val="20"/>
                <w:color w:val="auto"/>
              </w:rPr>
            </w:pPr>
            <w:r>
              <w:rPr>
                <w:rFonts w:ascii="Arial" w:cs="Arial" w:eastAsia="Arial" w:hAnsi="Arial"/>
                <w:sz w:val="20"/>
                <w:szCs w:val="20"/>
                <w:b w:val="1"/>
                <w:bCs w:val="1"/>
                <w:color w:val="FFFFFF"/>
              </w:rPr>
              <w:t>Base Salary</w:t>
            </w:r>
          </w:p>
        </w:tc>
        <w:tc>
          <w:tcPr>
            <w:tcW w:w="1760" w:type="dxa"/>
            <w:vAlign w:val="bottom"/>
            <w:tcBorders>
              <w:bottom w:val="single" w:sz="8" w:color="2D53A6"/>
            </w:tcBorders>
            <w:shd w:val="clear" w:color="auto" w:fill="2D53A6"/>
          </w:tcPr>
          <w:p>
            <w:pPr>
              <w:jc w:val="right"/>
              <w:ind w:right="427"/>
              <w:spacing w:after="0"/>
              <w:rPr>
                <w:sz w:val="20"/>
                <w:szCs w:val="20"/>
                <w:color w:val="auto"/>
              </w:rPr>
            </w:pPr>
            <w:r>
              <w:rPr>
                <w:rFonts w:ascii="Arial" w:cs="Arial" w:eastAsia="Arial" w:hAnsi="Arial"/>
                <w:sz w:val="20"/>
                <w:szCs w:val="20"/>
                <w:b w:val="1"/>
                <w:bCs w:val="1"/>
                <w:color w:val="FFFFFF"/>
              </w:rPr>
              <w:t>Change</w:t>
            </w:r>
          </w:p>
        </w:tc>
        <w:tc>
          <w:tcPr>
            <w:tcW w:w="0" w:type="dxa"/>
            <w:vAlign w:val="bottom"/>
          </w:tcPr>
          <w:p>
            <w:pPr>
              <w:spacing w:after="0"/>
              <w:rPr>
                <w:sz w:val="1"/>
                <w:szCs w:val="1"/>
                <w:color w:val="auto"/>
              </w:rPr>
            </w:pPr>
          </w:p>
        </w:tc>
      </w:tr>
      <w:tr>
        <w:trPr>
          <w:trHeight w:val="260"/>
        </w:trPr>
        <w:tc>
          <w:tcPr>
            <w:tcW w:w="59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1760" w:type="dxa"/>
            <w:vAlign w:val="bottom"/>
            <w:tcBorders>
              <w:right w:val="single" w:sz="8" w:color="2D53A6"/>
            </w:tcBorders>
          </w:tcPr>
          <w:p>
            <w:pPr>
              <w:jc w:val="right"/>
              <w:ind w:right="107"/>
              <w:spacing w:after="0"/>
              <w:rPr>
                <w:sz w:val="20"/>
                <w:szCs w:val="20"/>
                <w:color w:val="auto"/>
              </w:rPr>
            </w:pPr>
            <w:r>
              <w:rPr>
                <w:rFonts w:ascii="Arial" w:cs="Arial" w:eastAsia="Arial" w:hAnsi="Arial"/>
                <w:sz w:val="18"/>
                <w:szCs w:val="18"/>
                <w:color w:val="auto"/>
              </w:rPr>
              <w:t>$715,000</w:t>
            </w:r>
          </w:p>
        </w:tc>
        <w:tc>
          <w:tcPr>
            <w:tcW w:w="1780" w:type="dxa"/>
            <w:vAlign w:val="bottom"/>
            <w:tcBorders>
              <w:right w:val="single" w:sz="8" w:color="2D53A6"/>
            </w:tcBorders>
          </w:tcPr>
          <w:p>
            <w:pPr>
              <w:jc w:val="right"/>
              <w:ind w:right="127"/>
              <w:spacing w:after="0"/>
              <w:rPr>
                <w:sz w:val="20"/>
                <w:szCs w:val="20"/>
                <w:color w:val="auto"/>
              </w:rPr>
            </w:pPr>
            <w:r>
              <w:rPr>
                <w:rFonts w:ascii="Arial" w:cs="Arial" w:eastAsia="Arial" w:hAnsi="Arial"/>
                <w:sz w:val="18"/>
                <w:szCs w:val="18"/>
                <w:color w:val="auto"/>
              </w:rPr>
              <w:t>$715,000</w:t>
            </w:r>
          </w:p>
        </w:tc>
        <w:tc>
          <w:tcPr>
            <w:tcW w:w="1760" w:type="dxa"/>
            <w:vAlign w:val="bottom"/>
          </w:tcPr>
          <w:p>
            <w:pPr>
              <w:jc w:val="right"/>
              <w:ind w:right="527"/>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
        </w:trPr>
        <w:tc>
          <w:tcPr>
            <w:tcW w:w="5940" w:type="dxa"/>
            <w:vAlign w:val="bottom"/>
            <w:tcBorders>
              <w:bottom w:val="single" w:sz="8" w:color="2D53A6"/>
              <w:right w:val="single" w:sz="8" w:color="2D53A6"/>
            </w:tcBorders>
          </w:tcPr>
          <w:p>
            <w:pPr>
              <w:spacing w:after="0"/>
              <w:rPr>
                <w:sz w:val="2"/>
                <w:szCs w:val="2"/>
                <w:color w:val="auto"/>
              </w:rPr>
            </w:pPr>
          </w:p>
        </w:tc>
        <w:tc>
          <w:tcPr>
            <w:tcW w:w="1760" w:type="dxa"/>
            <w:vAlign w:val="bottom"/>
            <w:tcBorders>
              <w:bottom w:val="single" w:sz="8" w:color="2D53A6"/>
              <w:right w:val="single" w:sz="8" w:color="2D53A6"/>
            </w:tcBorders>
          </w:tcPr>
          <w:p>
            <w:pPr>
              <w:spacing w:after="0"/>
              <w:rPr>
                <w:sz w:val="2"/>
                <w:szCs w:val="2"/>
                <w:color w:val="auto"/>
              </w:rPr>
            </w:pPr>
          </w:p>
        </w:tc>
        <w:tc>
          <w:tcPr>
            <w:tcW w:w="1780" w:type="dxa"/>
            <w:vAlign w:val="bottom"/>
            <w:tcBorders>
              <w:bottom w:val="single" w:sz="8" w:color="2D53A6"/>
              <w:right w:val="single" w:sz="8" w:color="2D53A6"/>
            </w:tcBorders>
          </w:tcPr>
          <w:p>
            <w:pPr>
              <w:spacing w:after="0"/>
              <w:rPr>
                <w:sz w:val="2"/>
                <w:szCs w:val="2"/>
                <w:color w:val="auto"/>
              </w:rPr>
            </w:pPr>
          </w:p>
        </w:tc>
        <w:tc>
          <w:tcPr>
            <w:tcW w:w="17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9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176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$455,000</w:t>
            </w:r>
          </w:p>
        </w:tc>
        <w:tc>
          <w:tcPr>
            <w:tcW w:w="1780" w:type="dxa"/>
            <w:vAlign w:val="bottom"/>
            <w:tcBorders>
              <w:bottom w:val="single" w:sz="8" w:color="E6E6E6"/>
              <w:right w:val="single" w:sz="8" w:color="2D53A6"/>
            </w:tcBorders>
            <w:shd w:val="clear" w:color="auto" w:fill="E6E6E6"/>
          </w:tcPr>
          <w:p>
            <w:pPr>
              <w:jc w:val="right"/>
              <w:ind w:right="127"/>
              <w:spacing w:after="0"/>
              <w:rPr>
                <w:sz w:val="20"/>
                <w:szCs w:val="20"/>
                <w:color w:val="auto"/>
              </w:rPr>
            </w:pPr>
            <w:r>
              <w:rPr>
                <w:rFonts w:ascii="Arial" w:cs="Arial" w:eastAsia="Arial" w:hAnsi="Arial"/>
                <w:sz w:val="18"/>
                <w:szCs w:val="18"/>
                <w:color w:val="auto"/>
              </w:rPr>
              <w:t>$455,000</w:t>
            </w:r>
          </w:p>
        </w:tc>
        <w:tc>
          <w:tcPr>
            <w:tcW w:w="1760" w:type="dxa"/>
            <w:vAlign w:val="bottom"/>
            <w:tcBorders>
              <w:bottom w:val="single" w:sz="8" w:color="E6E6E6"/>
            </w:tcBorders>
            <w:shd w:val="clear" w:color="auto" w:fill="E6E6E6"/>
          </w:tcPr>
          <w:p>
            <w:pPr>
              <w:jc w:val="right"/>
              <w:ind w:right="527"/>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4"/>
        </w:trPr>
        <w:tc>
          <w:tcPr>
            <w:tcW w:w="594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1760" w:type="dxa"/>
            <w:vAlign w:val="bottom"/>
            <w:tcBorders>
              <w:top w:val="single" w:sz="8" w:color="2D53A6"/>
              <w:right w:val="single" w:sz="8" w:color="2D53A6"/>
            </w:tcBorders>
          </w:tcPr>
          <w:p>
            <w:pPr>
              <w:jc w:val="right"/>
              <w:ind w:right="107"/>
              <w:spacing w:after="0"/>
              <w:rPr>
                <w:sz w:val="20"/>
                <w:szCs w:val="20"/>
                <w:color w:val="auto"/>
              </w:rPr>
            </w:pPr>
            <w:r>
              <w:rPr>
                <w:rFonts w:ascii="Arial" w:cs="Arial" w:eastAsia="Arial" w:hAnsi="Arial"/>
                <w:sz w:val="18"/>
                <w:szCs w:val="18"/>
                <w:color w:val="auto"/>
              </w:rPr>
              <w:t>$425,000</w:t>
            </w:r>
          </w:p>
        </w:tc>
        <w:tc>
          <w:tcPr>
            <w:tcW w:w="1780" w:type="dxa"/>
            <w:vAlign w:val="bottom"/>
            <w:tcBorders>
              <w:top w:val="single" w:sz="8" w:color="2D53A6"/>
              <w:right w:val="single" w:sz="8" w:color="2D53A6"/>
            </w:tcBorders>
          </w:tcPr>
          <w:p>
            <w:pPr>
              <w:jc w:val="right"/>
              <w:ind w:right="127"/>
              <w:spacing w:after="0"/>
              <w:rPr>
                <w:sz w:val="20"/>
                <w:szCs w:val="20"/>
                <w:color w:val="auto"/>
              </w:rPr>
            </w:pPr>
            <w:r>
              <w:rPr>
                <w:rFonts w:ascii="Arial" w:cs="Arial" w:eastAsia="Arial" w:hAnsi="Arial"/>
                <w:sz w:val="18"/>
                <w:szCs w:val="18"/>
                <w:color w:val="auto"/>
              </w:rPr>
              <w:t>$425,000</w:t>
            </w:r>
          </w:p>
        </w:tc>
        <w:tc>
          <w:tcPr>
            <w:tcW w:w="1760" w:type="dxa"/>
            <w:vAlign w:val="bottom"/>
            <w:tcBorders>
              <w:top w:val="single" w:sz="8" w:color="2D53A6"/>
            </w:tcBorders>
          </w:tcPr>
          <w:p>
            <w:pPr>
              <w:jc w:val="right"/>
              <w:ind w:right="527"/>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
        </w:trPr>
        <w:tc>
          <w:tcPr>
            <w:tcW w:w="5940" w:type="dxa"/>
            <w:vAlign w:val="bottom"/>
            <w:tcBorders>
              <w:bottom w:val="single" w:sz="8" w:color="2D53A6"/>
              <w:right w:val="single" w:sz="8" w:color="2D53A6"/>
            </w:tcBorders>
          </w:tcPr>
          <w:p>
            <w:pPr>
              <w:spacing w:after="0"/>
              <w:rPr>
                <w:sz w:val="2"/>
                <w:szCs w:val="2"/>
                <w:color w:val="auto"/>
              </w:rPr>
            </w:pPr>
          </w:p>
        </w:tc>
        <w:tc>
          <w:tcPr>
            <w:tcW w:w="1760" w:type="dxa"/>
            <w:vAlign w:val="bottom"/>
            <w:tcBorders>
              <w:bottom w:val="single" w:sz="8" w:color="2D53A6"/>
              <w:right w:val="single" w:sz="8" w:color="2D53A6"/>
            </w:tcBorders>
          </w:tcPr>
          <w:p>
            <w:pPr>
              <w:spacing w:after="0"/>
              <w:rPr>
                <w:sz w:val="2"/>
                <w:szCs w:val="2"/>
                <w:color w:val="auto"/>
              </w:rPr>
            </w:pPr>
          </w:p>
        </w:tc>
        <w:tc>
          <w:tcPr>
            <w:tcW w:w="1780" w:type="dxa"/>
            <w:vAlign w:val="bottom"/>
            <w:tcBorders>
              <w:bottom w:val="single" w:sz="8" w:color="2D53A6"/>
              <w:right w:val="single" w:sz="8" w:color="2D53A6"/>
            </w:tcBorders>
          </w:tcPr>
          <w:p>
            <w:pPr>
              <w:spacing w:after="0"/>
              <w:rPr>
                <w:sz w:val="2"/>
                <w:szCs w:val="2"/>
                <w:color w:val="auto"/>
              </w:rPr>
            </w:pPr>
          </w:p>
        </w:tc>
        <w:tc>
          <w:tcPr>
            <w:tcW w:w="17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Klaus Ilgenfritz</w:t>
            </w:r>
            <w:r>
              <w:rPr>
                <w:rFonts w:ascii="Arial" w:cs="Arial" w:eastAsia="Arial" w:hAnsi="Arial"/>
                <w:sz w:val="14"/>
                <w:szCs w:val="14"/>
                <w:color w:val="auto"/>
              </w:rPr>
              <w:t>(1)</w:t>
            </w:r>
          </w:p>
        </w:tc>
        <w:tc>
          <w:tcPr>
            <w:tcW w:w="176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$377,770</w:t>
            </w:r>
          </w:p>
        </w:tc>
        <w:tc>
          <w:tcPr>
            <w:tcW w:w="1780" w:type="dxa"/>
            <w:vAlign w:val="bottom"/>
            <w:tcBorders>
              <w:bottom w:val="single" w:sz="8" w:color="E6E6E6"/>
              <w:right w:val="single" w:sz="8" w:color="2D53A6"/>
            </w:tcBorders>
            <w:shd w:val="clear" w:color="auto" w:fill="E6E6E6"/>
          </w:tcPr>
          <w:p>
            <w:pPr>
              <w:jc w:val="right"/>
              <w:ind w:right="127"/>
              <w:spacing w:after="0"/>
              <w:rPr>
                <w:sz w:val="20"/>
                <w:szCs w:val="20"/>
                <w:color w:val="auto"/>
              </w:rPr>
            </w:pPr>
            <w:r>
              <w:rPr>
                <w:rFonts w:ascii="Arial" w:cs="Arial" w:eastAsia="Arial" w:hAnsi="Arial"/>
                <w:sz w:val="18"/>
                <w:szCs w:val="18"/>
                <w:color w:val="auto"/>
              </w:rPr>
              <w:t>$423,993</w:t>
            </w:r>
          </w:p>
        </w:tc>
        <w:tc>
          <w:tcPr>
            <w:tcW w:w="1760" w:type="dxa"/>
            <w:vAlign w:val="bottom"/>
            <w:tcBorders>
              <w:bottom w:val="single" w:sz="8" w:color="E6E6E6"/>
            </w:tcBorders>
            <w:shd w:val="clear" w:color="auto" w:fill="E6E6E6"/>
          </w:tcPr>
          <w:p>
            <w:pPr>
              <w:jc w:val="right"/>
              <w:ind w:right="527"/>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940" w:type="dxa"/>
            <w:vAlign w:val="bottom"/>
            <w:tcBorders>
              <w:right w:val="single" w:sz="8" w:color="2D53A6"/>
            </w:tcBorders>
            <w:shd w:val="clear" w:color="auto" w:fill="2D53A6"/>
          </w:tcPr>
          <w:p>
            <w:pPr>
              <w:spacing w:after="0" w:line="20" w:lineRule="exact"/>
              <w:rPr>
                <w:sz w:val="1"/>
                <w:szCs w:val="1"/>
                <w:color w:val="auto"/>
              </w:rPr>
            </w:pPr>
          </w:p>
        </w:tc>
        <w:tc>
          <w:tcPr>
            <w:tcW w:w="1760" w:type="dxa"/>
            <w:vAlign w:val="bottom"/>
            <w:tcBorders>
              <w:right w:val="single" w:sz="8" w:color="2D53A6"/>
            </w:tcBorders>
            <w:shd w:val="clear" w:color="auto" w:fill="2D53A6"/>
          </w:tcPr>
          <w:p>
            <w:pPr>
              <w:spacing w:after="0" w:line="20" w:lineRule="exact"/>
              <w:rPr>
                <w:sz w:val="1"/>
                <w:szCs w:val="1"/>
                <w:color w:val="auto"/>
              </w:rPr>
            </w:pPr>
          </w:p>
        </w:tc>
        <w:tc>
          <w:tcPr>
            <w:tcW w:w="1780" w:type="dxa"/>
            <w:vAlign w:val="bottom"/>
            <w:tcBorders>
              <w:right w:val="single" w:sz="8" w:color="2D53A6"/>
            </w:tcBorders>
            <w:shd w:val="clear" w:color="auto" w:fill="2D53A6"/>
          </w:tcPr>
          <w:p>
            <w:pPr>
              <w:spacing w:after="0" w:line="20" w:lineRule="exact"/>
              <w:rPr>
                <w:sz w:val="1"/>
                <w:szCs w:val="1"/>
                <w:color w:val="auto"/>
              </w:rPr>
            </w:pPr>
          </w:p>
        </w:tc>
        <w:tc>
          <w:tcPr>
            <w:tcW w:w="176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0" w:firstLine="8"/>
        <w:spacing w:after="0" w:line="257" w:lineRule="auto"/>
        <w:tabs>
          <w:tab w:leader="none" w:pos="2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Ilgenfritz became an executive officer in fiscal 2025. He is paid in Euros and the base salaries above have been converted to U.S. Dollars as required by SEC rules. The salary change percentage was applied to his base salary in Euros and the year-over-year change in U.S. Dollars as reflected above is impacted by the currency exchange rates in effect at the time of the change.</w:t>
      </w:r>
    </w:p>
    <w:p>
      <w:pPr>
        <w:spacing w:after="0" w:line="16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On February 5, 2026, the Compensation Committee, after considering the recommendations of Dr. Müller (other than with respect to his own base salary), an analysis of competitive market salary data prepared by the Compensation Committee’s compensation consultant, and other factors described above, including improving business conditions and that fact that, except for Mr. Ilgenfritz, executive officer base salaries were last adjusted in February 2023,, determined that the base salaries for our executive officers, including our NEOs in 2026 would be as follows: Dr. Müller, $745,000; Mr. Jones, $485,000; Mr. Bohrson, $440,000; and Mr. Ilgenfritz $446,716 (converted from Euros). These salary rates were effective on the next administratively practicable payroll date following Compensation Committee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Incentive Plan</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Each year the Compensation Committee approves an annual short-term incentive plan for our executive officers, including our NEOs, to encourage and award their achievement of our financial and operational objectives as set forth in our annual operating plan. Under this short-term incentive plan, the Compensation Committee establishes an incentive formula that is applied to the actual level of achievement for each of the pre-selected performance measures. The incentive formula is based on the anticipated difficulty and relative importance of achieving the target level for each respective performance measure. Accordingly, the actual incentives paid, if any, for any given year will vary depending on our actual performance.</w:t>
      </w:r>
    </w:p>
    <w:p>
      <w:pPr>
        <w:spacing w:after="0" w:line="16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To support our retention objectives, typically the short-term incentive plan provides that an executive officer must be an employee when the incentives for the year are paid. The short-term incentive plan provides that the Compensation Committee has the discretion to decrease, but not increase, any incentives paid under the plan, even if the applicable performance objectives have been achieved. Historically, incentives have been payable in cash unless an executive officer elects to defer all or part of his or her incentive into the Cohu, Inc. Deferred Compensation Plan.</w:t>
      </w:r>
    </w:p>
    <w:p>
      <w:pPr>
        <w:spacing w:after="0" w:line="163"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On February 6, 2025, the Compensation Committee adopted the short-term incentive plan for 2025 (the “2025 STI”). The 2025 STI was adopted pursuant to the Cohu 2005 Equity Incentive Plan (the “2005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Short-Term Incentive Opportunities</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purposes of the 2025 STI, our CEO made recommendations to the Compensation Committee with respect to target short-term incentive opportunities (expressed as a percentage of base salary) for each of our executive officers, including our NEOs (except with respect to his own target short-term incentive opportunity). The maximum payout level was 200% of the target award. The target short-term incentive opportunities approved by the Compensation Committee for our NEOs, and the range of potential incentives as a percentage of base salary, the Compensation Committee determined that only the target opportunity percentage for Mr. Ilgenfritz should be increased in connection with his promotion to Chief Product Officer in January 2025, and the percentages for the rest of our executive officers should remain the same, as already competitive to market, leaving the target short-term incentives opportunities for our NEOs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40" w:type="dxa"/>
            <w:vAlign w:val="bottom"/>
            <w:tcBorders>
              <w:right w:val="single" w:sz="8" w:color="2D53A6"/>
            </w:tcBorders>
            <w:shd w:val="clear" w:color="auto" w:fill="2D53A6"/>
          </w:tcPr>
          <w:p>
            <w:pPr>
              <w:spacing w:after="0"/>
              <w:rPr>
                <w:sz w:val="20"/>
                <w:szCs w:val="20"/>
                <w:color w:val="auto"/>
              </w:rPr>
            </w:pPr>
          </w:p>
        </w:tc>
        <w:tc>
          <w:tcPr>
            <w:tcW w:w="26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7"/>
              </w:rPr>
              <w:t>2025 Target Short-Term</w:t>
            </w:r>
          </w:p>
        </w:tc>
        <w:tc>
          <w:tcPr>
            <w:tcW w:w="2620" w:type="dxa"/>
            <w:vAlign w:val="bottom"/>
            <w:gridSpan w:val="3"/>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Range of Possible 2025</w:t>
            </w:r>
          </w:p>
        </w:tc>
        <w:tc>
          <w:tcPr>
            <w:tcW w:w="0" w:type="dxa"/>
            <w:vAlign w:val="bottom"/>
          </w:tcPr>
          <w:p>
            <w:pPr>
              <w:spacing w:after="0"/>
              <w:rPr>
                <w:sz w:val="1"/>
                <w:szCs w:val="1"/>
                <w:color w:val="auto"/>
              </w:rPr>
            </w:pPr>
          </w:p>
        </w:tc>
      </w:tr>
      <w:tr>
        <w:trPr>
          <w:trHeight w:val="216"/>
        </w:trPr>
        <w:tc>
          <w:tcPr>
            <w:tcW w:w="594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20"/>
                <w:szCs w:val="20"/>
                <w:b w:val="1"/>
                <w:bCs w:val="1"/>
                <w:color w:val="FFFFFF"/>
              </w:rPr>
              <w:t>Named Executive Officer</w:t>
            </w:r>
          </w:p>
        </w:tc>
        <w:tc>
          <w:tcPr>
            <w:tcW w:w="2680" w:type="dxa"/>
            <w:vAlign w:val="bottom"/>
            <w:tcBorders>
              <w:right w:val="single" w:sz="8" w:color="2D53A6"/>
            </w:tcBorders>
            <w:vMerge w:val="continue"/>
            <w:shd w:val="clear" w:color="auto" w:fill="2D53A6"/>
          </w:tcPr>
          <w:p>
            <w:pPr>
              <w:spacing w:after="0"/>
              <w:rPr>
                <w:sz w:val="18"/>
                <w:szCs w:val="18"/>
                <w:color w:val="auto"/>
              </w:rPr>
            </w:pPr>
          </w:p>
        </w:tc>
        <w:tc>
          <w:tcPr>
            <w:tcW w:w="2620" w:type="dxa"/>
            <w:vAlign w:val="bottom"/>
            <w:gridSpan w:val="3"/>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Short-Term Incentive as</w:t>
            </w:r>
          </w:p>
        </w:tc>
        <w:tc>
          <w:tcPr>
            <w:tcW w:w="0" w:type="dxa"/>
            <w:vAlign w:val="bottom"/>
          </w:tcPr>
          <w:p>
            <w:pPr>
              <w:spacing w:after="0"/>
              <w:rPr>
                <w:sz w:val="1"/>
                <w:szCs w:val="1"/>
                <w:color w:val="auto"/>
              </w:rPr>
            </w:pPr>
          </w:p>
        </w:tc>
      </w:tr>
      <w:tr>
        <w:trPr>
          <w:trHeight w:val="165"/>
        </w:trPr>
        <w:tc>
          <w:tcPr>
            <w:tcW w:w="5940" w:type="dxa"/>
            <w:vAlign w:val="bottom"/>
            <w:tcBorders>
              <w:right w:val="single" w:sz="8" w:color="2D53A6"/>
            </w:tcBorders>
            <w:vMerge w:val="continue"/>
            <w:shd w:val="clear" w:color="auto" w:fill="2D53A6"/>
          </w:tcPr>
          <w:p>
            <w:pPr>
              <w:spacing w:after="0"/>
              <w:rPr>
                <w:sz w:val="14"/>
                <w:szCs w:val="14"/>
                <w:color w:val="auto"/>
              </w:rPr>
            </w:pPr>
          </w:p>
        </w:tc>
        <w:tc>
          <w:tcPr>
            <w:tcW w:w="268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Incentive</w:t>
            </w:r>
          </w:p>
        </w:tc>
        <w:tc>
          <w:tcPr>
            <w:tcW w:w="2620" w:type="dxa"/>
            <w:vAlign w:val="bottom"/>
            <w:gridSpan w:val="3"/>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Percentage of Base</w:t>
            </w:r>
          </w:p>
        </w:tc>
        <w:tc>
          <w:tcPr>
            <w:tcW w:w="0" w:type="dxa"/>
            <w:vAlign w:val="bottom"/>
          </w:tcPr>
          <w:p>
            <w:pPr>
              <w:spacing w:after="0"/>
              <w:rPr>
                <w:sz w:val="1"/>
                <w:szCs w:val="1"/>
                <w:color w:val="auto"/>
              </w:rPr>
            </w:pPr>
          </w:p>
        </w:tc>
      </w:tr>
      <w:tr>
        <w:trPr>
          <w:trHeight w:val="51"/>
        </w:trPr>
        <w:tc>
          <w:tcPr>
            <w:tcW w:w="5940" w:type="dxa"/>
            <w:vAlign w:val="bottom"/>
            <w:tcBorders>
              <w:right w:val="single" w:sz="8" w:color="2D53A6"/>
            </w:tcBorders>
            <w:shd w:val="clear" w:color="auto" w:fill="2D53A6"/>
          </w:tcPr>
          <w:p>
            <w:pPr>
              <w:spacing w:after="0"/>
              <w:rPr>
                <w:sz w:val="4"/>
                <w:szCs w:val="4"/>
                <w:color w:val="auto"/>
              </w:rPr>
            </w:pPr>
          </w:p>
        </w:tc>
        <w:tc>
          <w:tcPr>
            <w:tcW w:w="2680" w:type="dxa"/>
            <w:vAlign w:val="bottom"/>
            <w:tcBorders>
              <w:right w:val="single" w:sz="8" w:color="2D53A6"/>
            </w:tcBorders>
            <w:vMerge w:val="continue"/>
            <w:shd w:val="clear" w:color="auto" w:fill="2D53A6"/>
          </w:tcPr>
          <w:p>
            <w:pPr>
              <w:spacing w:after="0"/>
              <w:rPr>
                <w:sz w:val="4"/>
                <w:szCs w:val="4"/>
                <w:color w:val="auto"/>
              </w:rPr>
            </w:pPr>
          </w:p>
        </w:tc>
        <w:tc>
          <w:tcPr>
            <w:tcW w:w="2620" w:type="dxa"/>
            <w:vAlign w:val="bottom"/>
            <w:gridSpan w:val="3"/>
            <w:vMerge w:val="continue"/>
            <w:shd w:val="clear" w:color="auto" w:fill="2D53A6"/>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5940" w:type="dxa"/>
            <w:vAlign w:val="bottom"/>
            <w:tcBorders>
              <w:bottom w:val="single" w:sz="8" w:color="2D53A6"/>
              <w:right w:val="single" w:sz="8" w:color="2D53A6"/>
            </w:tcBorders>
            <w:shd w:val="clear" w:color="auto" w:fill="2D53A6"/>
          </w:tcPr>
          <w:p>
            <w:pPr>
              <w:spacing w:after="0"/>
              <w:rPr>
                <w:sz w:val="23"/>
                <w:szCs w:val="23"/>
                <w:color w:val="auto"/>
              </w:rPr>
            </w:pPr>
          </w:p>
        </w:tc>
        <w:tc>
          <w:tcPr>
            <w:tcW w:w="268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Opportunity</w:t>
            </w:r>
          </w:p>
        </w:tc>
        <w:tc>
          <w:tcPr>
            <w:tcW w:w="2620" w:type="dxa"/>
            <w:vAlign w:val="bottom"/>
            <w:tcBorders>
              <w:bottom w:val="single" w:sz="8" w:color="2D53A6"/>
            </w:tcBorders>
            <w:gridSpan w:val="3"/>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Salary</w:t>
            </w:r>
          </w:p>
        </w:tc>
        <w:tc>
          <w:tcPr>
            <w:tcW w:w="0" w:type="dxa"/>
            <w:vAlign w:val="bottom"/>
          </w:tcPr>
          <w:p>
            <w:pPr>
              <w:spacing w:after="0"/>
              <w:rPr>
                <w:sz w:val="1"/>
                <w:szCs w:val="1"/>
                <w:color w:val="auto"/>
              </w:rPr>
            </w:pPr>
          </w:p>
        </w:tc>
      </w:tr>
      <w:tr>
        <w:trPr>
          <w:trHeight w:val="261"/>
        </w:trPr>
        <w:tc>
          <w:tcPr>
            <w:tcW w:w="59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2680" w:type="dxa"/>
            <w:vAlign w:val="bottom"/>
            <w:tcBorders>
              <w:right w:val="single" w:sz="8" w:color="2D53A6"/>
            </w:tcBorders>
          </w:tcPr>
          <w:p>
            <w:pPr>
              <w:jc w:val="center"/>
              <w:ind w:left="6"/>
              <w:spacing w:after="0"/>
              <w:rPr>
                <w:sz w:val="20"/>
                <w:szCs w:val="20"/>
                <w:color w:val="auto"/>
              </w:rPr>
            </w:pPr>
            <w:r>
              <w:rPr>
                <w:rFonts w:ascii="Arial" w:cs="Arial" w:eastAsia="Arial" w:hAnsi="Arial"/>
                <w:sz w:val="18"/>
                <w:szCs w:val="18"/>
                <w:color w:val="auto"/>
                <w:w w:val="99"/>
              </w:rPr>
              <w:t>110%</w:t>
            </w:r>
          </w:p>
        </w:tc>
        <w:tc>
          <w:tcPr>
            <w:tcW w:w="12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
        </w:trPr>
        <w:tc>
          <w:tcPr>
            <w:tcW w:w="5940" w:type="dxa"/>
            <w:vAlign w:val="bottom"/>
            <w:tcBorders>
              <w:bottom w:val="single" w:sz="8" w:color="2D53A6"/>
              <w:right w:val="single" w:sz="8" w:color="2D53A6"/>
            </w:tcBorders>
          </w:tcPr>
          <w:p>
            <w:pPr>
              <w:spacing w:after="0"/>
              <w:rPr>
                <w:sz w:val="2"/>
                <w:szCs w:val="2"/>
                <w:color w:val="auto"/>
              </w:rPr>
            </w:pPr>
          </w:p>
        </w:tc>
        <w:tc>
          <w:tcPr>
            <w:tcW w:w="2680" w:type="dxa"/>
            <w:vAlign w:val="bottom"/>
            <w:tcBorders>
              <w:bottom w:val="single" w:sz="8" w:color="2D53A6"/>
              <w:right w:val="single" w:sz="8" w:color="2D53A6"/>
            </w:tcBorders>
          </w:tcPr>
          <w:p>
            <w:pPr>
              <w:spacing w:after="0"/>
              <w:rPr>
                <w:sz w:val="2"/>
                <w:szCs w:val="2"/>
                <w:color w:val="auto"/>
              </w:rPr>
            </w:pPr>
          </w:p>
        </w:tc>
        <w:tc>
          <w:tcPr>
            <w:tcW w:w="1280" w:type="dxa"/>
            <w:vAlign w:val="bottom"/>
            <w:tcBorders>
              <w:bottom w:val="single" w:sz="8" w:color="2D53A6"/>
            </w:tcBorders>
          </w:tcPr>
          <w:p>
            <w:pPr>
              <w:spacing w:after="0"/>
              <w:rPr>
                <w:sz w:val="2"/>
                <w:szCs w:val="2"/>
                <w:color w:val="auto"/>
              </w:rPr>
            </w:pPr>
          </w:p>
        </w:tc>
        <w:tc>
          <w:tcPr>
            <w:tcW w:w="180" w:type="dxa"/>
            <w:vAlign w:val="bottom"/>
            <w:tcBorders>
              <w:bottom w:val="single" w:sz="8" w:color="2D53A6"/>
            </w:tcBorders>
          </w:tcPr>
          <w:p>
            <w:pPr>
              <w:spacing w:after="0"/>
              <w:rPr>
                <w:sz w:val="2"/>
                <w:szCs w:val="2"/>
                <w:color w:val="auto"/>
              </w:rPr>
            </w:pPr>
          </w:p>
        </w:tc>
        <w:tc>
          <w:tcPr>
            <w:tcW w:w="11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9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2680" w:type="dxa"/>
            <w:vAlign w:val="bottom"/>
            <w:tcBorders>
              <w:bottom w:val="single" w:sz="8" w:color="E6E6E6"/>
              <w:right w:val="single" w:sz="8" w:color="2D53A6"/>
            </w:tcBorders>
            <w:shd w:val="clear" w:color="auto" w:fill="E6E6E6"/>
          </w:tcPr>
          <w:p>
            <w:pPr>
              <w:jc w:val="center"/>
              <w:ind w:left="26"/>
              <w:spacing w:after="0"/>
              <w:rPr>
                <w:sz w:val="20"/>
                <w:szCs w:val="20"/>
                <w:color w:val="auto"/>
              </w:rPr>
            </w:pPr>
            <w:r>
              <w:rPr>
                <w:rFonts w:ascii="Arial" w:cs="Arial" w:eastAsia="Arial" w:hAnsi="Arial"/>
                <w:sz w:val="18"/>
                <w:szCs w:val="18"/>
                <w:color w:val="auto"/>
                <w:w w:val="99"/>
              </w:rPr>
              <w:t>75%</w:t>
            </w:r>
          </w:p>
        </w:tc>
        <w:tc>
          <w:tcPr>
            <w:tcW w:w="12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6E6E6"/>
            </w:tcBorders>
            <w:shd w:val="clear" w:color="auto" w:fill="E6E6E6"/>
          </w:tcPr>
          <w:p>
            <w:pPr>
              <w:jc w:val="right"/>
              <w:ind w:right="55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4"/>
        </w:trPr>
        <w:tc>
          <w:tcPr>
            <w:tcW w:w="594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2680" w:type="dxa"/>
            <w:vAlign w:val="bottom"/>
            <w:tcBorders>
              <w:top w:val="single" w:sz="8" w:color="2D53A6"/>
              <w:right w:val="single" w:sz="8" w:color="2D53A6"/>
            </w:tcBorders>
          </w:tcPr>
          <w:p>
            <w:pPr>
              <w:jc w:val="center"/>
              <w:ind w:left="26"/>
              <w:spacing w:after="0"/>
              <w:rPr>
                <w:sz w:val="20"/>
                <w:szCs w:val="20"/>
                <w:color w:val="auto"/>
              </w:rPr>
            </w:pPr>
            <w:r>
              <w:rPr>
                <w:rFonts w:ascii="Arial" w:cs="Arial" w:eastAsia="Arial" w:hAnsi="Arial"/>
                <w:sz w:val="18"/>
                <w:szCs w:val="18"/>
                <w:color w:val="auto"/>
                <w:w w:val="99"/>
              </w:rPr>
              <w:t>75%</w:t>
            </w:r>
          </w:p>
        </w:tc>
        <w:tc>
          <w:tcPr>
            <w:tcW w:w="1280" w:type="dxa"/>
            <w:vAlign w:val="bottom"/>
            <w:tcBorders>
              <w:top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2D53A6"/>
            </w:tcBorders>
          </w:tcPr>
          <w:p>
            <w:pPr>
              <w:jc w:val="right"/>
              <w:ind w:right="55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
        </w:trPr>
        <w:tc>
          <w:tcPr>
            <w:tcW w:w="5940" w:type="dxa"/>
            <w:vAlign w:val="bottom"/>
            <w:tcBorders>
              <w:bottom w:val="single" w:sz="8" w:color="2D53A6"/>
              <w:right w:val="single" w:sz="8" w:color="2D53A6"/>
            </w:tcBorders>
          </w:tcPr>
          <w:p>
            <w:pPr>
              <w:spacing w:after="0"/>
              <w:rPr>
                <w:sz w:val="2"/>
                <w:szCs w:val="2"/>
                <w:color w:val="auto"/>
              </w:rPr>
            </w:pPr>
          </w:p>
        </w:tc>
        <w:tc>
          <w:tcPr>
            <w:tcW w:w="2680" w:type="dxa"/>
            <w:vAlign w:val="bottom"/>
            <w:tcBorders>
              <w:bottom w:val="single" w:sz="8" w:color="2D53A6"/>
              <w:right w:val="single" w:sz="8" w:color="2D53A6"/>
            </w:tcBorders>
          </w:tcPr>
          <w:p>
            <w:pPr>
              <w:spacing w:after="0"/>
              <w:rPr>
                <w:sz w:val="2"/>
                <w:szCs w:val="2"/>
                <w:color w:val="auto"/>
              </w:rPr>
            </w:pPr>
          </w:p>
        </w:tc>
        <w:tc>
          <w:tcPr>
            <w:tcW w:w="1280" w:type="dxa"/>
            <w:vAlign w:val="bottom"/>
            <w:tcBorders>
              <w:bottom w:val="single" w:sz="8" w:color="2D53A6"/>
            </w:tcBorders>
          </w:tcPr>
          <w:p>
            <w:pPr>
              <w:spacing w:after="0"/>
              <w:rPr>
                <w:sz w:val="2"/>
                <w:szCs w:val="2"/>
                <w:color w:val="auto"/>
              </w:rPr>
            </w:pPr>
          </w:p>
        </w:tc>
        <w:tc>
          <w:tcPr>
            <w:tcW w:w="180" w:type="dxa"/>
            <w:vAlign w:val="bottom"/>
            <w:tcBorders>
              <w:bottom w:val="single" w:sz="8" w:color="2D53A6"/>
            </w:tcBorders>
          </w:tcPr>
          <w:p>
            <w:pPr>
              <w:spacing w:after="0"/>
              <w:rPr>
                <w:sz w:val="2"/>
                <w:szCs w:val="2"/>
                <w:color w:val="auto"/>
              </w:rPr>
            </w:pPr>
          </w:p>
        </w:tc>
        <w:tc>
          <w:tcPr>
            <w:tcW w:w="11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Klaus Ilgenfritz</w:t>
            </w:r>
            <w:r>
              <w:rPr>
                <w:rFonts w:ascii="Arial" w:cs="Arial" w:eastAsia="Arial" w:hAnsi="Arial"/>
                <w:sz w:val="14"/>
                <w:szCs w:val="14"/>
                <w:color w:val="auto"/>
              </w:rPr>
              <w:t>(1)</w:t>
            </w:r>
          </w:p>
        </w:tc>
        <w:tc>
          <w:tcPr>
            <w:tcW w:w="2680" w:type="dxa"/>
            <w:vAlign w:val="bottom"/>
            <w:tcBorders>
              <w:bottom w:val="single" w:sz="8" w:color="E6E6E6"/>
              <w:right w:val="single" w:sz="8" w:color="2D53A6"/>
            </w:tcBorders>
            <w:shd w:val="clear" w:color="auto" w:fill="E6E6E6"/>
          </w:tcPr>
          <w:p>
            <w:pPr>
              <w:jc w:val="center"/>
              <w:ind w:left="26"/>
              <w:spacing w:after="0"/>
              <w:rPr>
                <w:sz w:val="20"/>
                <w:szCs w:val="20"/>
                <w:color w:val="auto"/>
              </w:rPr>
            </w:pPr>
            <w:r>
              <w:rPr>
                <w:rFonts w:ascii="Arial" w:cs="Arial" w:eastAsia="Arial" w:hAnsi="Arial"/>
                <w:sz w:val="18"/>
                <w:szCs w:val="18"/>
                <w:color w:val="auto"/>
                <w:w w:val="99"/>
              </w:rPr>
              <w:t>60%</w:t>
            </w:r>
          </w:p>
        </w:tc>
        <w:tc>
          <w:tcPr>
            <w:tcW w:w="12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6E6E6"/>
            </w:tcBorders>
            <w:shd w:val="clear" w:color="auto" w:fill="E6E6E6"/>
          </w:tcPr>
          <w:p>
            <w:pPr>
              <w:jc w:val="right"/>
              <w:ind w:right="55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940" w:type="dxa"/>
            <w:vAlign w:val="bottom"/>
            <w:tcBorders>
              <w:right w:val="single" w:sz="8" w:color="2D53A6"/>
            </w:tcBorders>
            <w:shd w:val="clear" w:color="auto" w:fill="2D53A6"/>
          </w:tcPr>
          <w:p>
            <w:pPr>
              <w:spacing w:after="0" w:line="20" w:lineRule="exact"/>
              <w:rPr>
                <w:sz w:val="1"/>
                <w:szCs w:val="1"/>
                <w:color w:val="auto"/>
              </w:rPr>
            </w:pPr>
          </w:p>
        </w:tc>
        <w:tc>
          <w:tcPr>
            <w:tcW w:w="2680" w:type="dxa"/>
            <w:vAlign w:val="bottom"/>
            <w:tcBorders>
              <w:right w:val="single" w:sz="8" w:color="2D53A6"/>
            </w:tcBorders>
            <w:shd w:val="clear" w:color="auto" w:fill="2D53A6"/>
          </w:tcPr>
          <w:p>
            <w:pPr>
              <w:spacing w:after="0" w:line="20" w:lineRule="exact"/>
              <w:rPr>
                <w:sz w:val="1"/>
                <w:szCs w:val="1"/>
                <w:color w:val="auto"/>
              </w:rPr>
            </w:pPr>
          </w:p>
        </w:tc>
        <w:tc>
          <w:tcPr>
            <w:tcW w:w="1280" w:type="dxa"/>
            <w:vAlign w:val="bottom"/>
            <w:shd w:val="clear" w:color="auto" w:fill="2D53A6"/>
          </w:tcPr>
          <w:p>
            <w:pPr>
              <w:spacing w:after="0" w:line="20" w:lineRule="exact"/>
              <w:rPr>
                <w:sz w:val="1"/>
                <w:szCs w:val="1"/>
                <w:color w:val="auto"/>
              </w:rPr>
            </w:pPr>
          </w:p>
        </w:tc>
        <w:tc>
          <w:tcPr>
            <w:tcW w:w="180" w:type="dxa"/>
            <w:vAlign w:val="bottom"/>
            <w:shd w:val="clear" w:color="auto" w:fill="2D53A6"/>
          </w:tcPr>
          <w:p>
            <w:pPr>
              <w:spacing w:after="0" w:line="20" w:lineRule="exact"/>
              <w:rPr>
                <w:sz w:val="1"/>
                <w:szCs w:val="1"/>
                <w:color w:val="auto"/>
              </w:rPr>
            </w:pPr>
          </w:p>
        </w:tc>
        <w:tc>
          <w:tcPr>
            <w:tcW w:w="116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(1) Prior to his appointment as an executive officer, Mr. Ilgenfritz previously had a 50% target short-term incentive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Measures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2025 STI, the Compensation Committee selected three financial performance measures for our executive officers:</w:t>
      </w:r>
    </w:p>
    <w:p>
      <w:pPr>
        <w:spacing w:after="0" w:line="19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growth based on a one-year growth target;</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growth based on a four-year rolling sales growth target; and</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Profitability based on a non-GAAP pre-tax income target.</w:t>
      </w:r>
    </w:p>
    <w:p>
      <w:pPr>
        <w:spacing w:after="0" w:line="180"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 xml:space="preserve">The Compensation Committee added the one-year sales growth metric to increase the focus of capturing revenue opportunities as the semiconductor industry emerges from an extended downturn. We selected these three performance measures because we continue to believe sales growth reflects the overall market acceptance of our products and non-GAAP pre-tax income reflects how effectively the business was managed during the year. A reconciliation of GAAP to non-GAAP pre-tax income used for the 2025 STI is included as </w:t>
      </w:r>
      <w:r>
        <w:rPr>
          <w:rFonts w:ascii="Arial" w:cs="Arial" w:eastAsia="Arial" w:hAnsi="Arial"/>
          <w:sz w:val="18"/>
          <w:szCs w:val="18"/>
          <w:b w:val="1"/>
          <w:bCs w:val="1"/>
          <w:color w:val="auto"/>
        </w:rPr>
        <w:t xml:space="preserve">Appendix A </w:t>
      </w:r>
      <w:r>
        <w:rPr>
          <w:rFonts w:ascii="Arial" w:cs="Arial" w:eastAsia="Arial" w:hAnsi="Arial"/>
          <w:sz w:val="18"/>
          <w:szCs w:val="18"/>
          <w:color w:val="auto"/>
        </w:rPr>
        <w:t>to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weighting of these corporate performance measures for purposes of the 2025 STI for each NEO were as follows: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4840" w:type="dxa"/>
            <w:vAlign w:val="bottom"/>
            <w:tcBorders>
              <w:left w:val="single" w:sz="8" w:color="2D53A6"/>
            </w:tcBorders>
            <w:vMerge w:val="restart"/>
            <w:shd w:val="clear" w:color="auto" w:fill="2D53A6"/>
          </w:tcPr>
          <w:p>
            <w:pPr>
              <w:ind w:left="1820"/>
              <w:spacing w:after="0"/>
              <w:rPr>
                <w:sz w:val="20"/>
                <w:szCs w:val="20"/>
                <w:color w:val="auto"/>
              </w:rPr>
            </w:pPr>
            <w:r>
              <w:rPr>
                <w:rFonts w:ascii="Arial" w:cs="Arial" w:eastAsia="Arial" w:hAnsi="Arial"/>
                <w:sz w:val="20"/>
                <w:szCs w:val="20"/>
                <w:b w:val="1"/>
                <w:bCs w:val="1"/>
                <w:color w:val="FFFFFF"/>
              </w:rPr>
              <w:t>Named Executive Officer</w:t>
            </w:r>
          </w:p>
        </w:tc>
        <w:tc>
          <w:tcPr>
            <w:tcW w:w="1120" w:type="dxa"/>
            <w:vAlign w:val="bottom"/>
            <w:tcBorders>
              <w:right w:val="single" w:sz="8" w:color="2D53A6"/>
            </w:tcBorders>
            <w:shd w:val="clear" w:color="auto" w:fill="2D53A6"/>
          </w:tcPr>
          <w:p>
            <w:pPr>
              <w:spacing w:after="0"/>
              <w:rPr>
                <w:sz w:val="20"/>
                <w:szCs w:val="20"/>
                <w:color w:val="auto"/>
              </w:rPr>
            </w:pPr>
          </w:p>
        </w:tc>
        <w:tc>
          <w:tcPr>
            <w:tcW w:w="1740" w:type="dxa"/>
            <w:vAlign w:val="bottom"/>
            <w:tcBorders>
              <w:right w:val="single" w:sz="8" w:color="2D53A6"/>
            </w:tcBorders>
            <w:vMerge w:val="restart"/>
            <w:shd w:val="clear" w:color="auto" w:fill="2D53A6"/>
          </w:tcPr>
          <w:p>
            <w:pPr>
              <w:jc w:val="right"/>
              <w:ind w:right="207"/>
              <w:spacing w:after="0"/>
              <w:rPr>
                <w:sz w:val="20"/>
                <w:szCs w:val="20"/>
                <w:color w:val="auto"/>
              </w:rPr>
            </w:pPr>
            <w:r>
              <w:rPr>
                <w:rFonts w:ascii="Arial" w:cs="Arial" w:eastAsia="Arial" w:hAnsi="Arial"/>
                <w:sz w:val="20"/>
                <w:szCs w:val="20"/>
                <w:b w:val="1"/>
                <w:bCs w:val="1"/>
                <w:color w:val="FFFFFF"/>
              </w:rPr>
              <w:t>1-Year Sales</w:t>
            </w:r>
          </w:p>
        </w:tc>
        <w:tc>
          <w:tcPr>
            <w:tcW w:w="1780" w:type="dxa"/>
            <w:vAlign w:val="bottom"/>
            <w:tcBorders>
              <w:right w:val="single" w:sz="8" w:color="2D53A6"/>
            </w:tcBorders>
            <w:vMerge w:val="restart"/>
            <w:shd w:val="clear" w:color="auto" w:fill="2D53A6"/>
          </w:tcPr>
          <w:p>
            <w:pPr>
              <w:jc w:val="right"/>
              <w:ind w:right="227"/>
              <w:spacing w:after="0"/>
              <w:rPr>
                <w:sz w:val="20"/>
                <w:szCs w:val="20"/>
                <w:color w:val="auto"/>
              </w:rPr>
            </w:pPr>
            <w:r>
              <w:rPr>
                <w:rFonts w:ascii="Arial" w:cs="Arial" w:eastAsia="Arial" w:hAnsi="Arial"/>
                <w:sz w:val="20"/>
                <w:szCs w:val="20"/>
                <w:b w:val="1"/>
                <w:bCs w:val="1"/>
                <w:color w:val="FFFFFF"/>
              </w:rPr>
              <w:t>4-Year Sales</w:t>
            </w:r>
          </w:p>
        </w:tc>
        <w:tc>
          <w:tcPr>
            <w:tcW w:w="17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Non-GAAP</w:t>
            </w:r>
          </w:p>
        </w:tc>
        <w:tc>
          <w:tcPr>
            <w:tcW w:w="0" w:type="dxa"/>
            <w:vAlign w:val="bottom"/>
          </w:tcPr>
          <w:p>
            <w:pPr>
              <w:spacing w:after="0"/>
              <w:rPr>
                <w:sz w:val="1"/>
                <w:szCs w:val="1"/>
                <w:color w:val="auto"/>
              </w:rPr>
            </w:pPr>
          </w:p>
        </w:tc>
      </w:tr>
      <w:tr>
        <w:trPr>
          <w:trHeight w:val="216"/>
        </w:trPr>
        <w:tc>
          <w:tcPr>
            <w:tcW w:w="4840" w:type="dxa"/>
            <w:vAlign w:val="bottom"/>
            <w:tcBorders>
              <w:left w:val="single" w:sz="8" w:color="2D53A6"/>
            </w:tcBorders>
            <w:vMerge w:val="continue"/>
            <w:shd w:val="clear" w:color="auto" w:fill="2D53A6"/>
          </w:tcPr>
          <w:p>
            <w:pPr>
              <w:spacing w:after="0"/>
              <w:rPr>
                <w:sz w:val="18"/>
                <w:szCs w:val="18"/>
                <w:color w:val="auto"/>
              </w:rPr>
            </w:pPr>
          </w:p>
        </w:tc>
        <w:tc>
          <w:tcPr>
            <w:tcW w:w="1120" w:type="dxa"/>
            <w:vAlign w:val="bottom"/>
            <w:tcBorders>
              <w:right w:val="single" w:sz="8" w:color="2D53A6"/>
            </w:tcBorders>
            <w:shd w:val="clear" w:color="auto" w:fill="2D53A6"/>
          </w:tcPr>
          <w:p>
            <w:pPr>
              <w:spacing w:after="0"/>
              <w:rPr>
                <w:sz w:val="18"/>
                <w:szCs w:val="18"/>
                <w:color w:val="auto"/>
              </w:rPr>
            </w:pPr>
          </w:p>
        </w:tc>
        <w:tc>
          <w:tcPr>
            <w:tcW w:w="1740" w:type="dxa"/>
            <w:vAlign w:val="bottom"/>
            <w:tcBorders>
              <w:right w:val="single" w:sz="8" w:color="2D53A6"/>
            </w:tcBorders>
            <w:vMerge w:val="continue"/>
            <w:shd w:val="clear" w:color="auto" w:fill="2D53A6"/>
          </w:tcPr>
          <w:p>
            <w:pPr>
              <w:spacing w:after="0"/>
              <w:rPr>
                <w:sz w:val="18"/>
                <w:szCs w:val="18"/>
                <w:color w:val="auto"/>
              </w:rPr>
            </w:pPr>
          </w:p>
        </w:tc>
        <w:tc>
          <w:tcPr>
            <w:tcW w:w="1780" w:type="dxa"/>
            <w:vAlign w:val="bottom"/>
            <w:tcBorders>
              <w:right w:val="single" w:sz="8" w:color="2D53A6"/>
            </w:tcBorders>
            <w:vMerge w:val="continue"/>
            <w:shd w:val="clear" w:color="auto" w:fill="2D53A6"/>
          </w:tcPr>
          <w:p>
            <w:pPr>
              <w:spacing w:after="0"/>
              <w:rPr>
                <w:sz w:val="18"/>
                <w:szCs w:val="18"/>
                <w:color w:val="auto"/>
              </w:rPr>
            </w:pPr>
          </w:p>
        </w:tc>
        <w:tc>
          <w:tcPr>
            <w:tcW w:w="176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7"/>
              </w:rPr>
              <w:t>Pre-tax</w:t>
            </w:r>
          </w:p>
        </w:tc>
        <w:tc>
          <w:tcPr>
            <w:tcW w:w="0" w:type="dxa"/>
            <w:vAlign w:val="bottom"/>
          </w:tcPr>
          <w:p>
            <w:pPr>
              <w:spacing w:after="0"/>
              <w:rPr>
                <w:sz w:val="1"/>
                <w:szCs w:val="1"/>
                <w:color w:val="auto"/>
              </w:rPr>
            </w:pPr>
          </w:p>
        </w:tc>
      </w:tr>
      <w:tr>
        <w:trPr>
          <w:trHeight w:val="274"/>
        </w:trPr>
        <w:tc>
          <w:tcPr>
            <w:tcW w:w="4840" w:type="dxa"/>
            <w:vAlign w:val="bottom"/>
            <w:tcBorders>
              <w:left w:val="single" w:sz="8" w:color="2D53A6"/>
              <w:bottom w:val="single" w:sz="8" w:color="2D53A6"/>
            </w:tcBorders>
            <w:shd w:val="clear" w:color="auto" w:fill="2D53A6"/>
          </w:tcPr>
          <w:p>
            <w:pPr>
              <w:spacing w:after="0"/>
              <w:rPr>
                <w:sz w:val="23"/>
                <w:szCs w:val="23"/>
                <w:color w:val="auto"/>
              </w:rPr>
            </w:pPr>
          </w:p>
        </w:tc>
        <w:tc>
          <w:tcPr>
            <w:tcW w:w="1120" w:type="dxa"/>
            <w:vAlign w:val="bottom"/>
            <w:tcBorders>
              <w:bottom w:val="single" w:sz="8" w:color="2D53A6"/>
              <w:right w:val="single" w:sz="8" w:color="2D53A6"/>
            </w:tcBorders>
            <w:shd w:val="clear" w:color="auto" w:fill="2D53A6"/>
          </w:tcPr>
          <w:p>
            <w:pPr>
              <w:spacing w:after="0"/>
              <w:rPr>
                <w:sz w:val="23"/>
                <w:szCs w:val="23"/>
                <w:color w:val="auto"/>
              </w:rPr>
            </w:pPr>
          </w:p>
        </w:tc>
        <w:tc>
          <w:tcPr>
            <w:tcW w:w="1740" w:type="dxa"/>
            <w:vAlign w:val="bottom"/>
            <w:tcBorders>
              <w:bottom w:val="single" w:sz="8" w:color="2D53A6"/>
              <w:right w:val="single" w:sz="8" w:color="2D53A6"/>
            </w:tcBorders>
            <w:shd w:val="clear" w:color="auto" w:fill="2D53A6"/>
          </w:tcPr>
          <w:p>
            <w:pPr>
              <w:jc w:val="right"/>
              <w:ind w:right="447"/>
              <w:spacing w:after="0"/>
              <w:rPr>
                <w:sz w:val="20"/>
                <w:szCs w:val="20"/>
                <w:color w:val="auto"/>
              </w:rPr>
            </w:pPr>
            <w:r>
              <w:rPr>
                <w:rFonts w:ascii="Arial" w:cs="Arial" w:eastAsia="Arial" w:hAnsi="Arial"/>
                <w:sz w:val="20"/>
                <w:szCs w:val="20"/>
                <w:b w:val="1"/>
                <w:bCs w:val="1"/>
                <w:color w:val="FFFFFF"/>
              </w:rPr>
              <w:t>Growth</w:t>
            </w:r>
          </w:p>
        </w:tc>
        <w:tc>
          <w:tcPr>
            <w:tcW w:w="1780" w:type="dxa"/>
            <w:vAlign w:val="bottom"/>
            <w:tcBorders>
              <w:bottom w:val="single" w:sz="8" w:color="2D53A6"/>
              <w:right w:val="single" w:sz="8" w:color="2D53A6"/>
            </w:tcBorders>
            <w:shd w:val="clear" w:color="auto" w:fill="2D53A6"/>
          </w:tcPr>
          <w:p>
            <w:pPr>
              <w:jc w:val="right"/>
              <w:ind w:right="467"/>
              <w:spacing w:after="0"/>
              <w:rPr>
                <w:sz w:val="20"/>
                <w:szCs w:val="20"/>
                <w:color w:val="auto"/>
              </w:rPr>
            </w:pPr>
            <w:r>
              <w:rPr>
                <w:rFonts w:ascii="Arial" w:cs="Arial" w:eastAsia="Arial" w:hAnsi="Arial"/>
                <w:sz w:val="20"/>
                <w:szCs w:val="20"/>
                <w:b w:val="1"/>
                <w:bCs w:val="1"/>
                <w:color w:val="FFFFFF"/>
              </w:rPr>
              <w:t>Growth</w:t>
            </w:r>
          </w:p>
        </w:tc>
        <w:tc>
          <w:tcPr>
            <w:tcW w:w="17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Income</w:t>
            </w:r>
          </w:p>
        </w:tc>
        <w:tc>
          <w:tcPr>
            <w:tcW w:w="0" w:type="dxa"/>
            <w:vAlign w:val="bottom"/>
          </w:tcPr>
          <w:p>
            <w:pPr>
              <w:spacing w:after="0"/>
              <w:rPr>
                <w:sz w:val="1"/>
                <w:szCs w:val="1"/>
                <w:color w:val="auto"/>
              </w:rPr>
            </w:pPr>
          </w:p>
        </w:tc>
      </w:tr>
      <w:tr>
        <w:trPr>
          <w:trHeight w:val="260"/>
        </w:trPr>
        <w:tc>
          <w:tcPr>
            <w:tcW w:w="4840" w:type="dxa"/>
            <w:vAlign w:val="bottom"/>
            <w:tcBorders>
              <w:left w:val="single" w:sz="8" w:color="2D53A6"/>
            </w:tcBorders>
          </w:tcPr>
          <w:p>
            <w:pPr>
              <w:ind w:left="60"/>
              <w:spacing w:after="0"/>
              <w:rPr>
                <w:sz w:val="20"/>
                <w:szCs w:val="20"/>
                <w:color w:val="auto"/>
              </w:rPr>
            </w:pPr>
            <w:r>
              <w:rPr>
                <w:rFonts w:ascii="Arial" w:cs="Arial" w:eastAsia="Arial" w:hAnsi="Arial"/>
                <w:sz w:val="18"/>
                <w:szCs w:val="18"/>
                <w:color w:val="auto"/>
              </w:rPr>
              <w:t>Luis A. Müller</w:t>
            </w:r>
          </w:p>
        </w:tc>
        <w:tc>
          <w:tcPr>
            <w:tcW w:w="1120" w:type="dxa"/>
            <w:vAlign w:val="bottom"/>
            <w:tcBorders>
              <w:right w:val="single" w:sz="8" w:color="2D53A6"/>
            </w:tcBorders>
          </w:tcPr>
          <w:p>
            <w:pPr>
              <w:spacing w:after="0"/>
              <w:rPr>
                <w:sz w:val="22"/>
                <w:szCs w:val="22"/>
                <w:color w:val="auto"/>
              </w:rPr>
            </w:pPr>
          </w:p>
        </w:tc>
        <w:tc>
          <w:tcPr>
            <w:tcW w:w="1740" w:type="dxa"/>
            <w:vAlign w:val="bottom"/>
            <w:tcBorders>
              <w:right w:val="single" w:sz="8" w:color="2D53A6"/>
            </w:tcBorders>
          </w:tcPr>
          <w:p>
            <w:pPr>
              <w:jc w:val="right"/>
              <w:ind w:right="547"/>
              <w:spacing w:after="0"/>
              <w:rPr>
                <w:sz w:val="20"/>
                <w:szCs w:val="20"/>
                <w:color w:val="auto"/>
              </w:rPr>
            </w:pPr>
            <w:r>
              <w:rPr>
                <w:rFonts w:ascii="Arial" w:cs="Arial" w:eastAsia="Arial" w:hAnsi="Arial"/>
                <w:sz w:val="18"/>
                <w:szCs w:val="18"/>
                <w:color w:val="auto"/>
              </w:rPr>
              <w:t>25%</w:t>
            </w:r>
          </w:p>
        </w:tc>
        <w:tc>
          <w:tcPr>
            <w:tcW w:w="1780" w:type="dxa"/>
            <w:vAlign w:val="bottom"/>
            <w:tcBorders>
              <w:right w:val="single" w:sz="8" w:color="2D53A6"/>
            </w:tcBorders>
          </w:tcPr>
          <w:p>
            <w:pPr>
              <w:jc w:val="right"/>
              <w:ind w:right="567"/>
              <w:spacing w:after="0"/>
              <w:rPr>
                <w:sz w:val="20"/>
                <w:szCs w:val="20"/>
                <w:color w:val="auto"/>
              </w:rPr>
            </w:pPr>
            <w:r>
              <w:rPr>
                <w:rFonts w:ascii="Arial" w:cs="Arial" w:eastAsia="Arial" w:hAnsi="Arial"/>
                <w:sz w:val="18"/>
                <w:szCs w:val="18"/>
                <w:color w:val="auto"/>
              </w:rPr>
              <w:t>25%</w:t>
            </w:r>
          </w:p>
        </w:tc>
        <w:tc>
          <w:tcPr>
            <w:tcW w:w="1760" w:type="dxa"/>
            <w:vAlign w:val="bottom"/>
            <w:tcBorders>
              <w:right w:val="single" w:sz="8" w:color="2D53A6"/>
            </w:tcBorders>
          </w:tcPr>
          <w:p>
            <w:pPr>
              <w:jc w:val="right"/>
              <w:ind w:right="54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
        </w:trPr>
        <w:tc>
          <w:tcPr>
            <w:tcW w:w="4840" w:type="dxa"/>
            <w:vAlign w:val="bottom"/>
            <w:tcBorders>
              <w:left w:val="single" w:sz="8" w:color="2D53A6"/>
              <w:bottom w:val="single" w:sz="8" w:color="2D53A6"/>
            </w:tcBorders>
          </w:tcPr>
          <w:p>
            <w:pPr>
              <w:spacing w:after="0"/>
              <w:rPr>
                <w:sz w:val="2"/>
                <w:szCs w:val="2"/>
                <w:color w:val="auto"/>
              </w:rPr>
            </w:pPr>
          </w:p>
        </w:tc>
        <w:tc>
          <w:tcPr>
            <w:tcW w:w="1120" w:type="dxa"/>
            <w:vAlign w:val="bottom"/>
            <w:tcBorders>
              <w:bottom w:val="single" w:sz="8" w:color="2D53A6"/>
              <w:right w:val="single" w:sz="8" w:color="2D53A6"/>
            </w:tcBorders>
          </w:tcPr>
          <w:p>
            <w:pPr>
              <w:spacing w:after="0"/>
              <w:rPr>
                <w:sz w:val="2"/>
                <w:szCs w:val="2"/>
                <w:color w:val="auto"/>
              </w:rPr>
            </w:pPr>
          </w:p>
        </w:tc>
        <w:tc>
          <w:tcPr>
            <w:tcW w:w="1740" w:type="dxa"/>
            <w:vAlign w:val="bottom"/>
            <w:tcBorders>
              <w:bottom w:val="single" w:sz="8" w:color="2D53A6"/>
              <w:right w:val="single" w:sz="8" w:color="2D53A6"/>
            </w:tcBorders>
          </w:tcPr>
          <w:p>
            <w:pPr>
              <w:spacing w:after="0"/>
              <w:rPr>
                <w:sz w:val="2"/>
                <w:szCs w:val="2"/>
                <w:color w:val="auto"/>
              </w:rPr>
            </w:pPr>
          </w:p>
        </w:tc>
        <w:tc>
          <w:tcPr>
            <w:tcW w:w="1780" w:type="dxa"/>
            <w:vAlign w:val="bottom"/>
            <w:tcBorders>
              <w:bottom w:val="single" w:sz="8" w:color="2D53A6"/>
              <w:right w:val="single" w:sz="8" w:color="2D53A6"/>
            </w:tcBorders>
          </w:tcPr>
          <w:p>
            <w:pPr>
              <w:spacing w:after="0"/>
              <w:rPr>
                <w:sz w:val="2"/>
                <w:szCs w:val="2"/>
                <w:color w:val="auto"/>
              </w:rPr>
            </w:pPr>
          </w:p>
        </w:tc>
        <w:tc>
          <w:tcPr>
            <w:tcW w:w="1760" w:type="dxa"/>
            <w:vAlign w:val="bottom"/>
            <w:tcBorders>
              <w:bottom w:val="single" w:sz="8" w:color="2D53A6"/>
              <w:right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840" w:type="dxa"/>
            <w:vAlign w:val="bottom"/>
            <w:tcBorders>
              <w:left w:val="single" w:sz="8" w:color="2D53A6"/>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Jeffrey D. Jones</w:t>
            </w:r>
          </w:p>
        </w:tc>
        <w:tc>
          <w:tcPr>
            <w:tcW w:w="1120" w:type="dxa"/>
            <w:vAlign w:val="bottom"/>
            <w:tcBorders>
              <w:bottom w:val="single" w:sz="8" w:color="E6E6E6"/>
              <w:right w:val="single" w:sz="8" w:color="2D53A6"/>
            </w:tcBorders>
            <w:shd w:val="clear" w:color="auto" w:fill="E6E6E6"/>
          </w:tcPr>
          <w:p>
            <w:pPr>
              <w:spacing w:after="0"/>
              <w:rPr>
                <w:sz w:val="24"/>
                <w:szCs w:val="24"/>
                <w:color w:val="auto"/>
              </w:rPr>
            </w:pPr>
          </w:p>
        </w:tc>
        <w:tc>
          <w:tcPr>
            <w:tcW w:w="1740" w:type="dxa"/>
            <w:vAlign w:val="bottom"/>
            <w:tcBorders>
              <w:bottom w:val="single" w:sz="8" w:color="E6E6E6"/>
              <w:right w:val="single" w:sz="8" w:color="2D53A6"/>
            </w:tcBorders>
            <w:shd w:val="clear" w:color="auto" w:fill="E6E6E6"/>
          </w:tcPr>
          <w:p>
            <w:pPr>
              <w:jc w:val="right"/>
              <w:ind w:right="547"/>
              <w:spacing w:after="0"/>
              <w:rPr>
                <w:sz w:val="20"/>
                <w:szCs w:val="20"/>
                <w:color w:val="auto"/>
              </w:rPr>
            </w:pPr>
            <w:r>
              <w:rPr>
                <w:rFonts w:ascii="Arial" w:cs="Arial" w:eastAsia="Arial" w:hAnsi="Arial"/>
                <w:sz w:val="18"/>
                <w:szCs w:val="18"/>
                <w:color w:val="auto"/>
              </w:rPr>
              <w:t>25%</w:t>
            </w:r>
          </w:p>
        </w:tc>
        <w:tc>
          <w:tcPr>
            <w:tcW w:w="1780" w:type="dxa"/>
            <w:vAlign w:val="bottom"/>
            <w:tcBorders>
              <w:bottom w:val="single" w:sz="8" w:color="E6E6E6"/>
              <w:right w:val="single" w:sz="8" w:color="2D53A6"/>
            </w:tcBorders>
            <w:shd w:val="clear" w:color="auto" w:fill="E6E6E6"/>
          </w:tcPr>
          <w:p>
            <w:pPr>
              <w:jc w:val="right"/>
              <w:ind w:right="567"/>
              <w:spacing w:after="0"/>
              <w:rPr>
                <w:sz w:val="20"/>
                <w:szCs w:val="20"/>
                <w:color w:val="auto"/>
              </w:rPr>
            </w:pPr>
            <w:r>
              <w:rPr>
                <w:rFonts w:ascii="Arial" w:cs="Arial" w:eastAsia="Arial" w:hAnsi="Arial"/>
                <w:sz w:val="18"/>
                <w:szCs w:val="18"/>
                <w:color w:val="auto"/>
              </w:rPr>
              <w:t>25%</w:t>
            </w:r>
          </w:p>
        </w:tc>
        <w:tc>
          <w:tcPr>
            <w:tcW w:w="1760" w:type="dxa"/>
            <w:vAlign w:val="bottom"/>
            <w:tcBorders>
              <w:bottom w:val="single" w:sz="8" w:color="E6E6E6"/>
              <w:right w:val="single" w:sz="8" w:color="2D53A6"/>
            </w:tcBorders>
            <w:shd w:val="clear" w:color="auto" w:fill="E6E6E6"/>
          </w:tcPr>
          <w:p>
            <w:pPr>
              <w:jc w:val="right"/>
              <w:ind w:right="54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4"/>
        </w:trPr>
        <w:tc>
          <w:tcPr>
            <w:tcW w:w="4840" w:type="dxa"/>
            <w:vAlign w:val="bottom"/>
            <w:tcBorders>
              <w:top w:val="single" w:sz="8" w:color="2D53A6"/>
              <w:left w:val="single" w:sz="8" w:color="2D53A6"/>
            </w:tcBorders>
          </w:tcPr>
          <w:p>
            <w:pPr>
              <w:ind w:left="60"/>
              <w:spacing w:after="0"/>
              <w:rPr>
                <w:sz w:val="20"/>
                <w:szCs w:val="20"/>
                <w:color w:val="auto"/>
              </w:rPr>
            </w:pPr>
            <w:r>
              <w:rPr>
                <w:rFonts w:ascii="Arial" w:cs="Arial" w:eastAsia="Arial" w:hAnsi="Arial"/>
                <w:sz w:val="18"/>
                <w:szCs w:val="18"/>
                <w:color w:val="auto"/>
              </w:rPr>
              <w:t>Christopher G. Bohrson</w:t>
            </w:r>
          </w:p>
        </w:tc>
        <w:tc>
          <w:tcPr>
            <w:tcW w:w="1120" w:type="dxa"/>
            <w:vAlign w:val="bottom"/>
            <w:tcBorders>
              <w:top w:val="single" w:sz="8" w:color="2D53A6"/>
              <w:right w:val="single" w:sz="8" w:color="2D53A6"/>
            </w:tcBorders>
          </w:tcPr>
          <w:p>
            <w:pPr>
              <w:spacing w:after="0"/>
              <w:rPr>
                <w:sz w:val="22"/>
                <w:szCs w:val="22"/>
                <w:color w:val="auto"/>
              </w:rPr>
            </w:pPr>
          </w:p>
        </w:tc>
        <w:tc>
          <w:tcPr>
            <w:tcW w:w="1740" w:type="dxa"/>
            <w:vAlign w:val="bottom"/>
            <w:tcBorders>
              <w:top w:val="single" w:sz="8" w:color="2D53A6"/>
              <w:right w:val="single" w:sz="8" w:color="2D53A6"/>
            </w:tcBorders>
          </w:tcPr>
          <w:p>
            <w:pPr>
              <w:jc w:val="right"/>
              <w:ind w:right="547"/>
              <w:spacing w:after="0"/>
              <w:rPr>
                <w:sz w:val="20"/>
                <w:szCs w:val="20"/>
                <w:color w:val="auto"/>
              </w:rPr>
            </w:pPr>
            <w:r>
              <w:rPr>
                <w:rFonts w:ascii="Arial" w:cs="Arial" w:eastAsia="Arial" w:hAnsi="Arial"/>
                <w:sz w:val="18"/>
                <w:szCs w:val="18"/>
                <w:color w:val="auto"/>
              </w:rPr>
              <w:t>25%</w:t>
            </w:r>
          </w:p>
        </w:tc>
        <w:tc>
          <w:tcPr>
            <w:tcW w:w="1780" w:type="dxa"/>
            <w:vAlign w:val="bottom"/>
            <w:tcBorders>
              <w:top w:val="single" w:sz="8" w:color="2D53A6"/>
              <w:right w:val="single" w:sz="8" w:color="2D53A6"/>
            </w:tcBorders>
          </w:tcPr>
          <w:p>
            <w:pPr>
              <w:jc w:val="right"/>
              <w:ind w:right="567"/>
              <w:spacing w:after="0"/>
              <w:rPr>
                <w:sz w:val="20"/>
                <w:szCs w:val="20"/>
                <w:color w:val="auto"/>
              </w:rPr>
            </w:pPr>
            <w:r>
              <w:rPr>
                <w:rFonts w:ascii="Arial" w:cs="Arial" w:eastAsia="Arial" w:hAnsi="Arial"/>
                <w:sz w:val="18"/>
                <w:szCs w:val="18"/>
                <w:color w:val="auto"/>
              </w:rPr>
              <w:t>25%</w:t>
            </w:r>
          </w:p>
        </w:tc>
        <w:tc>
          <w:tcPr>
            <w:tcW w:w="1760" w:type="dxa"/>
            <w:vAlign w:val="bottom"/>
            <w:tcBorders>
              <w:top w:val="single" w:sz="8" w:color="2D53A6"/>
              <w:right w:val="single" w:sz="8" w:color="2D53A6"/>
            </w:tcBorders>
          </w:tcPr>
          <w:p>
            <w:pPr>
              <w:jc w:val="right"/>
              <w:ind w:right="54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
        </w:trPr>
        <w:tc>
          <w:tcPr>
            <w:tcW w:w="4840" w:type="dxa"/>
            <w:vAlign w:val="bottom"/>
            <w:tcBorders>
              <w:left w:val="single" w:sz="8" w:color="2D53A6"/>
              <w:bottom w:val="single" w:sz="8" w:color="2D53A6"/>
            </w:tcBorders>
          </w:tcPr>
          <w:p>
            <w:pPr>
              <w:spacing w:after="0"/>
              <w:rPr>
                <w:sz w:val="2"/>
                <w:szCs w:val="2"/>
                <w:color w:val="auto"/>
              </w:rPr>
            </w:pPr>
          </w:p>
        </w:tc>
        <w:tc>
          <w:tcPr>
            <w:tcW w:w="1120" w:type="dxa"/>
            <w:vAlign w:val="bottom"/>
            <w:tcBorders>
              <w:bottom w:val="single" w:sz="8" w:color="2D53A6"/>
              <w:right w:val="single" w:sz="8" w:color="2D53A6"/>
            </w:tcBorders>
          </w:tcPr>
          <w:p>
            <w:pPr>
              <w:spacing w:after="0"/>
              <w:rPr>
                <w:sz w:val="2"/>
                <w:szCs w:val="2"/>
                <w:color w:val="auto"/>
              </w:rPr>
            </w:pPr>
          </w:p>
        </w:tc>
        <w:tc>
          <w:tcPr>
            <w:tcW w:w="1740" w:type="dxa"/>
            <w:vAlign w:val="bottom"/>
            <w:tcBorders>
              <w:bottom w:val="single" w:sz="8" w:color="2D53A6"/>
              <w:right w:val="single" w:sz="8" w:color="2D53A6"/>
            </w:tcBorders>
          </w:tcPr>
          <w:p>
            <w:pPr>
              <w:spacing w:after="0"/>
              <w:rPr>
                <w:sz w:val="2"/>
                <w:szCs w:val="2"/>
                <w:color w:val="auto"/>
              </w:rPr>
            </w:pPr>
          </w:p>
        </w:tc>
        <w:tc>
          <w:tcPr>
            <w:tcW w:w="1780" w:type="dxa"/>
            <w:vAlign w:val="bottom"/>
            <w:tcBorders>
              <w:bottom w:val="single" w:sz="8" w:color="2D53A6"/>
              <w:right w:val="single" w:sz="8" w:color="2D53A6"/>
            </w:tcBorders>
          </w:tcPr>
          <w:p>
            <w:pPr>
              <w:spacing w:after="0"/>
              <w:rPr>
                <w:sz w:val="2"/>
                <w:szCs w:val="2"/>
                <w:color w:val="auto"/>
              </w:rPr>
            </w:pPr>
          </w:p>
        </w:tc>
        <w:tc>
          <w:tcPr>
            <w:tcW w:w="1760" w:type="dxa"/>
            <w:vAlign w:val="bottom"/>
            <w:tcBorders>
              <w:bottom w:val="single" w:sz="8" w:color="2D53A6"/>
              <w:right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840" w:type="dxa"/>
            <w:vAlign w:val="bottom"/>
            <w:tcBorders>
              <w:left w:val="single" w:sz="8" w:color="2D53A6"/>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Klaus Ilgenfritz</w:t>
            </w:r>
          </w:p>
        </w:tc>
        <w:tc>
          <w:tcPr>
            <w:tcW w:w="1120" w:type="dxa"/>
            <w:vAlign w:val="bottom"/>
            <w:tcBorders>
              <w:bottom w:val="single" w:sz="8" w:color="E6E6E6"/>
              <w:right w:val="single" w:sz="8" w:color="2D53A6"/>
            </w:tcBorders>
            <w:shd w:val="clear" w:color="auto" w:fill="E6E6E6"/>
          </w:tcPr>
          <w:p>
            <w:pPr>
              <w:spacing w:after="0"/>
              <w:rPr>
                <w:sz w:val="24"/>
                <w:szCs w:val="24"/>
                <w:color w:val="auto"/>
              </w:rPr>
            </w:pPr>
          </w:p>
        </w:tc>
        <w:tc>
          <w:tcPr>
            <w:tcW w:w="1740" w:type="dxa"/>
            <w:vAlign w:val="bottom"/>
            <w:tcBorders>
              <w:bottom w:val="single" w:sz="8" w:color="E6E6E6"/>
              <w:right w:val="single" w:sz="8" w:color="2D53A6"/>
            </w:tcBorders>
            <w:shd w:val="clear" w:color="auto" w:fill="E6E6E6"/>
          </w:tcPr>
          <w:p>
            <w:pPr>
              <w:jc w:val="right"/>
              <w:ind w:right="547"/>
              <w:spacing w:after="0"/>
              <w:rPr>
                <w:sz w:val="20"/>
                <w:szCs w:val="20"/>
                <w:color w:val="auto"/>
              </w:rPr>
            </w:pPr>
            <w:r>
              <w:rPr>
                <w:rFonts w:ascii="Arial" w:cs="Arial" w:eastAsia="Arial" w:hAnsi="Arial"/>
                <w:sz w:val="18"/>
                <w:szCs w:val="18"/>
                <w:color w:val="auto"/>
              </w:rPr>
              <w:t>25%</w:t>
            </w:r>
          </w:p>
        </w:tc>
        <w:tc>
          <w:tcPr>
            <w:tcW w:w="1780" w:type="dxa"/>
            <w:vAlign w:val="bottom"/>
            <w:tcBorders>
              <w:bottom w:val="single" w:sz="8" w:color="E6E6E6"/>
              <w:right w:val="single" w:sz="8" w:color="2D53A6"/>
            </w:tcBorders>
            <w:shd w:val="clear" w:color="auto" w:fill="E6E6E6"/>
          </w:tcPr>
          <w:p>
            <w:pPr>
              <w:jc w:val="right"/>
              <w:ind w:right="567"/>
              <w:spacing w:after="0"/>
              <w:rPr>
                <w:sz w:val="20"/>
                <w:szCs w:val="20"/>
                <w:color w:val="auto"/>
              </w:rPr>
            </w:pPr>
            <w:r>
              <w:rPr>
                <w:rFonts w:ascii="Arial" w:cs="Arial" w:eastAsia="Arial" w:hAnsi="Arial"/>
                <w:sz w:val="18"/>
                <w:szCs w:val="18"/>
                <w:color w:val="auto"/>
              </w:rPr>
              <w:t>25%</w:t>
            </w:r>
          </w:p>
        </w:tc>
        <w:tc>
          <w:tcPr>
            <w:tcW w:w="1760" w:type="dxa"/>
            <w:vAlign w:val="bottom"/>
            <w:tcBorders>
              <w:bottom w:val="single" w:sz="8" w:color="E6E6E6"/>
              <w:right w:val="single" w:sz="8" w:color="2D53A6"/>
            </w:tcBorders>
            <w:shd w:val="clear" w:color="auto" w:fill="E6E6E6"/>
          </w:tcPr>
          <w:p>
            <w:pPr>
              <w:jc w:val="right"/>
              <w:ind w:right="54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6"/>
        </w:trPr>
        <w:tc>
          <w:tcPr>
            <w:tcW w:w="4840" w:type="dxa"/>
            <w:vAlign w:val="bottom"/>
            <w:tcBorders>
              <w:top w:val="single" w:sz="8" w:color="2D53A6"/>
            </w:tcBorders>
          </w:tcPr>
          <w:p>
            <w:pPr>
              <w:spacing w:after="0"/>
              <w:rPr>
                <w:sz w:val="24"/>
                <w:szCs w:val="24"/>
                <w:color w:val="auto"/>
              </w:rPr>
            </w:pPr>
          </w:p>
        </w:tc>
        <w:tc>
          <w:tcPr>
            <w:tcW w:w="1120" w:type="dxa"/>
            <w:vAlign w:val="bottom"/>
            <w:tcBorders>
              <w:top w:val="single" w:sz="8" w:color="2D53A6"/>
            </w:tcBorders>
          </w:tcPr>
          <w:p>
            <w:pPr>
              <w:jc w:val="right"/>
              <w:ind w:right="150"/>
              <w:spacing w:after="0"/>
              <w:rPr>
                <w:sz w:val="20"/>
                <w:szCs w:val="20"/>
                <w:color w:val="auto"/>
              </w:rPr>
            </w:pPr>
            <w:r>
              <w:rPr>
                <w:rFonts w:ascii="Arial" w:cs="Arial" w:eastAsia="Arial" w:hAnsi="Arial"/>
                <w:sz w:val="18"/>
                <w:szCs w:val="18"/>
                <w:color w:val="auto"/>
              </w:rPr>
              <w:t>28</w:t>
            </w:r>
          </w:p>
        </w:tc>
        <w:tc>
          <w:tcPr>
            <w:tcW w:w="1740" w:type="dxa"/>
            <w:vAlign w:val="bottom"/>
            <w:tcBorders>
              <w:top w:val="single" w:sz="8" w:color="2D53A6"/>
            </w:tcBorders>
          </w:tcPr>
          <w:p>
            <w:pPr>
              <w:spacing w:after="0"/>
              <w:rPr>
                <w:sz w:val="24"/>
                <w:szCs w:val="24"/>
                <w:color w:val="auto"/>
              </w:rPr>
            </w:pPr>
          </w:p>
        </w:tc>
        <w:tc>
          <w:tcPr>
            <w:tcW w:w="1780" w:type="dxa"/>
            <w:vAlign w:val="bottom"/>
            <w:tcBorders>
              <w:top w:val="single" w:sz="8" w:color="2D53A6"/>
            </w:tcBorders>
          </w:tcPr>
          <w:p>
            <w:pPr>
              <w:spacing w:after="0"/>
              <w:rPr>
                <w:sz w:val="24"/>
                <w:szCs w:val="24"/>
                <w:color w:val="auto"/>
              </w:rPr>
            </w:pPr>
          </w:p>
        </w:tc>
        <w:tc>
          <w:tcPr>
            <w:tcW w:w="1760" w:type="dxa"/>
            <w:vAlign w:val="bottom"/>
            <w:tcBorders>
              <w:top w:val="single" w:sz="8" w:color="2D53A6"/>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8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For the 2025 STI plan, the Compensation Committee determined to increase the combined weighting of the two Sales Growth metrics weighting to 50% to continue to incentivize the delivery of sales growth during an extended soft market and to reallocate the profitability weighting to 50%.</w:t>
      </w:r>
    </w:p>
    <w:p>
      <w:pPr>
        <w:spacing w:after="0" w:line="15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performance measures and their respective weightings were aligned among the executive officers to reflect their shared responsibilities for delivering the targeted performance. The Compensation Committee determined that using our consolidated results for sales and non-GAAP pre-tax income were appropriate for all executive officers given their responsibilities for the overall success of our business. Applicable threshold, target and maximum performance goals as a percentage of attainment of the applicable performance measure as well as the payout levels earned were unchanged from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79"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FFFFFF"/>
        </w:rPr>
        <w:t>2025 STI Performance Measure Targets and Achievement Scale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6040" w:type="dxa"/>
            <w:vAlign w:val="bottom"/>
            <w:tcBorders>
              <w:bottom w:val="single" w:sz="8" w:color="2D53A6"/>
              <w:right w:val="single" w:sz="8" w:color="2D53A6"/>
            </w:tcBorders>
          </w:tcPr>
          <w:p>
            <w:pPr>
              <w:spacing w:after="0"/>
              <w:rPr>
                <w:sz w:val="24"/>
                <w:szCs w:val="24"/>
                <w:color w:val="auto"/>
              </w:rPr>
            </w:pPr>
          </w:p>
        </w:tc>
        <w:tc>
          <w:tcPr>
            <w:tcW w:w="1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8"/>
              </w:rPr>
              <w:t>Threshold</w:t>
            </w:r>
          </w:p>
        </w:tc>
        <w:tc>
          <w:tcPr>
            <w:tcW w:w="1740" w:type="dxa"/>
            <w:vAlign w:val="bottom"/>
            <w:tcBorders>
              <w:bottom w:val="single" w:sz="8" w:color="2D53A6"/>
              <w:right w:val="single" w:sz="8" w:color="2D53A6"/>
            </w:tcBorders>
          </w:tcPr>
          <w:p>
            <w:pPr>
              <w:ind w:left="580"/>
              <w:spacing w:after="0"/>
              <w:rPr>
                <w:sz w:val="20"/>
                <w:szCs w:val="20"/>
                <w:color w:val="auto"/>
              </w:rPr>
            </w:pPr>
            <w:r>
              <w:rPr>
                <w:rFonts w:ascii="Arial" w:cs="Arial" w:eastAsia="Arial" w:hAnsi="Arial"/>
                <w:sz w:val="18"/>
                <w:szCs w:val="18"/>
                <w:b w:val="1"/>
                <w:bCs w:val="1"/>
                <w:color w:val="auto"/>
              </w:rPr>
              <w:t>Target</w:t>
            </w:r>
          </w:p>
        </w:tc>
        <w:tc>
          <w:tcPr>
            <w:tcW w:w="1580" w:type="dxa"/>
            <w:vAlign w:val="bottom"/>
            <w:tcBorders>
              <w:bottom w:val="single" w:sz="8" w:color="2D53A6"/>
            </w:tcBorders>
          </w:tcPr>
          <w:p>
            <w:pPr>
              <w:jc w:val="right"/>
              <w:ind w:right="210"/>
              <w:spacing w:after="0"/>
              <w:rPr>
                <w:sz w:val="20"/>
                <w:szCs w:val="20"/>
                <w:color w:val="auto"/>
              </w:rPr>
            </w:pPr>
            <w:r>
              <w:rPr>
                <w:rFonts w:ascii="Arial" w:cs="Arial" w:eastAsia="Arial" w:hAnsi="Arial"/>
                <w:sz w:val="18"/>
                <w:szCs w:val="18"/>
                <w:b w:val="1"/>
                <w:bCs w:val="1"/>
                <w:color w:val="auto"/>
              </w:rPr>
              <w:t>Maximum</w:t>
            </w:r>
          </w:p>
        </w:tc>
        <w:tc>
          <w:tcPr>
            <w:tcW w:w="140" w:type="dxa"/>
            <w:vAlign w:val="bottom"/>
            <w:tcBorders>
              <w:top w:val="single" w:sz="8" w:color="2D53A6"/>
              <w:bottom w:val="single" w:sz="8" w:color="2D53A6"/>
            </w:tcBorders>
          </w:tcPr>
          <w:p>
            <w:pPr>
              <w:spacing w:after="0"/>
              <w:rPr>
                <w:sz w:val="24"/>
                <w:szCs w:val="24"/>
                <w:color w:val="auto"/>
              </w:rPr>
            </w:pPr>
          </w:p>
        </w:tc>
      </w:tr>
      <w:tr>
        <w:trPr>
          <w:trHeight w:val="277"/>
        </w:trPr>
        <w:tc>
          <w:tcPr>
            <w:tcW w:w="604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color w:val="auto"/>
              </w:rPr>
              <w:t>Performance to 1-Year Sales Growth</w:t>
            </w:r>
          </w:p>
        </w:tc>
        <w:tc>
          <w:tcPr>
            <w:tcW w:w="1740" w:type="dxa"/>
            <w:vAlign w:val="bottom"/>
            <w:tcBorders>
              <w:bottom w:val="single" w:sz="8" w:color="2D53A6"/>
              <w:right w:val="single" w:sz="8" w:color="2D53A6"/>
            </w:tcBorders>
          </w:tcPr>
          <w:p>
            <w:pPr>
              <w:jc w:val="right"/>
              <w:ind w:right="59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color w:val="auto"/>
              </w:rPr>
              <w:t>%</w:t>
            </w:r>
          </w:p>
        </w:tc>
        <w:tc>
          <w:tcPr>
            <w:tcW w:w="1740" w:type="dxa"/>
            <w:vAlign w:val="bottom"/>
            <w:tcBorders>
              <w:bottom w:val="single" w:sz="8" w:color="2D53A6"/>
              <w:right w:val="single" w:sz="8" w:color="2D53A6"/>
            </w:tcBorders>
          </w:tcPr>
          <w:p>
            <w:pPr>
              <w:jc w:val="center"/>
              <w:ind w:left="10"/>
              <w:spacing w:after="0"/>
              <w:rPr>
                <w:sz w:val="20"/>
                <w:szCs w:val="20"/>
                <w:color w:val="auto"/>
              </w:rPr>
            </w:pPr>
            <w:r>
              <w:rPr>
                <w:rFonts w:ascii="Arial" w:cs="Arial" w:eastAsia="Arial" w:hAnsi="Arial"/>
                <w:sz w:val="18"/>
                <w:szCs w:val="18"/>
                <w:b w:val="1"/>
                <w:bCs w:val="1"/>
                <w:color w:val="auto"/>
                <w:w w:val="99"/>
              </w:rPr>
              <w:t>10</w:t>
            </w:r>
            <w:r>
              <w:rPr>
                <w:rFonts w:ascii="Arial" w:cs="Arial" w:eastAsia="Arial" w:hAnsi="Arial"/>
                <w:sz w:val="18"/>
                <w:szCs w:val="18"/>
                <w:color w:val="auto"/>
                <w:w w:val="99"/>
              </w:rPr>
              <w:t>%</w:t>
            </w:r>
          </w:p>
        </w:tc>
        <w:tc>
          <w:tcPr>
            <w:tcW w:w="1580" w:type="dxa"/>
            <w:vAlign w:val="bottom"/>
            <w:tcBorders>
              <w:bottom w:val="single" w:sz="8" w:color="2D53A6"/>
            </w:tcBorders>
          </w:tcPr>
          <w:p>
            <w:pPr>
              <w:jc w:val="center"/>
              <w:ind w:left="50"/>
              <w:spacing w:after="0"/>
              <w:rPr>
                <w:sz w:val="20"/>
                <w:szCs w:val="20"/>
                <w:color w:val="auto"/>
              </w:rPr>
            </w:pPr>
            <w:r>
              <w:rPr>
                <w:rFonts w:ascii="Arial" w:cs="Arial" w:eastAsia="Arial" w:hAnsi="Arial"/>
                <w:sz w:val="18"/>
                <w:szCs w:val="18"/>
                <w:b w:val="1"/>
                <w:bCs w:val="1"/>
                <w:color w:val="auto"/>
              </w:rPr>
              <w:t>&gt; 20%</w:t>
            </w:r>
          </w:p>
        </w:tc>
        <w:tc>
          <w:tcPr>
            <w:tcW w:w="140" w:type="dxa"/>
            <w:vAlign w:val="bottom"/>
            <w:tcBorders>
              <w:bottom w:val="single" w:sz="8" w:color="2D53A6"/>
            </w:tcBorders>
          </w:tcPr>
          <w:p>
            <w:pPr>
              <w:spacing w:after="0"/>
              <w:rPr>
                <w:sz w:val="24"/>
                <w:szCs w:val="24"/>
                <w:color w:val="auto"/>
              </w:rPr>
            </w:pPr>
          </w:p>
        </w:tc>
      </w:tr>
      <w:tr>
        <w:trPr>
          <w:trHeight w:val="288"/>
        </w:trPr>
        <w:tc>
          <w:tcPr>
            <w:tcW w:w="60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Payout Level Earned</w:t>
            </w:r>
          </w:p>
        </w:tc>
        <w:tc>
          <w:tcPr>
            <w:tcW w:w="17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None</w:t>
            </w:r>
          </w:p>
        </w:tc>
        <w:tc>
          <w:tcPr>
            <w:tcW w:w="1740" w:type="dxa"/>
            <w:vAlign w:val="bottom"/>
            <w:tcBorders>
              <w:bottom w:val="single" w:sz="8" w:color="E6E6E6"/>
              <w:right w:val="single" w:sz="8" w:color="2D53A6"/>
            </w:tcBorders>
            <w:shd w:val="clear" w:color="auto" w:fill="E6E6E6"/>
          </w:tcPr>
          <w:p>
            <w:pPr>
              <w:jc w:val="center"/>
              <w:ind w:left="30"/>
              <w:spacing w:after="0"/>
              <w:rPr>
                <w:sz w:val="20"/>
                <w:szCs w:val="20"/>
                <w:color w:val="auto"/>
              </w:rPr>
            </w:pPr>
            <w:r>
              <w:rPr>
                <w:rFonts w:ascii="Arial" w:cs="Arial" w:eastAsia="Arial" w:hAnsi="Arial"/>
                <w:sz w:val="18"/>
                <w:szCs w:val="18"/>
                <w:color w:val="auto"/>
                <w:w w:val="99"/>
              </w:rPr>
              <w:t>100%</w:t>
            </w:r>
          </w:p>
        </w:tc>
        <w:tc>
          <w:tcPr>
            <w:tcW w:w="1580" w:type="dxa"/>
            <w:vAlign w:val="bottom"/>
            <w:tcBorders>
              <w:bottom w:val="single" w:sz="8" w:color="E6E6E6"/>
            </w:tcBorders>
            <w:shd w:val="clear" w:color="auto" w:fill="E6E6E6"/>
          </w:tcPr>
          <w:p>
            <w:pPr>
              <w:jc w:val="right"/>
              <w:ind w:right="330"/>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E6E6E6"/>
            </w:tcBorders>
            <w:shd w:val="clear" w:color="auto" w:fill="E6E6E6"/>
          </w:tcPr>
          <w:p>
            <w:pPr>
              <w:spacing w:after="0"/>
              <w:rPr>
                <w:sz w:val="24"/>
                <w:szCs w:val="24"/>
                <w:color w:val="auto"/>
              </w:rPr>
            </w:pPr>
          </w:p>
        </w:tc>
      </w:tr>
      <w:tr>
        <w:trPr>
          <w:trHeight w:val="271"/>
        </w:trPr>
        <w:tc>
          <w:tcPr>
            <w:tcW w:w="6040" w:type="dxa"/>
            <w:vAlign w:val="bottom"/>
            <w:tcBorders>
              <w:top w:val="single" w:sz="8" w:color="2D53A6"/>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color w:val="auto"/>
              </w:rPr>
              <w:t>Performance to 4-Year Rolling Sales Growth</w:t>
            </w:r>
          </w:p>
        </w:tc>
        <w:tc>
          <w:tcPr>
            <w:tcW w:w="1740" w:type="dxa"/>
            <w:vAlign w:val="bottom"/>
            <w:tcBorders>
              <w:top w:val="single" w:sz="8" w:color="2D53A6"/>
              <w:bottom w:val="single" w:sz="8" w:color="2D53A6"/>
              <w:right w:val="single" w:sz="8" w:color="2D53A6"/>
            </w:tcBorders>
          </w:tcPr>
          <w:p>
            <w:pPr>
              <w:jc w:val="right"/>
              <w:ind w:right="59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color w:val="auto"/>
              </w:rPr>
              <w:t>%</w:t>
            </w:r>
          </w:p>
        </w:tc>
        <w:tc>
          <w:tcPr>
            <w:tcW w:w="1740" w:type="dxa"/>
            <w:vAlign w:val="bottom"/>
            <w:tcBorders>
              <w:top w:val="single" w:sz="8" w:color="2D53A6"/>
              <w:bottom w:val="single" w:sz="8" w:color="2D53A6"/>
              <w:right w:val="single" w:sz="8" w:color="2D53A6"/>
            </w:tcBorders>
          </w:tcPr>
          <w:p>
            <w:pPr>
              <w:jc w:val="center"/>
              <w:ind w:left="30"/>
              <w:spacing w:after="0"/>
              <w:rPr>
                <w:sz w:val="20"/>
                <w:szCs w:val="20"/>
                <w:color w:val="auto"/>
              </w:rPr>
            </w:pPr>
            <w:r>
              <w:rPr>
                <w:rFonts w:ascii="Arial" w:cs="Arial" w:eastAsia="Arial" w:hAnsi="Arial"/>
                <w:sz w:val="18"/>
                <w:szCs w:val="18"/>
                <w:b w:val="1"/>
                <w:bCs w:val="1"/>
                <w:color w:val="auto"/>
                <w:w w:val="99"/>
              </w:rPr>
              <w:t>5</w:t>
            </w:r>
            <w:r>
              <w:rPr>
                <w:rFonts w:ascii="Arial" w:cs="Arial" w:eastAsia="Arial" w:hAnsi="Arial"/>
                <w:sz w:val="18"/>
                <w:szCs w:val="18"/>
                <w:color w:val="auto"/>
                <w:w w:val="99"/>
              </w:rPr>
              <w:t>%</w:t>
            </w:r>
          </w:p>
        </w:tc>
        <w:tc>
          <w:tcPr>
            <w:tcW w:w="1580" w:type="dxa"/>
            <w:vAlign w:val="bottom"/>
            <w:tcBorders>
              <w:top w:val="single" w:sz="8" w:color="2D53A6"/>
              <w:bottom w:val="single" w:sz="8" w:color="2D53A6"/>
            </w:tcBorders>
          </w:tcPr>
          <w:p>
            <w:pPr>
              <w:jc w:val="center"/>
              <w:ind w:left="50"/>
              <w:spacing w:after="0"/>
              <w:rPr>
                <w:sz w:val="20"/>
                <w:szCs w:val="20"/>
                <w:color w:val="auto"/>
              </w:rPr>
            </w:pPr>
            <w:r>
              <w:rPr>
                <w:rFonts w:ascii="Arial" w:cs="Arial" w:eastAsia="Arial" w:hAnsi="Arial"/>
                <w:sz w:val="18"/>
                <w:szCs w:val="18"/>
                <w:b w:val="1"/>
                <w:bCs w:val="1"/>
                <w:color w:val="auto"/>
              </w:rPr>
              <w:t>&gt; 10%</w:t>
            </w:r>
          </w:p>
        </w:tc>
        <w:tc>
          <w:tcPr>
            <w:tcW w:w="140" w:type="dxa"/>
            <w:vAlign w:val="bottom"/>
            <w:tcBorders>
              <w:top w:val="single" w:sz="8" w:color="2D53A6"/>
              <w:bottom w:val="single" w:sz="8" w:color="2D53A6"/>
            </w:tcBorders>
          </w:tcPr>
          <w:p>
            <w:pPr>
              <w:spacing w:after="0"/>
              <w:rPr>
                <w:sz w:val="23"/>
                <w:szCs w:val="23"/>
                <w:color w:val="auto"/>
              </w:rPr>
            </w:pPr>
          </w:p>
        </w:tc>
      </w:tr>
      <w:tr>
        <w:trPr>
          <w:trHeight w:val="288"/>
        </w:trPr>
        <w:tc>
          <w:tcPr>
            <w:tcW w:w="60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Payout Level Earned</w:t>
            </w:r>
          </w:p>
        </w:tc>
        <w:tc>
          <w:tcPr>
            <w:tcW w:w="17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None</w:t>
            </w:r>
          </w:p>
        </w:tc>
        <w:tc>
          <w:tcPr>
            <w:tcW w:w="1740" w:type="dxa"/>
            <w:vAlign w:val="bottom"/>
            <w:tcBorders>
              <w:bottom w:val="single" w:sz="8" w:color="E6E6E6"/>
              <w:right w:val="single" w:sz="8" w:color="2D53A6"/>
            </w:tcBorders>
            <w:shd w:val="clear" w:color="auto" w:fill="E6E6E6"/>
          </w:tcPr>
          <w:p>
            <w:pPr>
              <w:jc w:val="center"/>
              <w:ind w:left="30"/>
              <w:spacing w:after="0"/>
              <w:rPr>
                <w:sz w:val="20"/>
                <w:szCs w:val="20"/>
                <w:color w:val="auto"/>
              </w:rPr>
            </w:pPr>
            <w:r>
              <w:rPr>
                <w:rFonts w:ascii="Arial" w:cs="Arial" w:eastAsia="Arial" w:hAnsi="Arial"/>
                <w:sz w:val="18"/>
                <w:szCs w:val="18"/>
                <w:color w:val="auto"/>
                <w:w w:val="99"/>
              </w:rPr>
              <w:t>100%</w:t>
            </w:r>
          </w:p>
        </w:tc>
        <w:tc>
          <w:tcPr>
            <w:tcW w:w="1580" w:type="dxa"/>
            <w:vAlign w:val="bottom"/>
            <w:tcBorders>
              <w:bottom w:val="single" w:sz="8" w:color="E6E6E6"/>
            </w:tcBorders>
            <w:shd w:val="clear" w:color="auto" w:fill="E6E6E6"/>
          </w:tcPr>
          <w:p>
            <w:pPr>
              <w:jc w:val="right"/>
              <w:ind w:right="330"/>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E6E6E6"/>
            </w:tcBorders>
            <w:shd w:val="clear" w:color="auto" w:fill="E6E6E6"/>
          </w:tcPr>
          <w:p>
            <w:pPr>
              <w:spacing w:after="0"/>
              <w:rPr>
                <w:sz w:val="24"/>
                <w:szCs w:val="24"/>
                <w:color w:val="auto"/>
              </w:rPr>
            </w:pPr>
          </w:p>
        </w:tc>
      </w:tr>
      <w:tr>
        <w:trPr>
          <w:trHeight w:val="271"/>
        </w:trPr>
        <w:tc>
          <w:tcPr>
            <w:tcW w:w="6040" w:type="dxa"/>
            <w:vAlign w:val="bottom"/>
            <w:tcBorders>
              <w:top w:val="single" w:sz="8" w:color="2D53A6"/>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color w:val="auto"/>
              </w:rPr>
              <w:t>Performance to Non-GAAP Pre-tax Income</w:t>
            </w:r>
          </w:p>
        </w:tc>
        <w:tc>
          <w:tcPr>
            <w:tcW w:w="1740" w:type="dxa"/>
            <w:vAlign w:val="bottom"/>
            <w:tcBorders>
              <w:top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rPr>
              <w:t>&lt; 5%</w:t>
            </w:r>
          </w:p>
        </w:tc>
        <w:tc>
          <w:tcPr>
            <w:tcW w:w="1740" w:type="dxa"/>
            <w:vAlign w:val="bottom"/>
            <w:tcBorders>
              <w:top w:val="single" w:sz="8" w:color="2D53A6"/>
              <w:bottom w:val="single" w:sz="8" w:color="2D53A6"/>
              <w:right w:val="single" w:sz="8" w:color="2D53A6"/>
            </w:tcBorders>
          </w:tcPr>
          <w:p>
            <w:pPr>
              <w:jc w:val="center"/>
              <w:ind w:left="10"/>
              <w:spacing w:after="0"/>
              <w:rPr>
                <w:sz w:val="20"/>
                <w:szCs w:val="20"/>
                <w:color w:val="auto"/>
              </w:rPr>
            </w:pPr>
            <w:r>
              <w:rPr>
                <w:rFonts w:ascii="Arial" w:cs="Arial" w:eastAsia="Arial" w:hAnsi="Arial"/>
                <w:sz w:val="18"/>
                <w:szCs w:val="18"/>
                <w:b w:val="1"/>
                <w:bCs w:val="1"/>
                <w:color w:val="auto"/>
                <w:w w:val="99"/>
              </w:rPr>
              <w:t>15</w:t>
            </w:r>
            <w:r>
              <w:rPr>
                <w:rFonts w:ascii="Arial" w:cs="Arial" w:eastAsia="Arial" w:hAnsi="Arial"/>
                <w:sz w:val="18"/>
                <w:szCs w:val="18"/>
                <w:color w:val="auto"/>
                <w:w w:val="99"/>
              </w:rPr>
              <w:t>%</w:t>
            </w:r>
          </w:p>
        </w:tc>
        <w:tc>
          <w:tcPr>
            <w:tcW w:w="1580" w:type="dxa"/>
            <w:vAlign w:val="bottom"/>
            <w:tcBorders>
              <w:top w:val="single" w:sz="8" w:color="2D53A6"/>
              <w:bottom w:val="single" w:sz="8" w:color="2D53A6"/>
            </w:tcBorders>
          </w:tcPr>
          <w:p>
            <w:pPr>
              <w:jc w:val="center"/>
              <w:ind w:left="30"/>
              <w:spacing w:after="0"/>
              <w:rPr>
                <w:sz w:val="20"/>
                <w:szCs w:val="20"/>
                <w:color w:val="auto"/>
              </w:rPr>
            </w:pPr>
            <w:r>
              <w:rPr>
                <w:rFonts w:ascii="Arial" w:cs="Arial" w:eastAsia="Arial" w:hAnsi="Arial"/>
                <w:sz w:val="18"/>
                <w:szCs w:val="18"/>
                <w:b w:val="1"/>
                <w:bCs w:val="1"/>
                <w:color w:val="auto"/>
                <w:w w:val="99"/>
              </w:rPr>
              <w:t>&gt; 22.5%</w:t>
            </w:r>
          </w:p>
        </w:tc>
        <w:tc>
          <w:tcPr>
            <w:tcW w:w="140" w:type="dxa"/>
            <w:vAlign w:val="bottom"/>
            <w:tcBorders>
              <w:top w:val="single" w:sz="8" w:color="2D53A6"/>
              <w:bottom w:val="single" w:sz="8" w:color="2D53A6"/>
            </w:tcBorders>
          </w:tcPr>
          <w:p>
            <w:pPr>
              <w:spacing w:after="0"/>
              <w:rPr>
                <w:sz w:val="23"/>
                <w:szCs w:val="23"/>
                <w:color w:val="auto"/>
              </w:rPr>
            </w:pPr>
          </w:p>
        </w:tc>
      </w:tr>
      <w:tr>
        <w:trPr>
          <w:trHeight w:val="263"/>
        </w:trPr>
        <w:tc>
          <w:tcPr>
            <w:tcW w:w="60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Payout Level Earned</w:t>
            </w:r>
          </w:p>
        </w:tc>
        <w:tc>
          <w:tcPr>
            <w:tcW w:w="17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None</w:t>
            </w:r>
          </w:p>
        </w:tc>
        <w:tc>
          <w:tcPr>
            <w:tcW w:w="1740" w:type="dxa"/>
            <w:vAlign w:val="bottom"/>
            <w:tcBorders>
              <w:bottom w:val="single" w:sz="8" w:color="E6E6E6"/>
              <w:right w:val="single" w:sz="8" w:color="2D53A6"/>
            </w:tcBorders>
            <w:shd w:val="clear" w:color="auto" w:fill="E6E6E6"/>
          </w:tcPr>
          <w:p>
            <w:pPr>
              <w:jc w:val="center"/>
              <w:ind w:left="30"/>
              <w:spacing w:after="0"/>
              <w:rPr>
                <w:sz w:val="20"/>
                <w:szCs w:val="20"/>
                <w:color w:val="auto"/>
              </w:rPr>
            </w:pPr>
            <w:r>
              <w:rPr>
                <w:rFonts w:ascii="Arial" w:cs="Arial" w:eastAsia="Arial" w:hAnsi="Arial"/>
                <w:sz w:val="18"/>
                <w:szCs w:val="18"/>
                <w:color w:val="auto"/>
                <w:w w:val="99"/>
              </w:rPr>
              <w:t>100%</w:t>
            </w:r>
          </w:p>
        </w:tc>
        <w:tc>
          <w:tcPr>
            <w:tcW w:w="1580" w:type="dxa"/>
            <w:vAlign w:val="bottom"/>
            <w:tcBorders>
              <w:bottom w:val="single" w:sz="8" w:color="E6E6E6"/>
            </w:tcBorders>
            <w:shd w:val="clear" w:color="auto" w:fill="E6E6E6"/>
          </w:tcPr>
          <w:p>
            <w:pPr>
              <w:jc w:val="right"/>
              <w:ind w:right="330"/>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E6E6E6"/>
            </w:tcBorders>
            <w:shd w:val="clear" w:color="auto" w:fill="E6E6E6"/>
          </w:tcPr>
          <w:p>
            <w:pPr>
              <w:spacing w:after="0"/>
              <w:rPr>
                <w:sz w:val="22"/>
                <w:szCs w:val="22"/>
                <w:color w:val="auto"/>
              </w:rPr>
            </w:pPr>
          </w:p>
        </w:tc>
      </w:tr>
      <w:tr>
        <w:trPr>
          <w:trHeight w:val="20"/>
        </w:trPr>
        <w:tc>
          <w:tcPr>
            <w:tcW w:w="6040" w:type="dxa"/>
            <w:vAlign w:val="bottom"/>
            <w:tcBorders>
              <w:right w:val="single" w:sz="8" w:color="2D53A6"/>
            </w:tcBorders>
            <w:shd w:val="clear" w:color="auto" w:fill="2D53A6"/>
          </w:tcPr>
          <w:p>
            <w:pPr>
              <w:spacing w:after="0" w:line="20" w:lineRule="exact"/>
              <w:rPr>
                <w:sz w:val="1"/>
                <w:szCs w:val="1"/>
                <w:color w:val="auto"/>
              </w:rPr>
            </w:pPr>
          </w:p>
        </w:tc>
        <w:tc>
          <w:tcPr>
            <w:tcW w:w="1740" w:type="dxa"/>
            <w:vAlign w:val="bottom"/>
            <w:tcBorders>
              <w:right w:val="single" w:sz="8" w:color="2D53A6"/>
            </w:tcBorders>
            <w:shd w:val="clear" w:color="auto" w:fill="2D53A6"/>
          </w:tcPr>
          <w:p>
            <w:pPr>
              <w:spacing w:after="0" w:line="20" w:lineRule="exact"/>
              <w:rPr>
                <w:sz w:val="1"/>
                <w:szCs w:val="1"/>
                <w:color w:val="auto"/>
              </w:rPr>
            </w:pPr>
          </w:p>
        </w:tc>
        <w:tc>
          <w:tcPr>
            <w:tcW w:w="1740" w:type="dxa"/>
            <w:vAlign w:val="bottom"/>
            <w:tcBorders>
              <w:right w:val="single" w:sz="8" w:color="2D53A6"/>
            </w:tcBorders>
            <w:shd w:val="clear" w:color="auto" w:fill="2D53A6"/>
          </w:tcPr>
          <w:p>
            <w:pPr>
              <w:spacing w:after="0" w:line="20" w:lineRule="exact"/>
              <w:rPr>
                <w:sz w:val="1"/>
                <w:szCs w:val="1"/>
                <w:color w:val="auto"/>
              </w:rPr>
            </w:pPr>
          </w:p>
        </w:tc>
        <w:tc>
          <w:tcPr>
            <w:tcW w:w="1580" w:type="dxa"/>
            <w:vAlign w:val="bottom"/>
            <w:shd w:val="clear" w:color="auto" w:fill="2D53A6"/>
          </w:tcPr>
          <w:p>
            <w:pPr>
              <w:spacing w:after="0" w:line="20" w:lineRule="exact"/>
              <w:rPr>
                <w:sz w:val="1"/>
                <w:szCs w:val="1"/>
                <w:color w:val="auto"/>
              </w:rPr>
            </w:pPr>
          </w:p>
        </w:tc>
        <w:tc>
          <w:tcPr>
            <w:tcW w:w="140" w:type="dxa"/>
            <w:vAlign w:val="bottom"/>
            <w:shd w:val="clear" w:color="auto" w:fill="2D53A6"/>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Measure Target Levels</w:t>
      </w:r>
    </w:p>
    <w:p>
      <w:pPr>
        <w:spacing w:after="0" w:line="198"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With respect to the target levels for sales growth, the Compensation Committee believed that, at the time the target level for each performance measure was set, these target levels would be challenging and difficult, but achievable under normal business conditions with significant effort and skill, and strong execution. For 2025, the Compensation Committee expected that these target levels would be difficult to achieve because they would require delivery of results in uncertain market conditions (including the extended market downturn and inflationary pressure on costs), adroitly executing our business strategy, the development and acceptance by customers of new products, and successful entry into certain new markets in a highly competitive and volatile environment.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Short-Term Incentive Plan Decisions</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Following the end of 2025, the Compensation Committee compared our actual financial performance to the target performance levels established for the year and applied the incentive formula under the 2025 STI to our actual performance and determined to payout at a level of 31.8% for each of our NEOs.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actual financial performance attained and resulting payout levels for our NEOs for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2211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spacing w:after="0" w:line="21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FFFFFF"/>
        </w:rPr>
        <w:t>Actual Achievement of 2025 STI Performance Measures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80" w:type="dxa"/>
            <w:vAlign w:val="bottom"/>
          </w:tcPr>
          <w:p>
            <w:pPr>
              <w:spacing w:after="0"/>
              <w:rPr>
                <w:sz w:val="19"/>
                <w:szCs w:val="19"/>
                <w:color w:val="auto"/>
              </w:rPr>
            </w:pPr>
          </w:p>
        </w:tc>
        <w:tc>
          <w:tcPr>
            <w:tcW w:w="2500" w:type="dxa"/>
            <w:vAlign w:val="bottom"/>
            <w:tcBorders>
              <w:right w:val="single" w:sz="8" w:color="2D53A6"/>
            </w:tcBorders>
          </w:tcPr>
          <w:p>
            <w:pPr>
              <w:spacing w:after="0"/>
              <w:rPr>
                <w:sz w:val="19"/>
                <w:szCs w:val="19"/>
                <w:color w:val="auto"/>
              </w:rPr>
            </w:pPr>
          </w:p>
        </w:tc>
        <w:tc>
          <w:tcPr>
            <w:tcW w:w="1420" w:type="dxa"/>
            <w:vAlign w:val="bottom"/>
            <w:tcBorders>
              <w:right w:val="single" w:sz="8" w:color="2D53A6"/>
            </w:tcBorders>
          </w:tcPr>
          <w:p>
            <w:pPr>
              <w:spacing w:after="0"/>
              <w:rPr>
                <w:sz w:val="19"/>
                <w:szCs w:val="19"/>
                <w:color w:val="auto"/>
              </w:rPr>
            </w:pPr>
          </w:p>
        </w:tc>
        <w:tc>
          <w:tcPr>
            <w:tcW w:w="1420" w:type="dxa"/>
            <w:vAlign w:val="bottom"/>
            <w:tcBorders>
              <w:right w:val="single" w:sz="8" w:color="2D53A6"/>
            </w:tcBorders>
          </w:tcPr>
          <w:p>
            <w:pPr>
              <w:spacing w:after="0"/>
              <w:rPr>
                <w:sz w:val="19"/>
                <w:szCs w:val="19"/>
                <w:color w:val="auto"/>
              </w:rPr>
            </w:pPr>
          </w:p>
        </w:tc>
        <w:tc>
          <w:tcPr>
            <w:tcW w:w="1400" w:type="dxa"/>
            <w:vAlign w:val="bottom"/>
            <w:tcBorders>
              <w:right w:val="single" w:sz="8" w:color="2D53A6"/>
            </w:tcBorders>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6"/>
              </w:rPr>
              <w:t>Mr.</w:t>
            </w:r>
          </w:p>
        </w:tc>
      </w:tr>
      <w:tr>
        <w:trPr>
          <w:trHeight w:val="255"/>
        </w:trPr>
        <w:tc>
          <w:tcPr>
            <w:tcW w:w="3080" w:type="dxa"/>
            <w:vAlign w:val="bottom"/>
            <w:tcBorders>
              <w:bottom w:val="single" w:sz="8" w:color="2D53A6"/>
            </w:tcBorders>
          </w:tcPr>
          <w:p>
            <w:pPr>
              <w:spacing w:after="0"/>
              <w:rPr>
                <w:sz w:val="22"/>
                <w:szCs w:val="22"/>
                <w:color w:val="auto"/>
              </w:rPr>
            </w:pPr>
          </w:p>
        </w:tc>
        <w:tc>
          <w:tcPr>
            <w:tcW w:w="2500" w:type="dxa"/>
            <w:vAlign w:val="bottom"/>
            <w:tcBorders>
              <w:bottom w:val="single" w:sz="8" w:color="2D53A6"/>
              <w:right w:val="single" w:sz="8" w:color="2D53A6"/>
            </w:tcBorders>
          </w:tcPr>
          <w:p>
            <w:pPr>
              <w:spacing w:after="0"/>
              <w:rPr>
                <w:sz w:val="22"/>
                <w:szCs w:val="22"/>
                <w:color w:val="auto"/>
              </w:rPr>
            </w:pPr>
          </w:p>
        </w:tc>
        <w:tc>
          <w:tcPr>
            <w:tcW w:w="1420" w:type="dxa"/>
            <w:vAlign w:val="bottom"/>
            <w:tcBorders>
              <w:bottom w:val="single" w:sz="8" w:color="2D53A6"/>
              <w:right w:val="single" w:sz="8" w:color="2D53A6"/>
            </w:tcBorders>
          </w:tcPr>
          <w:p>
            <w:pPr>
              <w:ind w:left="280"/>
              <w:spacing w:after="0"/>
              <w:rPr>
                <w:sz w:val="20"/>
                <w:szCs w:val="20"/>
                <w:color w:val="auto"/>
              </w:rPr>
            </w:pPr>
            <w:r>
              <w:rPr>
                <w:rFonts w:ascii="Arial" w:cs="Arial" w:eastAsia="Arial" w:hAnsi="Arial"/>
                <w:sz w:val="18"/>
                <w:szCs w:val="18"/>
                <w:b w:val="1"/>
                <w:bCs w:val="1"/>
                <w:color w:val="auto"/>
              </w:rPr>
              <w:t>Dr. Müller</w:t>
            </w:r>
          </w:p>
        </w:tc>
        <w:tc>
          <w:tcPr>
            <w:tcW w:w="1420" w:type="dxa"/>
            <w:vAlign w:val="bottom"/>
            <w:tcBorders>
              <w:bottom w:val="single" w:sz="8" w:color="2D53A6"/>
              <w:right w:val="single" w:sz="8" w:color="2D53A6"/>
            </w:tcBorders>
          </w:tcPr>
          <w:p>
            <w:pPr>
              <w:ind w:left="280"/>
              <w:spacing w:after="0"/>
              <w:rPr>
                <w:sz w:val="20"/>
                <w:szCs w:val="20"/>
                <w:color w:val="auto"/>
              </w:rPr>
            </w:pPr>
            <w:r>
              <w:rPr>
                <w:rFonts w:ascii="Arial" w:cs="Arial" w:eastAsia="Arial" w:hAnsi="Arial"/>
                <w:sz w:val="18"/>
                <w:szCs w:val="18"/>
                <w:b w:val="1"/>
                <w:bCs w:val="1"/>
                <w:color w:val="auto"/>
              </w:rPr>
              <w:t>Mr. Jones</w:t>
            </w:r>
          </w:p>
        </w:tc>
        <w:tc>
          <w:tcPr>
            <w:tcW w:w="140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b w:val="1"/>
                <w:bCs w:val="1"/>
                <w:color w:val="auto"/>
              </w:rPr>
              <w:t>Mr. Bohrson</w:t>
            </w:r>
          </w:p>
        </w:tc>
        <w:tc>
          <w:tcPr>
            <w:tcW w:w="14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b w:val="1"/>
                <w:bCs w:val="1"/>
                <w:color w:val="auto"/>
              </w:rPr>
              <w:t>Ilgenfritz</w:t>
            </w:r>
          </w:p>
        </w:tc>
      </w:tr>
      <w:tr>
        <w:trPr>
          <w:trHeight w:val="261"/>
        </w:trPr>
        <w:tc>
          <w:tcPr>
            <w:tcW w:w="3080" w:type="dxa"/>
            <w:vAlign w:val="bottom"/>
          </w:tcPr>
          <w:p>
            <w:pPr>
              <w:ind w:left="40"/>
              <w:spacing w:after="0"/>
              <w:rPr>
                <w:sz w:val="20"/>
                <w:szCs w:val="20"/>
                <w:color w:val="auto"/>
              </w:rPr>
            </w:pPr>
            <w:r>
              <w:rPr>
                <w:rFonts w:ascii="Arial" w:cs="Arial" w:eastAsia="Arial" w:hAnsi="Arial"/>
                <w:sz w:val="18"/>
                <w:szCs w:val="18"/>
                <w:color w:val="auto"/>
              </w:rPr>
              <w:t>1-Year Sales Growth</w:t>
            </w:r>
            <w:r>
              <w:rPr>
                <w:rFonts w:ascii="Arial" w:cs="Arial" w:eastAsia="Arial" w:hAnsi="Arial"/>
                <w:sz w:val="14"/>
                <w:szCs w:val="14"/>
                <w:color w:val="auto"/>
              </w:rPr>
              <w:t>(1)</w:t>
            </w:r>
          </w:p>
        </w:tc>
        <w:tc>
          <w:tcPr>
            <w:tcW w:w="2500" w:type="dxa"/>
            <w:vAlign w:val="bottom"/>
            <w:tcBorders>
              <w:right w:val="single" w:sz="8" w:color="2D53A6"/>
            </w:tcBorders>
          </w:tcPr>
          <w:p>
            <w:pPr>
              <w:spacing w:after="0"/>
              <w:rPr>
                <w:sz w:val="22"/>
                <w:szCs w:val="22"/>
                <w:color w:val="auto"/>
              </w:rPr>
            </w:pP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12.7%</w:t>
            </w: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12.7%</w:t>
            </w:r>
          </w:p>
        </w:tc>
        <w:tc>
          <w:tcPr>
            <w:tcW w:w="140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7"/>
              </w:rPr>
              <w:t>12.7%</w:t>
            </w: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7"/>
              </w:rPr>
              <w:t>12.7%</w:t>
            </w:r>
          </w:p>
        </w:tc>
      </w:tr>
      <w:tr>
        <w:trPr>
          <w:trHeight w:val="23"/>
        </w:trPr>
        <w:tc>
          <w:tcPr>
            <w:tcW w:w="3080" w:type="dxa"/>
            <w:vAlign w:val="bottom"/>
            <w:tcBorders>
              <w:bottom w:val="single" w:sz="8" w:color="2D53A6"/>
            </w:tcBorders>
          </w:tcPr>
          <w:p>
            <w:pPr>
              <w:spacing w:after="0"/>
              <w:rPr>
                <w:sz w:val="2"/>
                <w:szCs w:val="2"/>
                <w:color w:val="auto"/>
              </w:rPr>
            </w:pPr>
          </w:p>
        </w:tc>
        <w:tc>
          <w:tcPr>
            <w:tcW w:w="25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tcBorders>
          </w:tcPr>
          <w:p>
            <w:pPr>
              <w:spacing w:after="0"/>
              <w:rPr>
                <w:sz w:val="2"/>
                <w:szCs w:val="2"/>
                <w:color w:val="auto"/>
              </w:rPr>
            </w:pPr>
          </w:p>
        </w:tc>
      </w:tr>
      <w:tr>
        <w:trPr>
          <w:trHeight w:val="254"/>
        </w:trPr>
        <w:tc>
          <w:tcPr>
            <w:tcW w:w="3080" w:type="dxa"/>
            <w:vAlign w:val="bottom"/>
          </w:tcPr>
          <w:p>
            <w:pPr>
              <w:ind w:left="40"/>
              <w:spacing w:after="0"/>
              <w:rPr>
                <w:sz w:val="20"/>
                <w:szCs w:val="20"/>
                <w:color w:val="auto"/>
              </w:rPr>
            </w:pPr>
            <w:r>
              <w:rPr>
                <w:rFonts w:ascii="Arial" w:cs="Arial" w:eastAsia="Arial" w:hAnsi="Arial"/>
                <w:sz w:val="18"/>
                <w:szCs w:val="18"/>
                <w:color w:val="auto"/>
              </w:rPr>
              <w:t>Goal Payout %</w:t>
            </w:r>
            <w:r>
              <w:rPr>
                <w:rFonts w:ascii="Arial" w:cs="Arial" w:eastAsia="Arial" w:hAnsi="Arial"/>
                <w:sz w:val="14"/>
                <w:szCs w:val="14"/>
                <w:color w:val="auto"/>
              </w:rPr>
              <w:t>(2)</w:t>
            </w:r>
          </w:p>
        </w:tc>
        <w:tc>
          <w:tcPr>
            <w:tcW w:w="2500" w:type="dxa"/>
            <w:vAlign w:val="bottom"/>
            <w:tcBorders>
              <w:right w:val="single" w:sz="8" w:color="2D53A6"/>
            </w:tcBorders>
          </w:tcPr>
          <w:p>
            <w:pPr>
              <w:spacing w:after="0"/>
              <w:rPr>
                <w:sz w:val="22"/>
                <w:szCs w:val="22"/>
                <w:color w:val="auto"/>
              </w:rPr>
            </w:pP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8"/>
              </w:rPr>
              <w:t>127.3%</w:t>
            </w: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8"/>
              </w:rPr>
              <w:t>127.3%</w:t>
            </w:r>
          </w:p>
        </w:tc>
        <w:tc>
          <w:tcPr>
            <w:tcW w:w="140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127.3%</w:t>
            </w:r>
          </w:p>
        </w:tc>
        <w:tc>
          <w:tcPr>
            <w:tcW w:w="1420" w:type="dxa"/>
            <w:vAlign w:val="bottom"/>
          </w:tcPr>
          <w:p>
            <w:pPr>
              <w:jc w:val="center"/>
              <w:ind w:left="30"/>
              <w:spacing w:after="0"/>
              <w:rPr>
                <w:sz w:val="20"/>
                <w:szCs w:val="20"/>
                <w:color w:val="auto"/>
              </w:rPr>
            </w:pPr>
            <w:r>
              <w:rPr>
                <w:rFonts w:ascii="Arial" w:cs="Arial" w:eastAsia="Arial" w:hAnsi="Arial"/>
                <w:sz w:val="18"/>
                <w:szCs w:val="18"/>
                <w:color w:val="auto"/>
              </w:rPr>
              <w:t>127.3%</w:t>
            </w:r>
          </w:p>
        </w:tc>
      </w:tr>
      <w:tr>
        <w:trPr>
          <w:trHeight w:val="23"/>
        </w:trPr>
        <w:tc>
          <w:tcPr>
            <w:tcW w:w="3080" w:type="dxa"/>
            <w:vAlign w:val="bottom"/>
            <w:tcBorders>
              <w:bottom w:val="single" w:sz="8" w:color="2D53A6"/>
            </w:tcBorders>
          </w:tcPr>
          <w:p>
            <w:pPr>
              <w:spacing w:after="0"/>
              <w:rPr>
                <w:sz w:val="2"/>
                <w:szCs w:val="2"/>
                <w:color w:val="auto"/>
              </w:rPr>
            </w:pPr>
          </w:p>
        </w:tc>
        <w:tc>
          <w:tcPr>
            <w:tcW w:w="25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tcBorders>
          </w:tcPr>
          <w:p>
            <w:pPr>
              <w:spacing w:after="0"/>
              <w:rPr>
                <w:sz w:val="2"/>
                <w:szCs w:val="2"/>
                <w:color w:val="auto"/>
              </w:rPr>
            </w:pPr>
          </w:p>
        </w:tc>
      </w:tr>
      <w:tr>
        <w:trPr>
          <w:trHeight w:val="254"/>
        </w:trPr>
        <w:tc>
          <w:tcPr>
            <w:tcW w:w="3080" w:type="dxa"/>
            <w:vAlign w:val="bottom"/>
          </w:tcPr>
          <w:p>
            <w:pPr>
              <w:ind w:left="40"/>
              <w:spacing w:after="0"/>
              <w:rPr>
                <w:sz w:val="20"/>
                <w:szCs w:val="20"/>
                <w:color w:val="auto"/>
              </w:rPr>
            </w:pPr>
            <w:r>
              <w:rPr>
                <w:rFonts w:ascii="Arial" w:cs="Arial" w:eastAsia="Arial" w:hAnsi="Arial"/>
                <w:sz w:val="18"/>
                <w:szCs w:val="18"/>
                <w:color w:val="auto"/>
              </w:rPr>
              <w:t>4-year Rolling Sales Growth</w:t>
            </w:r>
            <w:r>
              <w:rPr>
                <w:rFonts w:ascii="Arial" w:cs="Arial" w:eastAsia="Arial" w:hAnsi="Arial"/>
                <w:sz w:val="14"/>
                <w:szCs w:val="14"/>
                <w:color w:val="auto"/>
              </w:rPr>
              <w:t>(3)</w:t>
            </w:r>
          </w:p>
        </w:tc>
        <w:tc>
          <w:tcPr>
            <w:tcW w:w="2500" w:type="dxa"/>
            <w:vAlign w:val="bottom"/>
            <w:tcBorders>
              <w:right w:val="single" w:sz="8" w:color="2D53A6"/>
            </w:tcBorders>
          </w:tcPr>
          <w:p>
            <w:pPr>
              <w:spacing w:after="0"/>
              <w:rPr>
                <w:sz w:val="22"/>
                <w:szCs w:val="22"/>
                <w:color w:val="auto"/>
              </w:rPr>
            </w:pP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(15.9)%</w:t>
            </w: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(15.9)%</w:t>
            </w:r>
          </w:p>
        </w:tc>
        <w:tc>
          <w:tcPr>
            <w:tcW w:w="140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8"/>
              </w:rPr>
              <w:t>(15.9)%</w:t>
            </w: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8"/>
              </w:rPr>
              <w:t>(15.9)%</w:t>
            </w:r>
          </w:p>
        </w:tc>
      </w:tr>
      <w:tr>
        <w:trPr>
          <w:trHeight w:val="23"/>
        </w:trPr>
        <w:tc>
          <w:tcPr>
            <w:tcW w:w="3080" w:type="dxa"/>
            <w:vAlign w:val="bottom"/>
            <w:tcBorders>
              <w:bottom w:val="single" w:sz="8" w:color="2D53A6"/>
            </w:tcBorders>
          </w:tcPr>
          <w:p>
            <w:pPr>
              <w:spacing w:after="0"/>
              <w:rPr>
                <w:sz w:val="2"/>
                <w:szCs w:val="2"/>
                <w:color w:val="auto"/>
              </w:rPr>
            </w:pPr>
          </w:p>
        </w:tc>
        <w:tc>
          <w:tcPr>
            <w:tcW w:w="25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tcBorders>
          </w:tcPr>
          <w:p>
            <w:pPr>
              <w:spacing w:after="0"/>
              <w:rPr>
                <w:sz w:val="2"/>
                <w:szCs w:val="2"/>
                <w:color w:val="auto"/>
              </w:rPr>
            </w:pPr>
          </w:p>
        </w:tc>
      </w:tr>
      <w:tr>
        <w:trPr>
          <w:trHeight w:val="254"/>
        </w:trPr>
        <w:tc>
          <w:tcPr>
            <w:tcW w:w="3080" w:type="dxa"/>
            <w:vAlign w:val="bottom"/>
          </w:tcPr>
          <w:p>
            <w:pPr>
              <w:ind w:left="40"/>
              <w:spacing w:after="0"/>
              <w:rPr>
                <w:sz w:val="20"/>
                <w:szCs w:val="20"/>
                <w:color w:val="auto"/>
              </w:rPr>
            </w:pPr>
            <w:r>
              <w:rPr>
                <w:rFonts w:ascii="Arial" w:cs="Arial" w:eastAsia="Arial" w:hAnsi="Arial"/>
                <w:sz w:val="18"/>
                <w:szCs w:val="18"/>
                <w:color w:val="auto"/>
              </w:rPr>
              <w:t>Goal Payout %</w:t>
            </w:r>
            <w:r>
              <w:rPr>
                <w:rFonts w:ascii="Arial" w:cs="Arial" w:eastAsia="Arial" w:hAnsi="Arial"/>
                <w:sz w:val="14"/>
                <w:szCs w:val="14"/>
                <w:color w:val="auto"/>
              </w:rPr>
              <w:t>(4)</w:t>
            </w:r>
          </w:p>
        </w:tc>
        <w:tc>
          <w:tcPr>
            <w:tcW w:w="2500" w:type="dxa"/>
            <w:vAlign w:val="bottom"/>
            <w:tcBorders>
              <w:right w:val="single" w:sz="8" w:color="2D53A6"/>
            </w:tcBorders>
          </w:tcPr>
          <w:p>
            <w:pPr>
              <w:spacing w:after="0"/>
              <w:rPr>
                <w:sz w:val="22"/>
                <w:szCs w:val="22"/>
                <w:color w:val="auto"/>
              </w:rPr>
            </w:pP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7"/>
              </w:rPr>
              <w:t>0.0%</w:t>
            </w: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7"/>
              </w:rPr>
              <w:t>0.0%</w:t>
            </w:r>
          </w:p>
        </w:tc>
        <w:tc>
          <w:tcPr>
            <w:tcW w:w="140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0.0%</w:t>
            </w:r>
          </w:p>
        </w:tc>
        <w:tc>
          <w:tcPr>
            <w:tcW w:w="1420" w:type="dxa"/>
            <w:vAlign w:val="bottom"/>
          </w:tcPr>
          <w:p>
            <w:pPr>
              <w:jc w:val="center"/>
              <w:ind w:left="30"/>
              <w:spacing w:after="0"/>
              <w:rPr>
                <w:sz w:val="20"/>
                <w:szCs w:val="20"/>
                <w:color w:val="auto"/>
              </w:rPr>
            </w:pPr>
            <w:r>
              <w:rPr>
                <w:rFonts w:ascii="Arial" w:cs="Arial" w:eastAsia="Arial" w:hAnsi="Arial"/>
                <w:sz w:val="18"/>
                <w:szCs w:val="18"/>
                <w:color w:val="auto"/>
              </w:rPr>
              <w:t>0.0%</w:t>
            </w:r>
          </w:p>
        </w:tc>
      </w:tr>
      <w:tr>
        <w:trPr>
          <w:trHeight w:val="23"/>
        </w:trPr>
        <w:tc>
          <w:tcPr>
            <w:tcW w:w="3080" w:type="dxa"/>
            <w:vAlign w:val="bottom"/>
            <w:tcBorders>
              <w:bottom w:val="single" w:sz="8" w:color="2D53A6"/>
            </w:tcBorders>
          </w:tcPr>
          <w:p>
            <w:pPr>
              <w:spacing w:after="0"/>
              <w:rPr>
                <w:sz w:val="2"/>
                <w:szCs w:val="2"/>
                <w:color w:val="auto"/>
              </w:rPr>
            </w:pPr>
          </w:p>
        </w:tc>
        <w:tc>
          <w:tcPr>
            <w:tcW w:w="25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tcBorders>
          </w:tcPr>
          <w:p>
            <w:pPr>
              <w:spacing w:after="0"/>
              <w:rPr>
                <w:sz w:val="2"/>
                <w:szCs w:val="2"/>
                <w:color w:val="auto"/>
              </w:rPr>
            </w:pPr>
          </w:p>
        </w:tc>
      </w:tr>
      <w:tr>
        <w:trPr>
          <w:trHeight w:val="254"/>
        </w:trPr>
        <w:tc>
          <w:tcPr>
            <w:tcW w:w="3080" w:type="dxa"/>
            <w:vAlign w:val="bottom"/>
          </w:tcPr>
          <w:p>
            <w:pPr>
              <w:ind w:left="40"/>
              <w:spacing w:after="0"/>
              <w:rPr>
                <w:sz w:val="20"/>
                <w:szCs w:val="20"/>
                <w:color w:val="auto"/>
              </w:rPr>
            </w:pPr>
            <w:r>
              <w:rPr>
                <w:rFonts w:ascii="Arial" w:cs="Arial" w:eastAsia="Arial" w:hAnsi="Arial"/>
                <w:sz w:val="18"/>
                <w:szCs w:val="18"/>
                <w:color w:val="auto"/>
              </w:rPr>
              <w:t>Non-GAAP Pre-tax Income</w:t>
            </w:r>
            <w:r>
              <w:rPr>
                <w:rFonts w:ascii="Arial" w:cs="Arial" w:eastAsia="Arial" w:hAnsi="Arial"/>
                <w:sz w:val="14"/>
                <w:szCs w:val="14"/>
                <w:color w:val="auto"/>
              </w:rPr>
              <w:t>(5)</w:t>
            </w:r>
          </w:p>
        </w:tc>
        <w:tc>
          <w:tcPr>
            <w:tcW w:w="2500" w:type="dxa"/>
            <w:vAlign w:val="bottom"/>
            <w:tcBorders>
              <w:right w:val="single" w:sz="8" w:color="2D53A6"/>
            </w:tcBorders>
          </w:tcPr>
          <w:p>
            <w:pPr>
              <w:spacing w:after="0"/>
              <w:rPr>
                <w:sz w:val="22"/>
                <w:szCs w:val="22"/>
                <w:color w:val="auto"/>
              </w:rPr>
            </w:pP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7"/>
              </w:rPr>
              <w:t>1.6%</w:t>
            </w: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7"/>
              </w:rPr>
              <w:t>1.6%</w:t>
            </w:r>
          </w:p>
        </w:tc>
        <w:tc>
          <w:tcPr>
            <w:tcW w:w="140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1.6%</w:t>
            </w:r>
          </w:p>
        </w:tc>
        <w:tc>
          <w:tcPr>
            <w:tcW w:w="1420" w:type="dxa"/>
            <w:vAlign w:val="bottom"/>
          </w:tcPr>
          <w:p>
            <w:pPr>
              <w:jc w:val="center"/>
              <w:ind w:left="30"/>
              <w:spacing w:after="0"/>
              <w:rPr>
                <w:sz w:val="20"/>
                <w:szCs w:val="20"/>
                <w:color w:val="auto"/>
              </w:rPr>
            </w:pPr>
            <w:r>
              <w:rPr>
                <w:rFonts w:ascii="Arial" w:cs="Arial" w:eastAsia="Arial" w:hAnsi="Arial"/>
                <w:sz w:val="18"/>
                <w:szCs w:val="18"/>
                <w:color w:val="auto"/>
              </w:rPr>
              <w:t>1.6%</w:t>
            </w:r>
          </w:p>
        </w:tc>
      </w:tr>
      <w:tr>
        <w:trPr>
          <w:trHeight w:val="23"/>
        </w:trPr>
        <w:tc>
          <w:tcPr>
            <w:tcW w:w="3080" w:type="dxa"/>
            <w:vAlign w:val="bottom"/>
            <w:tcBorders>
              <w:bottom w:val="single" w:sz="8" w:color="2D53A6"/>
            </w:tcBorders>
          </w:tcPr>
          <w:p>
            <w:pPr>
              <w:spacing w:after="0"/>
              <w:rPr>
                <w:sz w:val="2"/>
                <w:szCs w:val="2"/>
                <w:color w:val="auto"/>
              </w:rPr>
            </w:pPr>
          </w:p>
        </w:tc>
        <w:tc>
          <w:tcPr>
            <w:tcW w:w="25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tcBorders>
          </w:tcPr>
          <w:p>
            <w:pPr>
              <w:spacing w:after="0"/>
              <w:rPr>
                <w:sz w:val="2"/>
                <w:szCs w:val="2"/>
                <w:color w:val="auto"/>
              </w:rPr>
            </w:pPr>
          </w:p>
        </w:tc>
      </w:tr>
      <w:tr>
        <w:trPr>
          <w:trHeight w:val="254"/>
        </w:trPr>
        <w:tc>
          <w:tcPr>
            <w:tcW w:w="3080" w:type="dxa"/>
            <w:vAlign w:val="bottom"/>
          </w:tcPr>
          <w:p>
            <w:pPr>
              <w:ind w:left="40"/>
              <w:spacing w:after="0"/>
              <w:rPr>
                <w:sz w:val="20"/>
                <w:szCs w:val="20"/>
                <w:color w:val="auto"/>
              </w:rPr>
            </w:pPr>
            <w:r>
              <w:rPr>
                <w:rFonts w:ascii="Arial" w:cs="Arial" w:eastAsia="Arial" w:hAnsi="Arial"/>
                <w:sz w:val="18"/>
                <w:szCs w:val="18"/>
                <w:color w:val="auto"/>
              </w:rPr>
              <w:t>Goal Payout %</w:t>
            </w:r>
            <w:r>
              <w:rPr>
                <w:rFonts w:ascii="Arial" w:cs="Arial" w:eastAsia="Arial" w:hAnsi="Arial"/>
                <w:sz w:val="14"/>
                <w:szCs w:val="14"/>
                <w:color w:val="auto"/>
              </w:rPr>
              <w:t>(6)</w:t>
            </w:r>
          </w:p>
        </w:tc>
        <w:tc>
          <w:tcPr>
            <w:tcW w:w="2500" w:type="dxa"/>
            <w:vAlign w:val="bottom"/>
            <w:tcBorders>
              <w:right w:val="single" w:sz="8" w:color="2D53A6"/>
            </w:tcBorders>
          </w:tcPr>
          <w:p>
            <w:pPr>
              <w:spacing w:after="0"/>
              <w:rPr>
                <w:sz w:val="22"/>
                <w:szCs w:val="22"/>
                <w:color w:val="auto"/>
              </w:rPr>
            </w:pP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7"/>
              </w:rPr>
              <w:t>0.0%</w:t>
            </w: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7"/>
              </w:rPr>
              <w:t>0.0%</w:t>
            </w:r>
          </w:p>
        </w:tc>
        <w:tc>
          <w:tcPr>
            <w:tcW w:w="140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0.0%</w:t>
            </w:r>
          </w:p>
        </w:tc>
        <w:tc>
          <w:tcPr>
            <w:tcW w:w="1420" w:type="dxa"/>
            <w:vAlign w:val="bottom"/>
          </w:tcPr>
          <w:p>
            <w:pPr>
              <w:jc w:val="center"/>
              <w:ind w:left="30"/>
              <w:spacing w:after="0"/>
              <w:rPr>
                <w:sz w:val="20"/>
                <w:szCs w:val="20"/>
                <w:color w:val="auto"/>
              </w:rPr>
            </w:pPr>
            <w:r>
              <w:rPr>
                <w:rFonts w:ascii="Arial" w:cs="Arial" w:eastAsia="Arial" w:hAnsi="Arial"/>
                <w:sz w:val="18"/>
                <w:szCs w:val="18"/>
                <w:color w:val="auto"/>
              </w:rPr>
              <w:t>0.0%</w:t>
            </w:r>
          </w:p>
        </w:tc>
      </w:tr>
      <w:tr>
        <w:trPr>
          <w:trHeight w:val="23"/>
        </w:trPr>
        <w:tc>
          <w:tcPr>
            <w:tcW w:w="3080" w:type="dxa"/>
            <w:vAlign w:val="bottom"/>
            <w:tcBorders>
              <w:bottom w:val="single" w:sz="8" w:color="2D53A6"/>
            </w:tcBorders>
          </w:tcPr>
          <w:p>
            <w:pPr>
              <w:spacing w:after="0"/>
              <w:rPr>
                <w:sz w:val="2"/>
                <w:szCs w:val="2"/>
                <w:color w:val="auto"/>
              </w:rPr>
            </w:pPr>
          </w:p>
        </w:tc>
        <w:tc>
          <w:tcPr>
            <w:tcW w:w="25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tcBorders>
          </w:tcPr>
          <w:p>
            <w:pPr>
              <w:spacing w:after="0"/>
              <w:rPr>
                <w:sz w:val="2"/>
                <w:szCs w:val="2"/>
                <w:color w:val="auto"/>
              </w:rPr>
            </w:pPr>
          </w:p>
        </w:tc>
      </w:tr>
      <w:tr>
        <w:trPr>
          <w:trHeight w:val="271"/>
        </w:trPr>
        <w:tc>
          <w:tcPr>
            <w:tcW w:w="3080" w:type="dxa"/>
            <w:vAlign w:val="bottom"/>
            <w:tcBorders>
              <w:bottom w:val="single" w:sz="8" w:color="2D53A6"/>
            </w:tcBorders>
            <w:shd w:val="clear" w:color="auto" w:fill="E6E6E6"/>
          </w:tcPr>
          <w:p>
            <w:pPr>
              <w:spacing w:after="0"/>
              <w:rPr>
                <w:sz w:val="23"/>
                <w:szCs w:val="23"/>
                <w:color w:val="auto"/>
              </w:rPr>
            </w:pPr>
          </w:p>
        </w:tc>
        <w:tc>
          <w:tcPr>
            <w:tcW w:w="5340" w:type="dxa"/>
            <w:vAlign w:val="bottom"/>
            <w:tcBorders>
              <w:bottom w:val="single" w:sz="8" w:color="2D53A6"/>
              <w:right w:val="single" w:sz="8" w:color="E6E6E6"/>
            </w:tcBorders>
            <w:gridSpan w:val="3"/>
            <w:shd w:val="clear" w:color="auto" w:fill="E6E6E6"/>
          </w:tcPr>
          <w:p>
            <w:pPr>
              <w:ind w:left="120"/>
              <w:spacing w:after="0"/>
              <w:rPr>
                <w:sz w:val="20"/>
                <w:szCs w:val="20"/>
                <w:color w:val="auto"/>
              </w:rPr>
            </w:pPr>
            <w:r>
              <w:rPr>
                <w:rFonts w:ascii="Arial" w:cs="Arial" w:eastAsia="Arial" w:hAnsi="Arial"/>
                <w:sz w:val="18"/>
                <w:szCs w:val="18"/>
                <w:b w:val="1"/>
                <w:bCs w:val="1"/>
                <w:color w:val="auto"/>
              </w:rPr>
              <w:t>Actual Amount of Fiscal Year 2025 STI Cash Incentives</w:t>
            </w:r>
          </w:p>
        </w:tc>
        <w:tc>
          <w:tcPr>
            <w:tcW w:w="1400" w:type="dxa"/>
            <w:vAlign w:val="bottom"/>
            <w:tcBorders>
              <w:bottom w:val="single" w:sz="8" w:color="2D53A6"/>
              <w:right w:val="single" w:sz="8" w:color="E6E6E6"/>
            </w:tcBorders>
            <w:shd w:val="clear" w:color="auto" w:fill="E6E6E6"/>
          </w:tcPr>
          <w:p>
            <w:pPr>
              <w:spacing w:after="0"/>
              <w:rPr>
                <w:sz w:val="23"/>
                <w:szCs w:val="23"/>
                <w:color w:val="auto"/>
              </w:rPr>
            </w:pPr>
          </w:p>
        </w:tc>
        <w:tc>
          <w:tcPr>
            <w:tcW w:w="1420" w:type="dxa"/>
            <w:vAlign w:val="bottom"/>
            <w:tcBorders>
              <w:bottom w:val="single" w:sz="8" w:color="2D53A6"/>
            </w:tcBorders>
            <w:shd w:val="clear" w:color="auto" w:fill="E6E6E6"/>
          </w:tcPr>
          <w:p>
            <w:pPr>
              <w:spacing w:after="0"/>
              <w:rPr>
                <w:sz w:val="23"/>
                <w:szCs w:val="23"/>
                <w:color w:val="auto"/>
              </w:rPr>
            </w:pPr>
          </w:p>
        </w:tc>
      </w:tr>
      <w:tr>
        <w:trPr>
          <w:trHeight w:val="261"/>
        </w:trPr>
        <w:tc>
          <w:tcPr>
            <w:tcW w:w="3080" w:type="dxa"/>
            <w:vAlign w:val="bottom"/>
          </w:tcPr>
          <w:p>
            <w:pPr>
              <w:ind w:left="40"/>
              <w:spacing w:after="0"/>
              <w:rPr>
                <w:sz w:val="20"/>
                <w:szCs w:val="20"/>
                <w:color w:val="auto"/>
              </w:rPr>
            </w:pPr>
            <w:r>
              <w:rPr>
                <w:rFonts w:ascii="Arial" w:cs="Arial" w:eastAsia="Arial" w:hAnsi="Arial"/>
                <w:sz w:val="18"/>
                <w:szCs w:val="18"/>
                <w:color w:val="auto"/>
              </w:rPr>
              <w:t>Non-Equity Incentive Award Payable</w:t>
            </w:r>
          </w:p>
        </w:tc>
        <w:tc>
          <w:tcPr>
            <w:tcW w:w="2500" w:type="dxa"/>
            <w:vAlign w:val="bottom"/>
            <w:tcBorders>
              <w:right w:val="single" w:sz="8" w:color="2D53A6"/>
            </w:tcBorders>
          </w:tcPr>
          <w:p>
            <w:pPr>
              <w:spacing w:after="0"/>
              <w:rPr>
                <w:sz w:val="22"/>
                <w:szCs w:val="22"/>
                <w:color w:val="auto"/>
              </w:rPr>
            </w:pP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$250,345</w:t>
            </w: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$108,621</w:t>
            </w:r>
          </w:p>
        </w:tc>
        <w:tc>
          <w:tcPr>
            <w:tcW w:w="140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8"/>
              </w:rPr>
              <w:t>$101,459</w:t>
            </w:r>
          </w:p>
        </w:tc>
        <w:tc>
          <w:tcPr>
            <w:tcW w:w="1420" w:type="dxa"/>
            <w:vAlign w:val="bottom"/>
          </w:tcPr>
          <w:p>
            <w:pPr>
              <w:jc w:val="center"/>
              <w:ind w:left="30"/>
              <w:spacing w:after="0"/>
              <w:rPr>
                <w:sz w:val="20"/>
                <w:szCs w:val="20"/>
                <w:color w:val="auto"/>
              </w:rPr>
            </w:pPr>
            <w:r>
              <w:rPr>
                <w:rFonts w:ascii="Arial" w:cs="Arial" w:eastAsia="Arial" w:hAnsi="Arial"/>
                <w:sz w:val="18"/>
                <w:szCs w:val="18"/>
                <w:color w:val="auto"/>
              </w:rPr>
              <w:t>$80,975</w:t>
            </w:r>
          </w:p>
        </w:tc>
      </w:tr>
      <w:tr>
        <w:trPr>
          <w:trHeight w:val="23"/>
        </w:trPr>
        <w:tc>
          <w:tcPr>
            <w:tcW w:w="3080" w:type="dxa"/>
            <w:vAlign w:val="bottom"/>
            <w:tcBorders>
              <w:bottom w:val="single" w:sz="8" w:color="2D53A6"/>
            </w:tcBorders>
          </w:tcPr>
          <w:p>
            <w:pPr>
              <w:spacing w:after="0"/>
              <w:rPr>
                <w:sz w:val="2"/>
                <w:szCs w:val="2"/>
                <w:color w:val="auto"/>
              </w:rPr>
            </w:pPr>
          </w:p>
        </w:tc>
        <w:tc>
          <w:tcPr>
            <w:tcW w:w="25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tcBorders>
          </w:tcPr>
          <w:p>
            <w:pPr>
              <w:spacing w:after="0"/>
              <w:rPr>
                <w:sz w:val="2"/>
                <w:szCs w:val="2"/>
                <w:color w:val="auto"/>
              </w:rPr>
            </w:pPr>
          </w:p>
        </w:tc>
      </w:tr>
      <w:tr>
        <w:trPr>
          <w:trHeight w:val="254"/>
        </w:trPr>
        <w:tc>
          <w:tcPr>
            <w:tcW w:w="3080" w:type="dxa"/>
            <w:vAlign w:val="bottom"/>
          </w:tcPr>
          <w:p>
            <w:pPr>
              <w:ind w:left="40"/>
              <w:spacing w:after="0"/>
              <w:rPr>
                <w:sz w:val="20"/>
                <w:szCs w:val="20"/>
                <w:color w:val="auto"/>
              </w:rPr>
            </w:pPr>
            <w:r>
              <w:rPr>
                <w:rFonts w:ascii="Arial" w:cs="Arial" w:eastAsia="Arial" w:hAnsi="Arial"/>
                <w:sz w:val="18"/>
                <w:szCs w:val="18"/>
                <w:color w:val="auto"/>
              </w:rPr>
              <w:t>% Targeted Award Amount</w:t>
            </w:r>
          </w:p>
        </w:tc>
        <w:tc>
          <w:tcPr>
            <w:tcW w:w="2500" w:type="dxa"/>
            <w:vAlign w:val="bottom"/>
            <w:tcBorders>
              <w:right w:val="single" w:sz="8" w:color="2D53A6"/>
            </w:tcBorders>
          </w:tcPr>
          <w:p>
            <w:pPr>
              <w:spacing w:after="0"/>
              <w:rPr>
                <w:sz w:val="22"/>
                <w:szCs w:val="22"/>
                <w:color w:val="auto"/>
              </w:rPr>
            </w:pP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31.8%</w:t>
            </w:r>
          </w:p>
        </w:tc>
        <w:tc>
          <w:tcPr>
            <w:tcW w:w="142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rPr>
              <w:t>31.8%</w:t>
            </w:r>
          </w:p>
        </w:tc>
        <w:tc>
          <w:tcPr>
            <w:tcW w:w="1400" w:type="dxa"/>
            <w:vAlign w:val="bottom"/>
            <w:tcBorders>
              <w:right w:val="single" w:sz="8" w:color="2D53A6"/>
            </w:tcBorders>
          </w:tcPr>
          <w:p>
            <w:pPr>
              <w:jc w:val="center"/>
              <w:ind w:left="10"/>
              <w:spacing w:after="0"/>
              <w:rPr>
                <w:sz w:val="20"/>
                <w:szCs w:val="20"/>
                <w:color w:val="auto"/>
              </w:rPr>
            </w:pPr>
            <w:r>
              <w:rPr>
                <w:rFonts w:ascii="Arial" w:cs="Arial" w:eastAsia="Arial" w:hAnsi="Arial"/>
                <w:sz w:val="18"/>
                <w:szCs w:val="18"/>
                <w:color w:val="auto"/>
                <w:w w:val="97"/>
              </w:rPr>
              <w:t>31.8%</w:t>
            </w: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7"/>
              </w:rPr>
              <w:t>31.8%</w:t>
            </w:r>
          </w:p>
        </w:tc>
      </w:tr>
      <w:tr>
        <w:trPr>
          <w:trHeight w:val="23"/>
        </w:trPr>
        <w:tc>
          <w:tcPr>
            <w:tcW w:w="3080" w:type="dxa"/>
            <w:vAlign w:val="bottom"/>
            <w:tcBorders>
              <w:bottom w:val="single" w:sz="8" w:color="2D53A6"/>
            </w:tcBorders>
          </w:tcPr>
          <w:p>
            <w:pPr>
              <w:spacing w:after="0"/>
              <w:rPr>
                <w:sz w:val="2"/>
                <w:szCs w:val="2"/>
                <w:color w:val="auto"/>
              </w:rPr>
            </w:pPr>
          </w:p>
        </w:tc>
        <w:tc>
          <w:tcPr>
            <w:tcW w:w="25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c>
          <w:tcPr>
            <w:tcW w:w="1420" w:type="dxa"/>
            <w:vAlign w:val="bottom"/>
            <w:tcBorders>
              <w:bottom w:val="single" w:sz="8" w:color="2D53A6"/>
            </w:tcBorders>
          </w:tcPr>
          <w:p>
            <w:pPr>
              <w:spacing w:after="0"/>
              <w:rPr>
                <w:sz w:val="2"/>
                <w:szCs w:val="2"/>
                <w:color w:val="auto"/>
              </w:rPr>
            </w:pPr>
          </w:p>
        </w:tc>
      </w:tr>
    </w:tbl>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2025 1-year sales growth rate of 12.7% is calculated as the result of 2025 net sales (in thousands) of $452,956 divided by net sales results from 2024 of $401,779.</w:t>
      </w:r>
    </w:p>
    <w:p>
      <w:pPr>
        <w:spacing w:after="0" w:line="5"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1-year sales growth result is weighted at 25% of the total 2025 STI target award amount.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2025 4-year rolling sales growth rate of (15.9)% is calculated as follows: the result of the sum of each year’s net sales from 2022 through 2025 (in thousands: $812,775,</w:t>
      </w:r>
    </w:p>
    <w:p>
      <w:pPr>
        <w:spacing w:after="0" w:line="1" w:lineRule="exact"/>
        <w:rPr>
          <w:rFonts w:ascii="Arial" w:cs="Arial" w:eastAsia="Arial" w:hAnsi="Arial"/>
          <w:sz w:val="14"/>
          <w:szCs w:val="14"/>
          <w:color w:val="auto"/>
        </w:rPr>
      </w:pPr>
    </w:p>
    <w:p>
      <w:pPr>
        <w:ind w:left="340" w:right="580"/>
        <w:spacing w:after="0" w:line="241" w:lineRule="auto"/>
        <w:rPr>
          <w:rFonts w:ascii="Arial" w:cs="Arial" w:eastAsia="Arial" w:hAnsi="Arial"/>
          <w:sz w:val="14"/>
          <w:szCs w:val="14"/>
          <w:color w:val="auto"/>
        </w:rPr>
      </w:pPr>
      <w:r>
        <w:rPr>
          <w:rFonts w:ascii="Arial" w:cs="Arial" w:eastAsia="Arial" w:hAnsi="Arial"/>
          <w:sz w:val="14"/>
          <w:szCs w:val="14"/>
          <w:color w:val="auto"/>
        </w:rPr>
        <w:t>$636,322, $401,779, and $452,956 respectively), less the sum of each year’s net sales from 2021 through 2024 (in thousands: $887,214, $812,775, $636,322 and $401,779 respectively), divided by the sum of each year’s net sales from 2021 through 2024.</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4-year rolling sales growth result is weighted at 25% of the total 2025 STI target award amount</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2025 GAAP pre-tax loss was $62,407 (in thousands) which is (13.8)% of net sales of $452,956 (in thousands). 2025 non-GAAP pre-tax income was $7,333 (in thousands) which is 1.6% of net sales. A reconciliation of GAAP to non-GAAP pre-tax income is included in Appendix A to this proxy statement.</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Non-GAAP pretax income result is weighted at 50% of the total 2025 STI target award amount.</w:t>
      </w:r>
    </w:p>
    <w:p>
      <w:pPr>
        <w:spacing w:after="0" w:line="18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On February 5, 2026, the Compensation Committee, reviewed and approved the short-term incentive plan for 2026 (the “2026 STI”). For the 2026 STI, we increased the weighting of the one-year sales growth rate metric to 45% and rebalanced the four-year rolling sales growth metric to 5% of the total 2025 STI incentive opportunity. The remaining 50% of the incentive opportunity will continue to be based on non-GAAP pre-tax income.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Incentive Compensation</w:t>
      </w:r>
    </w:p>
    <w:p>
      <w:pPr>
        <w:spacing w:after="0" w:line="19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spacing w:after="0" w:line="16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Generally, in determining the size of the equity awards granted to our executive officers, including our NEOs, the Compensation Committee takes into consideration the recommendations of our CEO (except with respect to his own equity awards), an analysis of competitive market data prepared by its compensation consultant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other awards or a combination thereof.</w:t>
      </w:r>
    </w:p>
    <w:p>
      <w:pPr>
        <w:spacing w:after="0" w:line="16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As described in more detail in “Potential Payments Upon Termination or Change in Control” below, our 2025 RSU and PSU awards granted to our executive officers are eligible to potentially accelerate vesting upon certain qualified terminations of employment or a change in control. We believe providing these potential vesting acceleration benefits help us compete for and retain executive talent and maximize stockholder value because it provides our executives appropriate incentives to cooperate in negotiating a transaction involving a potential change in control of Cohu, including a potential change in control in which they believe they may lose their jobs or where their equity awards will not be assumed or continued.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terms of the stock award agreements for RSUs granted through 2024 provide that in the event of a change in control, the RSUs will accelerate vesting and be settled at the time of the change in control. The terms of the award agreements for RSUs granted to our NEOs beginning in 2025 provide that such vesting acceleration will only occur should the acquiring corporation not assume or substitute for the RSUs in the change in control. The terms of the award agreements for PSUs granted through 2024 provide that in the event of a change in control, the PSUs will accelerate vesting and be settled at the time of the change in control. The terms of the award agreements for PSUs granted to our NEOs beginning in 2025, which cannot reasonably be assumed or substituted, provide for vesting acceleration upon a change in control at the greater of the target level or the level of performance attained through the change in control.</w:t>
      </w:r>
    </w:p>
    <w:p>
      <w:pPr>
        <w:spacing w:after="0" w:line="17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On March 11, 2025, consistent with the grant timing in prior years, the Compensation Committee, based on the factors described above, as well as considering market trends with alignment of individual responsibilities, contributions and performance, approved the grant of RSU awards and PSU awards to our executive officers, including our NEOs at the levels set forth in the table below. The Compensation Committee also determined that to continue the emphasis on performance-based compensation, the weighting of PSU awards would remain at 60% of the total annual equity awards and the weighting of RSU awards would remain at 40% of the total annual equity awards.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0" w:type="dxa"/>
            <w:vAlign w:val="bottom"/>
            <w:tcBorders>
              <w:right w:val="single" w:sz="8" w:color="2D53A6"/>
            </w:tcBorders>
            <w:shd w:val="clear" w:color="auto" w:fill="2D53A6"/>
          </w:tcPr>
          <w:p>
            <w:pPr>
              <w:spacing w:after="0"/>
              <w:rPr>
                <w:sz w:val="20"/>
                <w:szCs w:val="20"/>
                <w:color w:val="auto"/>
              </w:rPr>
            </w:pPr>
          </w:p>
        </w:tc>
        <w:tc>
          <w:tcPr>
            <w:tcW w:w="16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Number of</w:t>
            </w:r>
          </w:p>
        </w:tc>
        <w:tc>
          <w:tcPr>
            <w:tcW w:w="16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Number of</w:t>
            </w:r>
          </w:p>
        </w:tc>
        <w:tc>
          <w:tcPr>
            <w:tcW w:w="160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w w:val="96"/>
              </w:rPr>
              <w:t>Total Face</w:t>
            </w:r>
          </w:p>
        </w:tc>
        <w:tc>
          <w:tcPr>
            <w:tcW w:w="0" w:type="dxa"/>
            <w:vAlign w:val="bottom"/>
          </w:tcPr>
          <w:p>
            <w:pPr>
              <w:spacing w:after="0"/>
              <w:rPr>
                <w:sz w:val="1"/>
                <w:szCs w:val="1"/>
                <w:color w:val="auto"/>
              </w:rPr>
            </w:pPr>
          </w:p>
        </w:tc>
      </w:tr>
      <w:tr>
        <w:trPr>
          <w:trHeight w:val="216"/>
        </w:trPr>
        <w:tc>
          <w:tcPr>
            <w:tcW w:w="640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20"/>
                <w:szCs w:val="20"/>
                <w:b w:val="1"/>
                <w:bCs w:val="1"/>
                <w:color w:val="FFFFFF"/>
              </w:rPr>
              <w:t>Named Executive Officer</w:t>
            </w:r>
          </w:p>
        </w:tc>
        <w:tc>
          <w:tcPr>
            <w:tcW w:w="1620" w:type="dxa"/>
            <w:vAlign w:val="bottom"/>
            <w:tcBorders>
              <w:right w:val="single" w:sz="8" w:color="2D53A6"/>
            </w:tcBorders>
            <w:vMerge w:val="continue"/>
            <w:shd w:val="clear" w:color="auto" w:fill="2D53A6"/>
          </w:tcPr>
          <w:p>
            <w:pPr>
              <w:spacing w:after="0"/>
              <w:rPr>
                <w:sz w:val="18"/>
                <w:szCs w:val="18"/>
                <w:color w:val="auto"/>
              </w:rPr>
            </w:pPr>
          </w:p>
        </w:tc>
        <w:tc>
          <w:tcPr>
            <w:tcW w:w="1620" w:type="dxa"/>
            <w:vAlign w:val="bottom"/>
            <w:tcBorders>
              <w:right w:val="single" w:sz="8" w:color="2D53A6"/>
            </w:tcBorders>
            <w:vMerge w:val="continue"/>
            <w:shd w:val="clear" w:color="auto" w:fill="2D53A6"/>
          </w:tcPr>
          <w:p>
            <w:pPr>
              <w:spacing w:after="0"/>
              <w:rPr>
                <w:sz w:val="18"/>
                <w:szCs w:val="18"/>
                <w:color w:val="auto"/>
              </w:rPr>
            </w:pPr>
          </w:p>
        </w:tc>
        <w:tc>
          <w:tcPr>
            <w:tcW w:w="1600" w:type="dxa"/>
            <w:vAlign w:val="bottom"/>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7"/>
              </w:rPr>
              <w:t>Value of</w:t>
            </w:r>
          </w:p>
        </w:tc>
        <w:tc>
          <w:tcPr>
            <w:tcW w:w="0" w:type="dxa"/>
            <w:vAlign w:val="bottom"/>
          </w:tcPr>
          <w:p>
            <w:pPr>
              <w:spacing w:after="0"/>
              <w:rPr>
                <w:sz w:val="1"/>
                <w:szCs w:val="1"/>
                <w:color w:val="auto"/>
              </w:rPr>
            </w:pPr>
          </w:p>
        </w:tc>
      </w:tr>
      <w:tr>
        <w:trPr>
          <w:trHeight w:val="216"/>
        </w:trPr>
        <w:tc>
          <w:tcPr>
            <w:tcW w:w="6400" w:type="dxa"/>
            <w:vAlign w:val="bottom"/>
            <w:tcBorders>
              <w:right w:val="single" w:sz="8" w:color="2D53A6"/>
            </w:tcBorders>
            <w:vMerge w:val="continue"/>
            <w:shd w:val="clear" w:color="auto" w:fill="2D53A6"/>
          </w:tcPr>
          <w:p>
            <w:pPr>
              <w:spacing w:after="0"/>
              <w:rPr>
                <w:sz w:val="18"/>
                <w:szCs w:val="18"/>
                <w:color w:val="auto"/>
              </w:rPr>
            </w:pPr>
          </w:p>
        </w:tc>
        <w:tc>
          <w:tcPr>
            <w:tcW w:w="162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Restricted</w:t>
            </w:r>
          </w:p>
        </w:tc>
        <w:tc>
          <w:tcPr>
            <w:tcW w:w="162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Performance</w:t>
            </w:r>
          </w:p>
        </w:tc>
        <w:tc>
          <w:tcPr>
            <w:tcW w:w="1600" w:type="dxa"/>
            <w:vAlign w:val="bottom"/>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Stock</w:t>
            </w:r>
          </w:p>
        </w:tc>
        <w:tc>
          <w:tcPr>
            <w:tcW w:w="0" w:type="dxa"/>
            <w:vAlign w:val="bottom"/>
          </w:tcPr>
          <w:p>
            <w:pPr>
              <w:spacing w:after="0"/>
              <w:rPr>
                <w:sz w:val="1"/>
                <w:szCs w:val="1"/>
                <w:color w:val="auto"/>
              </w:rPr>
            </w:pPr>
          </w:p>
        </w:tc>
      </w:tr>
      <w:tr>
        <w:trPr>
          <w:trHeight w:val="216"/>
        </w:trPr>
        <w:tc>
          <w:tcPr>
            <w:tcW w:w="6400" w:type="dxa"/>
            <w:vAlign w:val="bottom"/>
            <w:tcBorders>
              <w:right w:val="single" w:sz="8" w:color="2D53A6"/>
            </w:tcBorders>
            <w:shd w:val="clear" w:color="auto" w:fill="2D53A6"/>
          </w:tcPr>
          <w:p>
            <w:pPr>
              <w:spacing w:after="0"/>
              <w:rPr>
                <w:sz w:val="18"/>
                <w:szCs w:val="18"/>
                <w:color w:val="auto"/>
              </w:rPr>
            </w:pPr>
          </w:p>
        </w:tc>
        <w:tc>
          <w:tcPr>
            <w:tcW w:w="162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Stock Units</w:t>
            </w:r>
          </w:p>
        </w:tc>
        <w:tc>
          <w:tcPr>
            <w:tcW w:w="162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Stock Units</w:t>
            </w:r>
          </w:p>
        </w:tc>
        <w:tc>
          <w:tcPr>
            <w:tcW w:w="1600" w:type="dxa"/>
            <w:vAlign w:val="bottom"/>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Units at Time</w:t>
            </w:r>
          </w:p>
        </w:tc>
        <w:tc>
          <w:tcPr>
            <w:tcW w:w="0" w:type="dxa"/>
            <w:vAlign w:val="bottom"/>
          </w:tcPr>
          <w:p>
            <w:pPr>
              <w:spacing w:after="0"/>
              <w:rPr>
                <w:sz w:val="1"/>
                <w:szCs w:val="1"/>
                <w:color w:val="auto"/>
              </w:rPr>
            </w:pPr>
          </w:p>
        </w:tc>
      </w:tr>
      <w:tr>
        <w:trPr>
          <w:trHeight w:val="274"/>
        </w:trPr>
        <w:tc>
          <w:tcPr>
            <w:tcW w:w="6400" w:type="dxa"/>
            <w:vAlign w:val="bottom"/>
            <w:tcBorders>
              <w:bottom w:val="single" w:sz="8" w:color="2D53A6"/>
              <w:right w:val="single" w:sz="8" w:color="2D53A6"/>
            </w:tcBorders>
            <w:shd w:val="clear" w:color="auto" w:fill="2D53A6"/>
          </w:tcPr>
          <w:p>
            <w:pPr>
              <w:spacing w:after="0"/>
              <w:rPr>
                <w:sz w:val="23"/>
                <w:szCs w:val="23"/>
                <w:color w:val="auto"/>
              </w:rPr>
            </w:pPr>
          </w:p>
        </w:tc>
        <w:tc>
          <w:tcPr>
            <w:tcW w:w="162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Granted</w:t>
            </w:r>
          </w:p>
        </w:tc>
        <w:tc>
          <w:tcPr>
            <w:tcW w:w="162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rPr>
              <w:t xml:space="preserve">Granted </w:t>
            </w:r>
            <w:r>
              <w:rPr>
                <w:rFonts w:ascii="Arial" w:cs="Arial" w:eastAsia="Arial" w:hAnsi="Arial"/>
                <w:sz w:val="16"/>
                <w:szCs w:val="16"/>
                <w:b w:val="1"/>
                <w:bCs w:val="1"/>
                <w:color w:val="FFFFFF"/>
              </w:rPr>
              <w:t>(1)</w:t>
            </w:r>
          </w:p>
        </w:tc>
        <w:tc>
          <w:tcPr>
            <w:tcW w:w="1600" w:type="dxa"/>
            <w:vAlign w:val="bottom"/>
            <w:tcBorders>
              <w:bottom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 xml:space="preserve">of Grant </w:t>
            </w:r>
            <w:r>
              <w:rPr>
                <w:rFonts w:ascii="Arial" w:cs="Arial" w:eastAsia="Arial" w:hAnsi="Arial"/>
                <w:sz w:val="16"/>
                <w:szCs w:val="16"/>
                <w:b w:val="1"/>
                <w:bCs w:val="1"/>
                <w:color w:val="FFFFFF"/>
                <w:w w:val="99"/>
              </w:rPr>
              <w:t>(2)</w:t>
            </w:r>
          </w:p>
        </w:tc>
        <w:tc>
          <w:tcPr>
            <w:tcW w:w="0" w:type="dxa"/>
            <w:vAlign w:val="bottom"/>
          </w:tcPr>
          <w:p>
            <w:pPr>
              <w:spacing w:after="0"/>
              <w:rPr>
                <w:sz w:val="1"/>
                <w:szCs w:val="1"/>
                <w:color w:val="auto"/>
              </w:rPr>
            </w:pPr>
          </w:p>
        </w:tc>
      </w:tr>
      <w:tr>
        <w:trPr>
          <w:trHeight w:val="261"/>
        </w:trPr>
        <w:tc>
          <w:tcPr>
            <w:tcW w:w="640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162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97,067</w:t>
            </w:r>
          </w:p>
        </w:tc>
        <w:tc>
          <w:tcPr>
            <w:tcW w:w="162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145,601</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$4,799,973</w:t>
            </w:r>
          </w:p>
        </w:tc>
        <w:tc>
          <w:tcPr>
            <w:tcW w:w="0" w:type="dxa"/>
            <w:vAlign w:val="bottom"/>
          </w:tcPr>
          <w:p>
            <w:pPr>
              <w:spacing w:after="0"/>
              <w:rPr>
                <w:sz w:val="1"/>
                <w:szCs w:val="1"/>
                <w:color w:val="auto"/>
              </w:rPr>
            </w:pPr>
          </w:p>
        </w:tc>
      </w:tr>
      <w:tr>
        <w:trPr>
          <w:trHeight w:val="23"/>
        </w:trPr>
        <w:tc>
          <w:tcPr>
            <w:tcW w:w="640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6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4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16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30,333</w:t>
            </w:r>
          </w:p>
        </w:tc>
        <w:tc>
          <w:tcPr>
            <w:tcW w:w="16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45,500</w:t>
            </w:r>
          </w:p>
        </w:tc>
        <w:tc>
          <w:tcPr>
            <w:tcW w:w="16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$1,499,977</w:t>
            </w:r>
          </w:p>
        </w:tc>
        <w:tc>
          <w:tcPr>
            <w:tcW w:w="0" w:type="dxa"/>
            <w:vAlign w:val="bottom"/>
          </w:tcPr>
          <w:p>
            <w:pPr>
              <w:spacing w:after="0"/>
              <w:rPr>
                <w:sz w:val="1"/>
                <w:szCs w:val="1"/>
                <w:color w:val="auto"/>
              </w:rPr>
            </w:pPr>
          </w:p>
        </w:tc>
      </w:tr>
      <w:tr>
        <w:trPr>
          <w:trHeight w:val="254"/>
        </w:trPr>
        <w:tc>
          <w:tcPr>
            <w:tcW w:w="64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162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22,244</w:t>
            </w:r>
          </w:p>
        </w:tc>
        <w:tc>
          <w:tcPr>
            <w:tcW w:w="162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33,367</w:t>
            </w:r>
          </w:p>
        </w:tc>
        <w:tc>
          <w:tcPr>
            <w:tcW w:w="160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$1,099,986</w:t>
            </w:r>
          </w:p>
        </w:tc>
        <w:tc>
          <w:tcPr>
            <w:tcW w:w="0" w:type="dxa"/>
            <w:vAlign w:val="bottom"/>
          </w:tcPr>
          <w:p>
            <w:pPr>
              <w:spacing w:after="0"/>
              <w:rPr>
                <w:sz w:val="1"/>
                <w:szCs w:val="1"/>
                <w:color w:val="auto"/>
              </w:rPr>
            </w:pPr>
          </w:p>
        </w:tc>
      </w:tr>
      <w:tr>
        <w:trPr>
          <w:trHeight w:val="23"/>
        </w:trPr>
        <w:tc>
          <w:tcPr>
            <w:tcW w:w="640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6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Klaus Ilgenfritz</w:t>
            </w:r>
          </w:p>
        </w:tc>
        <w:tc>
          <w:tcPr>
            <w:tcW w:w="16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15,166</w:t>
            </w:r>
          </w:p>
        </w:tc>
        <w:tc>
          <w:tcPr>
            <w:tcW w:w="16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22,750</w:t>
            </w:r>
          </w:p>
        </w:tc>
        <w:tc>
          <w:tcPr>
            <w:tcW w:w="16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$749,978</w:t>
            </w:r>
          </w:p>
        </w:tc>
        <w:tc>
          <w:tcPr>
            <w:tcW w:w="0" w:type="dxa"/>
            <w:vAlign w:val="bottom"/>
          </w:tcPr>
          <w:p>
            <w:pPr>
              <w:spacing w:after="0"/>
              <w:rPr>
                <w:sz w:val="1"/>
                <w:szCs w:val="1"/>
                <w:color w:val="auto"/>
              </w:rPr>
            </w:pPr>
          </w:p>
        </w:tc>
      </w:tr>
      <w:tr>
        <w:trPr>
          <w:trHeight w:val="20"/>
        </w:trPr>
        <w:tc>
          <w:tcPr>
            <w:tcW w:w="6400" w:type="dxa"/>
            <w:vAlign w:val="bottom"/>
            <w:tcBorders>
              <w:right w:val="single" w:sz="8" w:color="2D53A6"/>
            </w:tcBorders>
            <w:shd w:val="clear" w:color="auto" w:fill="2D53A6"/>
          </w:tcPr>
          <w:p>
            <w:pPr>
              <w:spacing w:after="0" w:line="20" w:lineRule="exact"/>
              <w:rPr>
                <w:sz w:val="1"/>
                <w:szCs w:val="1"/>
                <w:color w:val="auto"/>
              </w:rPr>
            </w:pPr>
          </w:p>
        </w:tc>
        <w:tc>
          <w:tcPr>
            <w:tcW w:w="1620" w:type="dxa"/>
            <w:vAlign w:val="bottom"/>
            <w:tcBorders>
              <w:right w:val="single" w:sz="8" w:color="2D53A6"/>
            </w:tcBorders>
            <w:shd w:val="clear" w:color="auto" w:fill="2D53A6"/>
          </w:tcPr>
          <w:p>
            <w:pPr>
              <w:spacing w:after="0" w:line="20" w:lineRule="exact"/>
              <w:rPr>
                <w:sz w:val="1"/>
                <w:szCs w:val="1"/>
                <w:color w:val="auto"/>
              </w:rPr>
            </w:pPr>
          </w:p>
        </w:tc>
        <w:tc>
          <w:tcPr>
            <w:tcW w:w="1620" w:type="dxa"/>
            <w:vAlign w:val="bottom"/>
            <w:tcBorders>
              <w:right w:val="single" w:sz="8" w:color="2D53A6"/>
            </w:tcBorders>
            <w:shd w:val="clear" w:color="auto" w:fill="2D53A6"/>
          </w:tcPr>
          <w:p>
            <w:pPr>
              <w:spacing w:after="0" w:line="20" w:lineRule="exact"/>
              <w:rPr>
                <w:sz w:val="1"/>
                <w:szCs w:val="1"/>
                <w:color w:val="auto"/>
              </w:rPr>
            </w:pPr>
          </w:p>
        </w:tc>
        <w:tc>
          <w:tcPr>
            <w:tcW w:w="160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PSUs granted at the target award level.</w:t>
      </w:r>
    </w:p>
    <w:p>
      <w:pPr>
        <w:spacing w:after="0" w:line="15" w:lineRule="exact"/>
        <w:rPr>
          <w:rFonts w:ascii="Arial" w:cs="Arial" w:eastAsia="Arial" w:hAnsi="Arial"/>
          <w:sz w:val="14"/>
          <w:szCs w:val="14"/>
          <w:color w:val="auto"/>
        </w:rPr>
      </w:pPr>
    </w:p>
    <w:p>
      <w:pPr>
        <w:ind w:left="340" w:right="220" w:hanging="332"/>
        <w:spacing w:after="0" w:line="264"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20-day average closing price of COHU common stock preceding the grant date of March 11, 2025 was $19.78. The amounts shown above are the grant date target face value for stock awards issued in the form of RSUs and PSUs granted in 2025 as calculated based on the $19.78 average closing price.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 Unit Awards</w:t>
      </w:r>
    </w:p>
    <w:p>
      <w:pPr>
        <w:spacing w:after="0" w:line="19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Consistent with our other employee equity awards, the RSU awards granted to our executive officers in 2025 vest ratably over three years on each anniversary of the date of the grant.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Stock Unit Awards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2025 PSU Awards</w:t>
      </w:r>
    </w:p>
    <w:p>
      <w:pPr>
        <w:spacing w:after="0" w:line="198"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In 2025, the Compensation Committee evaluated its historical use of custom peer groups as the Comparator Group for the TSR in PSU awards and determined that continuing to use a broader-based index of companies remained appropriate to assess the performance of Cohu’s TSR. Therefore, the PSU awards granted to our executive officers in March 2025 will be earned based on our TSR as compared to the Russell 2000 Index (“RUT”) measured over a three-year performance period beginning on the first day of our fiscal year 2025, with earned shares vesting fully on the third anniversary of the date of grant. The performance period for the 2025 PSU Awards was set at three years to enhance the long-term focus of the program.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methodology on how shares of our common stock may be earned under the 2025 PSU Awards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396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20"/>
                <w:szCs w:val="20"/>
                <w:b w:val="1"/>
                <w:bCs w:val="1"/>
                <w:color w:val="FFFFFF"/>
              </w:rPr>
              <w:t>PSU Award Feature</w:t>
            </w:r>
          </w:p>
        </w:tc>
        <w:tc>
          <w:tcPr>
            <w:tcW w:w="7280" w:type="dxa"/>
            <w:vAlign w:val="bottom"/>
            <w:shd w:val="clear" w:color="auto" w:fill="2D53A6"/>
          </w:tcPr>
          <w:p>
            <w:pPr>
              <w:ind w:left="40"/>
              <w:spacing w:after="0"/>
              <w:rPr>
                <w:sz w:val="20"/>
                <w:szCs w:val="20"/>
                <w:color w:val="auto"/>
              </w:rPr>
            </w:pPr>
            <w:r>
              <w:rPr>
                <w:rFonts w:ascii="Arial" w:cs="Arial" w:eastAsia="Arial" w:hAnsi="Arial"/>
                <w:sz w:val="20"/>
                <w:szCs w:val="20"/>
                <w:b w:val="1"/>
                <w:bCs w:val="1"/>
                <w:color w:val="FFFFFF"/>
              </w:rPr>
              <w:t>Description</w:t>
            </w:r>
          </w:p>
        </w:tc>
        <w:tc>
          <w:tcPr>
            <w:tcW w:w="0" w:type="dxa"/>
            <w:vAlign w:val="bottom"/>
          </w:tcPr>
          <w:p>
            <w:pPr>
              <w:spacing w:after="0"/>
              <w:rPr>
                <w:sz w:val="1"/>
                <w:szCs w:val="1"/>
                <w:color w:val="auto"/>
              </w:rPr>
            </w:pPr>
          </w:p>
        </w:tc>
      </w:tr>
      <w:tr>
        <w:trPr>
          <w:trHeight w:val="261"/>
        </w:trPr>
        <w:tc>
          <w:tcPr>
            <w:tcW w:w="396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Performance Period</w:t>
            </w:r>
          </w:p>
        </w:tc>
        <w:tc>
          <w:tcPr>
            <w:tcW w:w="7280" w:type="dxa"/>
            <w:vAlign w:val="bottom"/>
          </w:tcPr>
          <w:p>
            <w:pPr>
              <w:ind w:left="40"/>
              <w:spacing w:after="0"/>
              <w:rPr>
                <w:sz w:val="20"/>
                <w:szCs w:val="20"/>
                <w:color w:val="auto"/>
              </w:rPr>
            </w:pPr>
            <w:r>
              <w:rPr>
                <w:rFonts w:ascii="Arial" w:cs="Arial" w:eastAsia="Arial" w:hAnsi="Arial"/>
                <w:sz w:val="18"/>
                <w:szCs w:val="18"/>
                <w:color w:val="auto"/>
              </w:rPr>
              <w:t>Three fiscal years beginning on the first day of 2025</w:t>
            </w:r>
          </w:p>
        </w:tc>
        <w:tc>
          <w:tcPr>
            <w:tcW w:w="0" w:type="dxa"/>
            <w:vAlign w:val="bottom"/>
          </w:tcPr>
          <w:p>
            <w:pPr>
              <w:spacing w:after="0"/>
              <w:rPr>
                <w:sz w:val="1"/>
                <w:szCs w:val="1"/>
                <w:color w:val="auto"/>
              </w:rPr>
            </w:pPr>
          </w:p>
        </w:tc>
      </w:tr>
      <w:tr>
        <w:trPr>
          <w:trHeight w:val="23"/>
        </w:trPr>
        <w:tc>
          <w:tcPr>
            <w:tcW w:w="3960" w:type="dxa"/>
            <w:vAlign w:val="bottom"/>
            <w:tcBorders>
              <w:bottom w:val="single" w:sz="8" w:color="2D53A6"/>
              <w:right w:val="single" w:sz="8" w:color="2D53A6"/>
            </w:tcBorders>
          </w:tcPr>
          <w:p>
            <w:pPr>
              <w:spacing w:after="0"/>
              <w:rPr>
                <w:sz w:val="2"/>
                <w:szCs w:val="2"/>
                <w:color w:val="auto"/>
              </w:rPr>
            </w:pPr>
          </w:p>
        </w:tc>
        <w:tc>
          <w:tcPr>
            <w:tcW w:w="72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6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Performance Measure</w:t>
            </w:r>
          </w:p>
        </w:tc>
        <w:tc>
          <w:tcPr>
            <w:tcW w:w="72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TSR performance relative to the Russell 2000 Index (“RUT”)</w:t>
            </w:r>
          </w:p>
        </w:tc>
        <w:tc>
          <w:tcPr>
            <w:tcW w:w="0" w:type="dxa"/>
            <w:vAlign w:val="bottom"/>
          </w:tcPr>
          <w:p>
            <w:pPr>
              <w:spacing w:after="0"/>
              <w:rPr>
                <w:sz w:val="1"/>
                <w:szCs w:val="1"/>
                <w:color w:val="auto"/>
              </w:rPr>
            </w:pPr>
          </w:p>
        </w:tc>
      </w:tr>
      <w:tr>
        <w:trPr>
          <w:trHeight w:val="218"/>
        </w:trPr>
        <w:tc>
          <w:tcPr>
            <w:tcW w:w="3960" w:type="dxa"/>
            <w:vAlign w:val="bottom"/>
            <w:tcBorders>
              <w:top w:val="single" w:sz="8" w:color="2D53A6"/>
              <w:right w:val="single" w:sz="8" w:color="2D53A6"/>
            </w:tcBorders>
            <w:vMerge w:val="restart"/>
          </w:tcPr>
          <w:p>
            <w:pPr>
              <w:ind w:left="40"/>
              <w:spacing w:after="0"/>
              <w:rPr>
                <w:sz w:val="20"/>
                <w:szCs w:val="20"/>
                <w:color w:val="auto"/>
              </w:rPr>
            </w:pPr>
            <w:r>
              <w:rPr>
                <w:rFonts w:ascii="Arial" w:cs="Arial" w:eastAsia="Arial" w:hAnsi="Arial"/>
                <w:sz w:val="18"/>
                <w:szCs w:val="18"/>
                <w:color w:val="auto"/>
              </w:rPr>
              <w:t>Performance Scale</w:t>
            </w:r>
          </w:p>
        </w:tc>
        <w:tc>
          <w:tcPr>
            <w:tcW w:w="7280" w:type="dxa"/>
            <w:vAlign w:val="bottom"/>
            <w:tcBorders>
              <w:top w:val="single" w:sz="8" w:color="2D53A6"/>
            </w:tcBorders>
          </w:tcPr>
          <w:p>
            <w:pPr>
              <w:ind w:left="40"/>
              <w:spacing w:after="0"/>
              <w:rPr>
                <w:sz w:val="20"/>
                <w:szCs w:val="20"/>
                <w:color w:val="auto"/>
              </w:rPr>
            </w:pPr>
            <w:r>
              <w:rPr>
                <w:rFonts w:ascii="Arial" w:cs="Arial" w:eastAsia="Arial" w:hAnsi="Arial"/>
                <w:sz w:val="18"/>
                <w:szCs w:val="18"/>
                <w:color w:val="auto"/>
              </w:rPr>
              <w:t>2x spread between COHU and RUT measured and added or subtracted from target</w:t>
            </w:r>
          </w:p>
        </w:tc>
        <w:tc>
          <w:tcPr>
            <w:tcW w:w="0" w:type="dxa"/>
            <w:vAlign w:val="bottom"/>
          </w:tcPr>
          <w:p>
            <w:pPr>
              <w:spacing w:after="0"/>
              <w:rPr>
                <w:sz w:val="1"/>
                <w:szCs w:val="1"/>
                <w:color w:val="auto"/>
              </w:rPr>
            </w:pPr>
          </w:p>
        </w:tc>
      </w:tr>
      <w:tr>
        <w:trPr>
          <w:trHeight w:val="131"/>
        </w:trPr>
        <w:tc>
          <w:tcPr>
            <w:tcW w:w="3960" w:type="dxa"/>
            <w:vAlign w:val="bottom"/>
            <w:tcBorders>
              <w:right w:val="single" w:sz="8" w:color="2D53A6"/>
            </w:tcBorders>
            <w:vMerge w:val="continue"/>
          </w:tcPr>
          <w:p>
            <w:pPr>
              <w:spacing w:after="0"/>
              <w:rPr>
                <w:sz w:val="11"/>
                <w:szCs w:val="11"/>
                <w:color w:val="auto"/>
              </w:rPr>
            </w:pPr>
          </w:p>
        </w:tc>
        <w:tc>
          <w:tcPr>
            <w:tcW w:w="7280" w:type="dxa"/>
            <w:vAlign w:val="bottom"/>
            <w:vMerge w:val="restart"/>
          </w:tcPr>
          <w:p>
            <w:pPr>
              <w:ind w:lef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3960" w:type="dxa"/>
            <w:vAlign w:val="bottom"/>
            <w:tcBorders>
              <w:right w:val="single" w:sz="8" w:color="2D53A6"/>
            </w:tcBorders>
          </w:tcPr>
          <w:p>
            <w:pPr>
              <w:spacing w:after="0"/>
              <w:rPr>
                <w:sz w:val="9"/>
                <w:szCs w:val="9"/>
                <w:color w:val="auto"/>
              </w:rPr>
            </w:pPr>
          </w:p>
        </w:tc>
        <w:tc>
          <w:tcPr>
            <w:tcW w:w="7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60" w:type="dxa"/>
            <w:vAlign w:val="bottom"/>
            <w:tcBorders>
              <w:bottom w:val="single" w:sz="8" w:color="2D53A6"/>
              <w:right w:val="single" w:sz="8" w:color="2D53A6"/>
            </w:tcBorders>
          </w:tcPr>
          <w:p>
            <w:pPr>
              <w:spacing w:after="0"/>
              <w:rPr>
                <w:sz w:val="2"/>
                <w:szCs w:val="2"/>
                <w:color w:val="auto"/>
              </w:rPr>
            </w:pPr>
          </w:p>
        </w:tc>
        <w:tc>
          <w:tcPr>
            <w:tcW w:w="72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60" w:type="dxa"/>
            <w:vAlign w:val="bottom"/>
            <w:tcBorders>
              <w:right w:val="single" w:sz="8" w:color="2D53A6"/>
            </w:tcBorders>
            <w:shd w:val="clear" w:color="auto" w:fill="E6E6E6"/>
          </w:tcPr>
          <w:p>
            <w:pPr>
              <w:spacing w:after="0"/>
              <w:rPr>
                <w:sz w:val="18"/>
                <w:szCs w:val="18"/>
                <w:color w:val="auto"/>
              </w:rPr>
            </w:pPr>
          </w:p>
        </w:tc>
        <w:tc>
          <w:tcPr>
            <w:tcW w:w="7280" w:type="dxa"/>
            <w:vAlign w:val="bottom"/>
            <w:shd w:val="clear" w:color="auto" w:fill="E6E6E6"/>
          </w:tcPr>
          <w:p>
            <w:pPr>
              <w:ind w:left="40"/>
              <w:spacing w:after="0"/>
              <w:rPr>
                <w:sz w:val="20"/>
                <w:szCs w:val="20"/>
                <w:color w:val="auto"/>
              </w:rPr>
            </w:pPr>
            <w:r>
              <w:rPr>
                <w:rFonts w:ascii="Arial" w:cs="Arial" w:eastAsia="Arial" w:hAnsi="Arial"/>
                <w:sz w:val="18"/>
                <w:szCs w:val="18"/>
                <w:color w:val="auto"/>
              </w:rPr>
              <w:t>Net change in average closing price of COHU and RUT over the 20 trading-day period</w:t>
            </w:r>
          </w:p>
        </w:tc>
        <w:tc>
          <w:tcPr>
            <w:tcW w:w="0" w:type="dxa"/>
            <w:vAlign w:val="bottom"/>
          </w:tcPr>
          <w:p>
            <w:pPr>
              <w:spacing w:after="0"/>
              <w:rPr>
                <w:sz w:val="1"/>
                <w:szCs w:val="1"/>
                <w:color w:val="auto"/>
              </w:rPr>
            </w:pPr>
          </w:p>
        </w:tc>
      </w:tr>
      <w:tr>
        <w:trPr>
          <w:trHeight w:val="203"/>
        </w:trPr>
        <w:tc>
          <w:tcPr>
            <w:tcW w:w="3960" w:type="dxa"/>
            <w:vAlign w:val="bottom"/>
            <w:tcBorders>
              <w:right w:val="single" w:sz="8" w:color="2D53A6"/>
            </w:tcBorders>
            <w:vMerge w:val="restart"/>
            <w:shd w:val="clear" w:color="auto" w:fill="E6E6E6"/>
          </w:tcPr>
          <w:p>
            <w:pPr>
              <w:ind w:left="40"/>
              <w:spacing w:after="0"/>
              <w:rPr>
                <w:sz w:val="20"/>
                <w:szCs w:val="20"/>
                <w:color w:val="auto"/>
              </w:rPr>
            </w:pPr>
            <w:r>
              <w:rPr>
                <w:rFonts w:ascii="Arial" w:cs="Arial" w:eastAsia="Arial" w:hAnsi="Arial"/>
                <w:sz w:val="18"/>
                <w:szCs w:val="18"/>
                <w:color w:val="auto"/>
              </w:rPr>
              <w:t>Performance Methodology</w:t>
            </w:r>
          </w:p>
        </w:tc>
        <w:tc>
          <w:tcPr>
            <w:tcW w:w="7280" w:type="dxa"/>
            <w:vAlign w:val="bottom"/>
            <w:shd w:val="clear" w:color="auto" w:fill="E6E6E6"/>
          </w:tcPr>
          <w:p>
            <w:pPr>
              <w:ind w:left="40"/>
              <w:spacing w:after="0" w:line="202" w:lineRule="exact"/>
              <w:rPr>
                <w:sz w:val="20"/>
                <w:szCs w:val="20"/>
                <w:color w:val="auto"/>
              </w:rPr>
            </w:pPr>
            <w:r>
              <w:rPr>
                <w:rFonts w:ascii="Arial" w:cs="Arial" w:eastAsia="Arial" w:hAnsi="Arial"/>
                <w:sz w:val="18"/>
                <w:szCs w:val="18"/>
                <w:color w:val="auto"/>
              </w:rPr>
              <w:t>immediately preceding the beginning and end of the Performance Period. In the event that</w:t>
            </w:r>
          </w:p>
        </w:tc>
        <w:tc>
          <w:tcPr>
            <w:tcW w:w="0" w:type="dxa"/>
            <w:vAlign w:val="bottom"/>
          </w:tcPr>
          <w:p>
            <w:pPr>
              <w:spacing w:after="0"/>
              <w:rPr>
                <w:sz w:val="1"/>
                <w:szCs w:val="1"/>
                <w:color w:val="auto"/>
              </w:rPr>
            </w:pPr>
          </w:p>
        </w:tc>
      </w:tr>
      <w:tr>
        <w:trPr>
          <w:trHeight w:val="131"/>
        </w:trPr>
        <w:tc>
          <w:tcPr>
            <w:tcW w:w="3960" w:type="dxa"/>
            <w:vAlign w:val="bottom"/>
            <w:tcBorders>
              <w:right w:val="single" w:sz="8" w:color="2D53A6"/>
            </w:tcBorders>
            <w:vMerge w:val="continue"/>
            <w:shd w:val="clear" w:color="auto" w:fill="E6E6E6"/>
          </w:tcPr>
          <w:p>
            <w:pPr>
              <w:spacing w:after="0"/>
              <w:rPr>
                <w:sz w:val="11"/>
                <w:szCs w:val="11"/>
                <w:color w:val="auto"/>
              </w:rPr>
            </w:pPr>
          </w:p>
        </w:tc>
        <w:tc>
          <w:tcPr>
            <w:tcW w:w="7280" w:type="dxa"/>
            <w:vAlign w:val="bottom"/>
            <w:vMerge w:val="restart"/>
            <w:shd w:val="clear" w:color="auto" w:fill="E6E6E6"/>
          </w:tcPr>
          <w:p>
            <w:pPr>
              <w:ind w:left="40"/>
              <w:spacing w:after="0" w:line="202" w:lineRule="exact"/>
              <w:rPr>
                <w:sz w:val="20"/>
                <w:szCs w:val="20"/>
                <w:color w:val="auto"/>
              </w:rPr>
            </w:pPr>
            <w:r>
              <w:rPr>
                <w:rFonts w:ascii="Arial" w:cs="Arial" w:eastAsia="Arial" w:hAnsi="Arial"/>
                <w:sz w:val="18"/>
                <w:szCs w:val="18"/>
                <w:color w:val="auto"/>
              </w:rPr>
              <w:t>both COHU and RUT TSRs are less than zero, the number of shares earned will not</w:t>
            </w:r>
          </w:p>
        </w:tc>
        <w:tc>
          <w:tcPr>
            <w:tcW w:w="0" w:type="dxa"/>
            <w:vAlign w:val="bottom"/>
          </w:tcPr>
          <w:p>
            <w:pPr>
              <w:spacing w:after="0"/>
              <w:rPr>
                <w:sz w:val="1"/>
                <w:szCs w:val="1"/>
                <w:color w:val="auto"/>
              </w:rPr>
            </w:pPr>
          </w:p>
        </w:tc>
      </w:tr>
      <w:tr>
        <w:trPr>
          <w:trHeight w:val="72"/>
        </w:trPr>
        <w:tc>
          <w:tcPr>
            <w:tcW w:w="3960" w:type="dxa"/>
            <w:vAlign w:val="bottom"/>
            <w:tcBorders>
              <w:right w:val="single" w:sz="8" w:color="2D53A6"/>
            </w:tcBorders>
            <w:shd w:val="clear" w:color="auto" w:fill="E6E6E6"/>
          </w:tcPr>
          <w:p>
            <w:pPr>
              <w:spacing w:after="0"/>
              <w:rPr>
                <w:sz w:val="6"/>
                <w:szCs w:val="6"/>
                <w:color w:val="auto"/>
              </w:rPr>
            </w:pPr>
          </w:p>
        </w:tc>
        <w:tc>
          <w:tcPr>
            <w:tcW w:w="7280" w:type="dxa"/>
            <w:vAlign w:val="bottom"/>
            <w:vMerge w:val="continue"/>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3960" w:type="dxa"/>
            <w:vAlign w:val="bottom"/>
            <w:tcBorders>
              <w:bottom w:val="single" w:sz="8" w:color="E6E6E6"/>
              <w:right w:val="single" w:sz="8" w:color="2D53A6"/>
            </w:tcBorders>
            <w:shd w:val="clear" w:color="auto" w:fill="E6E6E6"/>
          </w:tcPr>
          <w:p>
            <w:pPr>
              <w:spacing w:after="0"/>
              <w:rPr>
                <w:sz w:val="22"/>
                <w:szCs w:val="22"/>
                <w:color w:val="auto"/>
              </w:rPr>
            </w:pPr>
          </w:p>
        </w:tc>
        <w:tc>
          <w:tcPr>
            <w:tcW w:w="72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exceed 100% of target.</w:t>
            </w:r>
          </w:p>
        </w:tc>
        <w:tc>
          <w:tcPr>
            <w:tcW w:w="0" w:type="dxa"/>
            <w:vAlign w:val="bottom"/>
          </w:tcPr>
          <w:p>
            <w:pPr>
              <w:spacing w:after="0"/>
              <w:rPr>
                <w:sz w:val="1"/>
                <w:szCs w:val="1"/>
                <w:color w:val="auto"/>
              </w:rPr>
            </w:pPr>
          </w:p>
        </w:tc>
      </w:tr>
      <w:tr>
        <w:trPr>
          <w:trHeight w:val="254"/>
        </w:trPr>
        <w:tc>
          <w:tcPr>
            <w:tcW w:w="396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Range of PSUs Earnable</w:t>
            </w:r>
          </w:p>
        </w:tc>
        <w:tc>
          <w:tcPr>
            <w:tcW w:w="7280" w:type="dxa"/>
            <w:vAlign w:val="bottom"/>
            <w:tcBorders>
              <w:top w:val="single" w:sz="8" w:color="2D53A6"/>
            </w:tcBorders>
          </w:tcPr>
          <w:p>
            <w:pPr>
              <w:ind w:left="40"/>
              <w:spacing w:after="0"/>
              <w:rPr>
                <w:sz w:val="20"/>
                <w:szCs w:val="20"/>
                <w:color w:val="auto"/>
              </w:rPr>
            </w:pPr>
            <w:r>
              <w:rPr>
                <w:rFonts w:ascii="Arial" w:cs="Arial" w:eastAsia="Arial" w:hAnsi="Arial"/>
                <w:sz w:val="18"/>
                <w:szCs w:val="18"/>
                <w:color w:val="auto"/>
              </w:rPr>
              <w:t>0-200% of number of shares granted</w:t>
            </w:r>
          </w:p>
        </w:tc>
        <w:tc>
          <w:tcPr>
            <w:tcW w:w="0" w:type="dxa"/>
            <w:vAlign w:val="bottom"/>
          </w:tcPr>
          <w:p>
            <w:pPr>
              <w:spacing w:after="0"/>
              <w:rPr>
                <w:sz w:val="1"/>
                <w:szCs w:val="1"/>
                <w:color w:val="auto"/>
              </w:rPr>
            </w:pPr>
          </w:p>
        </w:tc>
      </w:tr>
      <w:tr>
        <w:trPr>
          <w:trHeight w:val="23"/>
        </w:trPr>
        <w:tc>
          <w:tcPr>
            <w:tcW w:w="3960" w:type="dxa"/>
            <w:vAlign w:val="bottom"/>
            <w:tcBorders>
              <w:bottom w:val="single" w:sz="8" w:color="2D53A6"/>
              <w:right w:val="single" w:sz="8" w:color="2D53A6"/>
            </w:tcBorders>
          </w:tcPr>
          <w:p>
            <w:pPr>
              <w:spacing w:after="0"/>
              <w:rPr>
                <w:sz w:val="2"/>
                <w:szCs w:val="2"/>
                <w:color w:val="auto"/>
              </w:rPr>
            </w:pPr>
          </w:p>
        </w:tc>
        <w:tc>
          <w:tcPr>
            <w:tcW w:w="72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Vesting Period</w:t>
            </w:r>
          </w:p>
        </w:tc>
        <w:tc>
          <w:tcPr>
            <w:tcW w:w="72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100% on third anniversary of the date of the grant</w:t>
            </w:r>
          </w:p>
        </w:tc>
        <w:tc>
          <w:tcPr>
            <w:tcW w:w="0" w:type="dxa"/>
            <w:vAlign w:val="bottom"/>
          </w:tcPr>
          <w:p>
            <w:pPr>
              <w:spacing w:after="0"/>
              <w:rPr>
                <w:sz w:val="1"/>
                <w:szCs w:val="1"/>
                <w:color w:val="auto"/>
              </w:rPr>
            </w:pPr>
          </w:p>
        </w:tc>
      </w:tr>
      <w:tr>
        <w:trPr>
          <w:trHeight w:val="20"/>
        </w:trPr>
        <w:tc>
          <w:tcPr>
            <w:tcW w:w="3960" w:type="dxa"/>
            <w:vAlign w:val="bottom"/>
            <w:tcBorders>
              <w:right w:val="single" w:sz="8" w:color="2D53A6"/>
            </w:tcBorders>
            <w:shd w:val="clear" w:color="auto" w:fill="2D53A6"/>
          </w:tcPr>
          <w:p>
            <w:pPr>
              <w:spacing w:after="0" w:line="20" w:lineRule="exact"/>
              <w:rPr>
                <w:sz w:val="1"/>
                <w:szCs w:val="1"/>
                <w:color w:val="auto"/>
              </w:rPr>
            </w:pPr>
          </w:p>
        </w:tc>
        <w:tc>
          <w:tcPr>
            <w:tcW w:w="728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2023 PSU Award Results</w:t>
      </w:r>
    </w:p>
    <w:p>
      <w:pPr>
        <w:spacing w:after="0" w:line="19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2023 PSU awards had a three-year performance period after which the number of shares of our common stock earned was determined based on calculating two times the spread between the percentage increase or decrease in the COHU and RUT measured and added or subtracted from the target of 100%. The spread was measured as the net change in average closing market prices of COHU and RUT over the 20 trading-day period immediately preceding both January 1, 2023 (the beginning of the Performance Period) and December 27, 2025 (the end of the Performance Period).</w:t>
      </w:r>
    </w:p>
    <w:p>
      <w:pPr>
        <w:spacing w:after="0" w:line="163"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Following the end of 2025, the Compensation Committee compared our actual performance with respect to the RUT and the TSR result for the years 2023 through 2025 which was calculated to be –69.5% and, therefore, the number of shares of our common stock earned under the 2022 PSU awards was 0% of the target number of shares granted to each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our common stock earned by our NEOs with respect to their 2023 PSU awards was: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00" w:type="dxa"/>
            <w:vAlign w:val="bottom"/>
            <w:tcBorders>
              <w:right w:val="single" w:sz="8" w:color="2D53A6"/>
            </w:tcBorders>
            <w:shd w:val="clear" w:color="auto" w:fill="2D53A6"/>
          </w:tcPr>
          <w:p>
            <w:pPr>
              <w:spacing w:after="0"/>
              <w:rPr>
                <w:sz w:val="20"/>
                <w:szCs w:val="20"/>
                <w:color w:val="auto"/>
              </w:rPr>
            </w:pPr>
          </w:p>
        </w:tc>
        <w:tc>
          <w:tcPr>
            <w:tcW w:w="16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Performance</w:t>
            </w:r>
          </w:p>
        </w:tc>
        <w:tc>
          <w:tcPr>
            <w:tcW w:w="1620" w:type="dxa"/>
            <w:vAlign w:val="bottom"/>
            <w:tcBorders>
              <w:right w:val="single" w:sz="8" w:color="2D53A6"/>
            </w:tcBorders>
            <w:shd w:val="clear" w:color="auto" w:fill="2D53A6"/>
          </w:tcPr>
          <w:p>
            <w:pPr>
              <w:spacing w:after="0"/>
              <w:rPr>
                <w:sz w:val="20"/>
                <w:szCs w:val="20"/>
                <w:color w:val="auto"/>
              </w:rPr>
            </w:pPr>
          </w:p>
        </w:tc>
        <w:tc>
          <w:tcPr>
            <w:tcW w:w="1600" w:type="dxa"/>
            <w:vAlign w:val="bottom"/>
            <w:tcBorders>
              <w:right w:val="single" w:sz="8" w:color="2D53A6"/>
            </w:tcBorders>
            <w:shd w:val="clear" w:color="auto" w:fill="2D53A6"/>
          </w:tcPr>
          <w:p>
            <w:pPr>
              <w:spacing w:after="0"/>
              <w:rPr>
                <w:sz w:val="20"/>
                <w:szCs w:val="20"/>
                <w:color w:val="auto"/>
              </w:rPr>
            </w:pPr>
          </w:p>
        </w:tc>
        <w:tc>
          <w:tcPr>
            <w:tcW w:w="160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Final Shares</w:t>
            </w:r>
          </w:p>
        </w:tc>
        <w:tc>
          <w:tcPr>
            <w:tcW w:w="0" w:type="dxa"/>
            <w:vAlign w:val="bottom"/>
          </w:tcPr>
          <w:p>
            <w:pPr>
              <w:spacing w:after="0"/>
              <w:rPr>
                <w:sz w:val="1"/>
                <w:szCs w:val="1"/>
                <w:color w:val="auto"/>
              </w:rPr>
            </w:pPr>
          </w:p>
        </w:tc>
      </w:tr>
      <w:tr>
        <w:trPr>
          <w:trHeight w:val="108"/>
        </w:trPr>
        <w:tc>
          <w:tcPr>
            <w:tcW w:w="4800" w:type="dxa"/>
            <w:vAlign w:val="bottom"/>
            <w:tcBorders>
              <w:right w:val="single" w:sz="8" w:color="2D53A6"/>
            </w:tcBorders>
            <w:shd w:val="clear" w:color="auto" w:fill="2D53A6"/>
          </w:tcPr>
          <w:p>
            <w:pPr>
              <w:spacing w:after="0"/>
              <w:rPr>
                <w:sz w:val="9"/>
                <w:szCs w:val="9"/>
                <w:color w:val="auto"/>
              </w:rPr>
            </w:pPr>
          </w:p>
        </w:tc>
        <w:tc>
          <w:tcPr>
            <w:tcW w:w="1620" w:type="dxa"/>
            <w:vAlign w:val="bottom"/>
            <w:tcBorders>
              <w:right w:val="single" w:sz="8" w:color="2D53A6"/>
            </w:tcBorders>
            <w:vMerge w:val="continue"/>
            <w:shd w:val="clear" w:color="auto" w:fill="2D53A6"/>
          </w:tcPr>
          <w:p>
            <w:pPr>
              <w:spacing w:after="0"/>
              <w:rPr>
                <w:sz w:val="9"/>
                <w:szCs w:val="9"/>
                <w:color w:val="auto"/>
              </w:rPr>
            </w:pPr>
          </w:p>
        </w:tc>
        <w:tc>
          <w:tcPr>
            <w:tcW w:w="1620" w:type="dxa"/>
            <w:vAlign w:val="bottom"/>
            <w:tcBorders>
              <w:right w:val="single" w:sz="8" w:color="2D53A6"/>
            </w:tcBorders>
            <w:shd w:val="clear" w:color="auto" w:fill="2D53A6"/>
          </w:tcPr>
          <w:p>
            <w:pPr>
              <w:spacing w:after="0"/>
              <w:rPr>
                <w:sz w:val="9"/>
                <w:szCs w:val="9"/>
                <w:color w:val="auto"/>
              </w:rPr>
            </w:pPr>
          </w:p>
        </w:tc>
        <w:tc>
          <w:tcPr>
            <w:tcW w:w="1600" w:type="dxa"/>
            <w:vAlign w:val="bottom"/>
            <w:tcBorders>
              <w:right w:val="single" w:sz="8" w:color="2D53A6"/>
            </w:tcBorders>
            <w:shd w:val="clear" w:color="auto" w:fill="2D53A6"/>
          </w:tcPr>
          <w:p>
            <w:pPr>
              <w:spacing w:after="0"/>
              <w:rPr>
                <w:sz w:val="9"/>
                <w:szCs w:val="9"/>
                <w:color w:val="auto"/>
              </w:rPr>
            </w:pPr>
          </w:p>
        </w:tc>
        <w:tc>
          <w:tcPr>
            <w:tcW w:w="160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Earned as a</w:t>
            </w:r>
          </w:p>
        </w:tc>
        <w:tc>
          <w:tcPr>
            <w:tcW w:w="0" w:type="dxa"/>
            <w:vAlign w:val="bottom"/>
          </w:tcPr>
          <w:p>
            <w:pPr>
              <w:spacing w:after="0"/>
              <w:rPr>
                <w:sz w:val="1"/>
                <w:szCs w:val="1"/>
                <w:color w:val="auto"/>
              </w:rPr>
            </w:pPr>
          </w:p>
        </w:tc>
      </w:tr>
      <w:tr>
        <w:trPr>
          <w:trHeight w:val="108"/>
        </w:trPr>
        <w:tc>
          <w:tcPr>
            <w:tcW w:w="4800" w:type="dxa"/>
            <w:vAlign w:val="bottom"/>
            <w:tcBorders>
              <w:right w:val="single" w:sz="8" w:color="2D53A6"/>
            </w:tcBorders>
            <w:shd w:val="clear" w:color="auto" w:fill="2D53A6"/>
          </w:tcPr>
          <w:p>
            <w:pPr>
              <w:spacing w:after="0"/>
              <w:rPr>
                <w:sz w:val="9"/>
                <w:szCs w:val="9"/>
                <w:color w:val="auto"/>
              </w:rPr>
            </w:pPr>
          </w:p>
        </w:tc>
        <w:tc>
          <w:tcPr>
            <w:tcW w:w="162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Stock Unit</w:t>
            </w:r>
          </w:p>
        </w:tc>
        <w:tc>
          <w:tcPr>
            <w:tcW w:w="1620" w:type="dxa"/>
            <w:vAlign w:val="bottom"/>
            <w:tcBorders>
              <w:right w:val="single" w:sz="8" w:color="2D53A6"/>
            </w:tcBorders>
            <w:shd w:val="clear" w:color="auto" w:fill="2D53A6"/>
          </w:tcPr>
          <w:p>
            <w:pPr>
              <w:spacing w:after="0"/>
              <w:rPr>
                <w:sz w:val="9"/>
                <w:szCs w:val="9"/>
                <w:color w:val="auto"/>
              </w:rPr>
            </w:pPr>
          </w:p>
        </w:tc>
        <w:tc>
          <w:tcPr>
            <w:tcW w:w="1600" w:type="dxa"/>
            <w:vAlign w:val="bottom"/>
            <w:tcBorders>
              <w:right w:val="single" w:sz="8" w:color="2D53A6"/>
            </w:tcBorders>
            <w:shd w:val="clear" w:color="auto" w:fill="2D53A6"/>
          </w:tcPr>
          <w:p>
            <w:pPr>
              <w:spacing w:after="0"/>
              <w:rPr>
                <w:sz w:val="9"/>
                <w:szCs w:val="9"/>
                <w:color w:val="auto"/>
              </w:rPr>
            </w:pPr>
          </w:p>
        </w:tc>
        <w:tc>
          <w:tcPr>
            <w:tcW w:w="16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0" w:type="dxa"/>
            <w:vAlign w:val="bottom"/>
            <w:tcBorders>
              <w:right w:val="single" w:sz="8" w:color="2D53A6"/>
            </w:tcBorders>
            <w:shd w:val="clear" w:color="auto" w:fill="2D53A6"/>
          </w:tcPr>
          <w:p>
            <w:pPr>
              <w:spacing w:after="0"/>
              <w:rPr>
                <w:sz w:val="9"/>
                <w:szCs w:val="9"/>
                <w:color w:val="auto"/>
              </w:rPr>
            </w:pPr>
          </w:p>
        </w:tc>
        <w:tc>
          <w:tcPr>
            <w:tcW w:w="1620" w:type="dxa"/>
            <w:vAlign w:val="bottom"/>
            <w:tcBorders>
              <w:right w:val="single" w:sz="8" w:color="2D53A6"/>
            </w:tcBorders>
            <w:vMerge w:val="continue"/>
            <w:shd w:val="clear" w:color="auto" w:fill="2D53A6"/>
          </w:tcPr>
          <w:p>
            <w:pPr>
              <w:spacing w:after="0"/>
              <w:rPr>
                <w:sz w:val="9"/>
                <w:szCs w:val="9"/>
                <w:color w:val="auto"/>
              </w:rPr>
            </w:pPr>
          </w:p>
        </w:tc>
        <w:tc>
          <w:tcPr>
            <w:tcW w:w="1620" w:type="dxa"/>
            <w:vAlign w:val="bottom"/>
            <w:tcBorders>
              <w:right w:val="single" w:sz="8" w:color="2D53A6"/>
            </w:tcBorders>
            <w:shd w:val="clear" w:color="auto" w:fill="2D53A6"/>
          </w:tcPr>
          <w:p>
            <w:pPr>
              <w:spacing w:after="0"/>
              <w:rPr>
                <w:sz w:val="9"/>
                <w:szCs w:val="9"/>
                <w:color w:val="auto"/>
              </w:rPr>
            </w:pPr>
          </w:p>
        </w:tc>
        <w:tc>
          <w:tcPr>
            <w:tcW w:w="1600" w:type="dxa"/>
            <w:vAlign w:val="bottom"/>
            <w:tcBorders>
              <w:right w:val="single" w:sz="8" w:color="2D53A6"/>
            </w:tcBorders>
            <w:shd w:val="clear" w:color="auto" w:fill="2D53A6"/>
          </w:tcPr>
          <w:p>
            <w:pPr>
              <w:spacing w:after="0"/>
              <w:rPr>
                <w:sz w:val="9"/>
                <w:szCs w:val="9"/>
                <w:color w:val="auto"/>
              </w:rPr>
            </w:pPr>
          </w:p>
        </w:tc>
        <w:tc>
          <w:tcPr>
            <w:tcW w:w="160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rPr>
              <w:t>Percentage</w:t>
            </w:r>
          </w:p>
        </w:tc>
        <w:tc>
          <w:tcPr>
            <w:tcW w:w="0" w:type="dxa"/>
            <w:vAlign w:val="bottom"/>
          </w:tcPr>
          <w:p>
            <w:pPr>
              <w:spacing w:after="0"/>
              <w:rPr>
                <w:sz w:val="1"/>
                <w:szCs w:val="1"/>
                <w:color w:val="auto"/>
              </w:rPr>
            </w:pPr>
          </w:p>
        </w:tc>
      </w:tr>
      <w:tr>
        <w:trPr>
          <w:trHeight w:val="108"/>
        </w:trPr>
        <w:tc>
          <w:tcPr>
            <w:tcW w:w="4800" w:type="dxa"/>
            <w:vAlign w:val="bottom"/>
            <w:tcBorders>
              <w:right w:val="single" w:sz="8" w:color="2D53A6"/>
            </w:tcBorders>
            <w:shd w:val="clear" w:color="auto" w:fill="2D53A6"/>
          </w:tcPr>
          <w:p>
            <w:pPr>
              <w:spacing w:after="0"/>
              <w:rPr>
                <w:sz w:val="9"/>
                <w:szCs w:val="9"/>
                <w:color w:val="auto"/>
              </w:rPr>
            </w:pPr>
          </w:p>
        </w:tc>
        <w:tc>
          <w:tcPr>
            <w:tcW w:w="162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Award</w:t>
            </w:r>
          </w:p>
        </w:tc>
        <w:tc>
          <w:tcPr>
            <w:tcW w:w="162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2023-25 TSR</w:t>
            </w:r>
          </w:p>
        </w:tc>
        <w:tc>
          <w:tcPr>
            <w:tcW w:w="160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Final Shares</w:t>
            </w:r>
          </w:p>
        </w:tc>
        <w:tc>
          <w:tcPr>
            <w:tcW w:w="16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0" w:type="dxa"/>
            <w:vAlign w:val="bottom"/>
            <w:tcBorders>
              <w:right w:val="single" w:sz="8" w:color="2D53A6"/>
            </w:tcBorders>
            <w:vMerge w:val="restart"/>
            <w:shd w:val="clear" w:color="auto" w:fill="2D53A6"/>
          </w:tcPr>
          <w:p>
            <w:pPr>
              <w:ind w:left="40"/>
              <w:spacing w:after="0" w:line="216" w:lineRule="exact"/>
              <w:rPr>
                <w:sz w:val="20"/>
                <w:szCs w:val="20"/>
                <w:color w:val="auto"/>
              </w:rPr>
            </w:pPr>
            <w:r>
              <w:rPr>
                <w:rFonts w:ascii="Arial" w:cs="Arial" w:eastAsia="Arial" w:hAnsi="Arial"/>
                <w:sz w:val="20"/>
                <w:szCs w:val="20"/>
                <w:b w:val="1"/>
                <w:bCs w:val="1"/>
                <w:color w:val="FFFFFF"/>
              </w:rPr>
              <w:t>Named Executive Officer</w:t>
            </w:r>
          </w:p>
        </w:tc>
        <w:tc>
          <w:tcPr>
            <w:tcW w:w="1620" w:type="dxa"/>
            <w:vAlign w:val="bottom"/>
            <w:tcBorders>
              <w:right w:val="single" w:sz="8" w:color="2D53A6"/>
            </w:tcBorders>
            <w:vMerge w:val="continue"/>
            <w:shd w:val="clear" w:color="auto" w:fill="2D53A6"/>
          </w:tcPr>
          <w:p>
            <w:pPr>
              <w:spacing w:after="0"/>
              <w:rPr>
                <w:sz w:val="9"/>
                <w:szCs w:val="9"/>
                <w:color w:val="auto"/>
              </w:rPr>
            </w:pPr>
          </w:p>
        </w:tc>
        <w:tc>
          <w:tcPr>
            <w:tcW w:w="1620" w:type="dxa"/>
            <w:vAlign w:val="bottom"/>
            <w:tcBorders>
              <w:right w:val="single" w:sz="8" w:color="2D53A6"/>
            </w:tcBorders>
            <w:vMerge w:val="continue"/>
            <w:shd w:val="clear" w:color="auto" w:fill="2D53A6"/>
          </w:tcPr>
          <w:p>
            <w:pPr>
              <w:spacing w:after="0"/>
              <w:rPr>
                <w:sz w:val="9"/>
                <w:szCs w:val="9"/>
                <w:color w:val="auto"/>
              </w:rPr>
            </w:pPr>
          </w:p>
        </w:tc>
        <w:tc>
          <w:tcPr>
            <w:tcW w:w="1600" w:type="dxa"/>
            <w:vAlign w:val="bottom"/>
            <w:tcBorders>
              <w:right w:val="single" w:sz="8" w:color="2D53A6"/>
            </w:tcBorders>
            <w:vMerge w:val="continue"/>
            <w:shd w:val="clear" w:color="auto" w:fill="2D53A6"/>
          </w:tcPr>
          <w:p>
            <w:pPr>
              <w:spacing w:after="0"/>
              <w:rPr>
                <w:sz w:val="9"/>
                <w:szCs w:val="9"/>
                <w:color w:val="auto"/>
              </w:rPr>
            </w:pPr>
          </w:p>
        </w:tc>
        <w:tc>
          <w:tcPr>
            <w:tcW w:w="160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rPr>
              <w:t>of</w:t>
            </w:r>
          </w:p>
        </w:tc>
        <w:tc>
          <w:tcPr>
            <w:tcW w:w="0" w:type="dxa"/>
            <w:vAlign w:val="bottom"/>
          </w:tcPr>
          <w:p>
            <w:pPr>
              <w:spacing w:after="0"/>
              <w:rPr>
                <w:sz w:val="1"/>
                <w:szCs w:val="1"/>
                <w:color w:val="auto"/>
              </w:rPr>
            </w:pPr>
          </w:p>
        </w:tc>
      </w:tr>
      <w:tr>
        <w:trPr>
          <w:trHeight w:val="108"/>
        </w:trPr>
        <w:tc>
          <w:tcPr>
            <w:tcW w:w="4800" w:type="dxa"/>
            <w:vAlign w:val="bottom"/>
            <w:tcBorders>
              <w:right w:val="single" w:sz="8" w:color="2D53A6"/>
            </w:tcBorders>
            <w:vMerge w:val="continue"/>
            <w:shd w:val="clear" w:color="auto" w:fill="2D53A6"/>
          </w:tcPr>
          <w:p>
            <w:pPr>
              <w:spacing w:after="0"/>
              <w:rPr>
                <w:sz w:val="9"/>
                <w:szCs w:val="9"/>
                <w:color w:val="auto"/>
              </w:rPr>
            </w:pPr>
          </w:p>
        </w:tc>
        <w:tc>
          <w:tcPr>
            <w:tcW w:w="162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7"/>
              </w:rPr>
              <w:t>(Target</w:t>
            </w:r>
          </w:p>
        </w:tc>
        <w:tc>
          <w:tcPr>
            <w:tcW w:w="162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Result</w:t>
            </w:r>
            <w:r>
              <w:rPr>
                <w:rFonts w:ascii="Arial" w:cs="Arial" w:eastAsia="Arial" w:hAnsi="Arial"/>
                <w:sz w:val="16"/>
                <w:szCs w:val="16"/>
                <w:b w:val="1"/>
                <w:bCs w:val="1"/>
                <w:color w:val="FFFFFF"/>
                <w:w w:val="99"/>
              </w:rPr>
              <w:t>(1)</w:t>
            </w:r>
          </w:p>
        </w:tc>
        <w:tc>
          <w:tcPr>
            <w:tcW w:w="160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rPr>
              <w:t>Earned</w:t>
            </w:r>
          </w:p>
        </w:tc>
        <w:tc>
          <w:tcPr>
            <w:tcW w:w="16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0" w:type="dxa"/>
            <w:vAlign w:val="bottom"/>
            <w:tcBorders>
              <w:right w:val="single" w:sz="8" w:color="2D53A6"/>
            </w:tcBorders>
            <w:shd w:val="clear" w:color="auto" w:fill="2D53A6"/>
          </w:tcPr>
          <w:p>
            <w:pPr>
              <w:spacing w:after="0"/>
              <w:rPr>
                <w:sz w:val="9"/>
                <w:szCs w:val="9"/>
                <w:color w:val="auto"/>
              </w:rPr>
            </w:pPr>
          </w:p>
        </w:tc>
        <w:tc>
          <w:tcPr>
            <w:tcW w:w="1620" w:type="dxa"/>
            <w:vAlign w:val="bottom"/>
            <w:tcBorders>
              <w:right w:val="single" w:sz="8" w:color="2D53A6"/>
            </w:tcBorders>
            <w:vMerge w:val="continue"/>
            <w:shd w:val="clear" w:color="auto" w:fill="2D53A6"/>
          </w:tcPr>
          <w:p>
            <w:pPr>
              <w:spacing w:after="0"/>
              <w:rPr>
                <w:sz w:val="9"/>
                <w:szCs w:val="9"/>
                <w:color w:val="auto"/>
              </w:rPr>
            </w:pPr>
          </w:p>
        </w:tc>
        <w:tc>
          <w:tcPr>
            <w:tcW w:w="1620" w:type="dxa"/>
            <w:vAlign w:val="bottom"/>
            <w:tcBorders>
              <w:right w:val="single" w:sz="8" w:color="2D53A6"/>
            </w:tcBorders>
            <w:vMerge w:val="continue"/>
            <w:shd w:val="clear" w:color="auto" w:fill="2D53A6"/>
          </w:tcPr>
          <w:p>
            <w:pPr>
              <w:spacing w:after="0"/>
              <w:rPr>
                <w:sz w:val="9"/>
                <w:szCs w:val="9"/>
                <w:color w:val="auto"/>
              </w:rPr>
            </w:pPr>
          </w:p>
        </w:tc>
        <w:tc>
          <w:tcPr>
            <w:tcW w:w="1600" w:type="dxa"/>
            <w:vAlign w:val="bottom"/>
            <w:tcBorders>
              <w:right w:val="single" w:sz="8" w:color="2D53A6"/>
            </w:tcBorders>
            <w:vMerge w:val="continue"/>
            <w:shd w:val="clear" w:color="auto" w:fill="2D53A6"/>
          </w:tcPr>
          <w:p>
            <w:pPr>
              <w:spacing w:after="0"/>
              <w:rPr>
                <w:sz w:val="9"/>
                <w:szCs w:val="9"/>
                <w:color w:val="auto"/>
              </w:rPr>
            </w:pPr>
          </w:p>
        </w:tc>
        <w:tc>
          <w:tcPr>
            <w:tcW w:w="160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Target</w:t>
            </w:r>
          </w:p>
        </w:tc>
        <w:tc>
          <w:tcPr>
            <w:tcW w:w="0" w:type="dxa"/>
            <w:vAlign w:val="bottom"/>
          </w:tcPr>
          <w:p>
            <w:pPr>
              <w:spacing w:after="0"/>
              <w:rPr>
                <w:sz w:val="1"/>
                <w:szCs w:val="1"/>
                <w:color w:val="auto"/>
              </w:rPr>
            </w:pPr>
          </w:p>
        </w:tc>
      </w:tr>
      <w:tr>
        <w:trPr>
          <w:trHeight w:val="108"/>
        </w:trPr>
        <w:tc>
          <w:tcPr>
            <w:tcW w:w="4800" w:type="dxa"/>
            <w:vAlign w:val="bottom"/>
            <w:tcBorders>
              <w:right w:val="single" w:sz="8" w:color="2D53A6"/>
            </w:tcBorders>
            <w:shd w:val="clear" w:color="auto" w:fill="2D53A6"/>
          </w:tcPr>
          <w:p>
            <w:pPr>
              <w:spacing w:after="0"/>
              <w:rPr>
                <w:sz w:val="9"/>
                <w:szCs w:val="9"/>
                <w:color w:val="auto"/>
              </w:rPr>
            </w:pPr>
          </w:p>
        </w:tc>
        <w:tc>
          <w:tcPr>
            <w:tcW w:w="162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7"/>
              </w:rPr>
              <w:t>Number</w:t>
            </w:r>
          </w:p>
        </w:tc>
        <w:tc>
          <w:tcPr>
            <w:tcW w:w="1620" w:type="dxa"/>
            <w:vAlign w:val="bottom"/>
            <w:tcBorders>
              <w:right w:val="single" w:sz="8" w:color="2D53A6"/>
            </w:tcBorders>
            <w:shd w:val="clear" w:color="auto" w:fill="2D53A6"/>
          </w:tcPr>
          <w:p>
            <w:pPr>
              <w:spacing w:after="0"/>
              <w:rPr>
                <w:sz w:val="9"/>
                <w:szCs w:val="9"/>
                <w:color w:val="auto"/>
              </w:rPr>
            </w:pPr>
          </w:p>
        </w:tc>
        <w:tc>
          <w:tcPr>
            <w:tcW w:w="1600" w:type="dxa"/>
            <w:vAlign w:val="bottom"/>
            <w:tcBorders>
              <w:right w:val="single" w:sz="8" w:color="2D53A6"/>
            </w:tcBorders>
            <w:shd w:val="clear" w:color="auto" w:fill="2D53A6"/>
          </w:tcPr>
          <w:p>
            <w:pPr>
              <w:spacing w:after="0"/>
              <w:rPr>
                <w:sz w:val="9"/>
                <w:szCs w:val="9"/>
                <w:color w:val="auto"/>
              </w:rPr>
            </w:pPr>
          </w:p>
        </w:tc>
        <w:tc>
          <w:tcPr>
            <w:tcW w:w="16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0" w:type="dxa"/>
            <w:vAlign w:val="bottom"/>
            <w:tcBorders>
              <w:right w:val="single" w:sz="8" w:color="2D53A6"/>
            </w:tcBorders>
            <w:shd w:val="clear" w:color="auto" w:fill="2D53A6"/>
          </w:tcPr>
          <w:p>
            <w:pPr>
              <w:spacing w:after="0"/>
              <w:rPr>
                <w:sz w:val="9"/>
                <w:szCs w:val="9"/>
                <w:color w:val="auto"/>
              </w:rPr>
            </w:pPr>
          </w:p>
        </w:tc>
        <w:tc>
          <w:tcPr>
            <w:tcW w:w="1620" w:type="dxa"/>
            <w:vAlign w:val="bottom"/>
            <w:tcBorders>
              <w:right w:val="single" w:sz="8" w:color="2D53A6"/>
            </w:tcBorders>
            <w:vMerge w:val="continue"/>
            <w:shd w:val="clear" w:color="auto" w:fill="2D53A6"/>
          </w:tcPr>
          <w:p>
            <w:pPr>
              <w:spacing w:after="0"/>
              <w:rPr>
                <w:sz w:val="9"/>
                <w:szCs w:val="9"/>
                <w:color w:val="auto"/>
              </w:rPr>
            </w:pPr>
          </w:p>
        </w:tc>
        <w:tc>
          <w:tcPr>
            <w:tcW w:w="1620" w:type="dxa"/>
            <w:vAlign w:val="bottom"/>
            <w:tcBorders>
              <w:right w:val="single" w:sz="8" w:color="2D53A6"/>
            </w:tcBorders>
            <w:shd w:val="clear" w:color="auto" w:fill="2D53A6"/>
          </w:tcPr>
          <w:p>
            <w:pPr>
              <w:spacing w:after="0"/>
              <w:rPr>
                <w:sz w:val="9"/>
                <w:szCs w:val="9"/>
                <w:color w:val="auto"/>
              </w:rPr>
            </w:pPr>
          </w:p>
        </w:tc>
        <w:tc>
          <w:tcPr>
            <w:tcW w:w="1600" w:type="dxa"/>
            <w:vAlign w:val="bottom"/>
            <w:tcBorders>
              <w:right w:val="single" w:sz="8" w:color="2D53A6"/>
            </w:tcBorders>
            <w:shd w:val="clear" w:color="auto" w:fill="2D53A6"/>
          </w:tcPr>
          <w:p>
            <w:pPr>
              <w:spacing w:after="0"/>
              <w:rPr>
                <w:sz w:val="9"/>
                <w:szCs w:val="9"/>
                <w:color w:val="auto"/>
              </w:rPr>
            </w:pPr>
          </w:p>
        </w:tc>
        <w:tc>
          <w:tcPr>
            <w:tcW w:w="160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Number of</w:t>
            </w:r>
          </w:p>
        </w:tc>
        <w:tc>
          <w:tcPr>
            <w:tcW w:w="0" w:type="dxa"/>
            <w:vAlign w:val="bottom"/>
          </w:tcPr>
          <w:p>
            <w:pPr>
              <w:spacing w:after="0"/>
              <w:rPr>
                <w:sz w:val="1"/>
                <w:szCs w:val="1"/>
                <w:color w:val="auto"/>
              </w:rPr>
            </w:pPr>
          </w:p>
        </w:tc>
      </w:tr>
      <w:tr>
        <w:trPr>
          <w:trHeight w:val="108"/>
        </w:trPr>
        <w:tc>
          <w:tcPr>
            <w:tcW w:w="4800" w:type="dxa"/>
            <w:vAlign w:val="bottom"/>
            <w:tcBorders>
              <w:right w:val="single" w:sz="8" w:color="2D53A6"/>
            </w:tcBorders>
            <w:shd w:val="clear" w:color="auto" w:fill="2D53A6"/>
          </w:tcPr>
          <w:p>
            <w:pPr>
              <w:spacing w:after="0"/>
              <w:rPr>
                <w:sz w:val="9"/>
                <w:szCs w:val="9"/>
                <w:color w:val="auto"/>
              </w:rPr>
            </w:pPr>
          </w:p>
        </w:tc>
        <w:tc>
          <w:tcPr>
            <w:tcW w:w="16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of Shares)</w:t>
            </w:r>
          </w:p>
        </w:tc>
        <w:tc>
          <w:tcPr>
            <w:tcW w:w="1620" w:type="dxa"/>
            <w:vAlign w:val="bottom"/>
            <w:tcBorders>
              <w:right w:val="single" w:sz="8" w:color="2D53A6"/>
            </w:tcBorders>
            <w:shd w:val="clear" w:color="auto" w:fill="2D53A6"/>
          </w:tcPr>
          <w:p>
            <w:pPr>
              <w:spacing w:after="0"/>
              <w:rPr>
                <w:sz w:val="9"/>
                <w:szCs w:val="9"/>
                <w:color w:val="auto"/>
              </w:rPr>
            </w:pPr>
          </w:p>
        </w:tc>
        <w:tc>
          <w:tcPr>
            <w:tcW w:w="1600" w:type="dxa"/>
            <w:vAlign w:val="bottom"/>
            <w:tcBorders>
              <w:right w:val="single" w:sz="8" w:color="2D53A6"/>
            </w:tcBorders>
            <w:shd w:val="clear" w:color="auto" w:fill="2D53A6"/>
          </w:tcPr>
          <w:p>
            <w:pPr>
              <w:spacing w:after="0"/>
              <w:rPr>
                <w:sz w:val="9"/>
                <w:szCs w:val="9"/>
                <w:color w:val="auto"/>
              </w:rPr>
            </w:pPr>
          </w:p>
        </w:tc>
        <w:tc>
          <w:tcPr>
            <w:tcW w:w="16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800" w:type="dxa"/>
            <w:vAlign w:val="bottom"/>
            <w:tcBorders>
              <w:right w:val="single" w:sz="8" w:color="2D53A6"/>
            </w:tcBorders>
            <w:shd w:val="clear" w:color="auto" w:fill="2D53A6"/>
          </w:tcPr>
          <w:p>
            <w:pPr>
              <w:spacing w:after="0"/>
              <w:rPr>
                <w:sz w:val="14"/>
                <w:szCs w:val="14"/>
                <w:color w:val="auto"/>
              </w:rPr>
            </w:pPr>
          </w:p>
        </w:tc>
        <w:tc>
          <w:tcPr>
            <w:tcW w:w="1620" w:type="dxa"/>
            <w:vAlign w:val="bottom"/>
            <w:tcBorders>
              <w:right w:val="single" w:sz="8" w:color="2D53A6"/>
            </w:tcBorders>
            <w:vMerge w:val="continue"/>
            <w:shd w:val="clear" w:color="auto" w:fill="2D53A6"/>
          </w:tcPr>
          <w:p>
            <w:pPr>
              <w:spacing w:after="0"/>
              <w:rPr>
                <w:sz w:val="14"/>
                <w:szCs w:val="14"/>
                <w:color w:val="auto"/>
              </w:rPr>
            </w:pPr>
          </w:p>
        </w:tc>
        <w:tc>
          <w:tcPr>
            <w:tcW w:w="1620" w:type="dxa"/>
            <w:vAlign w:val="bottom"/>
            <w:tcBorders>
              <w:right w:val="single" w:sz="8" w:color="2D53A6"/>
            </w:tcBorders>
            <w:shd w:val="clear" w:color="auto" w:fill="2D53A6"/>
          </w:tcPr>
          <w:p>
            <w:pPr>
              <w:spacing w:after="0"/>
              <w:rPr>
                <w:sz w:val="14"/>
                <w:szCs w:val="14"/>
                <w:color w:val="auto"/>
              </w:rPr>
            </w:pPr>
          </w:p>
        </w:tc>
        <w:tc>
          <w:tcPr>
            <w:tcW w:w="1600" w:type="dxa"/>
            <w:vAlign w:val="bottom"/>
            <w:tcBorders>
              <w:right w:val="single" w:sz="8" w:color="2D53A6"/>
            </w:tcBorders>
            <w:shd w:val="clear" w:color="auto" w:fill="2D53A6"/>
          </w:tcPr>
          <w:p>
            <w:pPr>
              <w:spacing w:after="0"/>
              <w:rPr>
                <w:sz w:val="14"/>
                <w:szCs w:val="14"/>
                <w:color w:val="auto"/>
              </w:rPr>
            </w:pPr>
          </w:p>
        </w:tc>
        <w:tc>
          <w:tcPr>
            <w:tcW w:w="1600" w:type="dxa"/>
            <w:vAlign w:val="bottom"/>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Shares</w:t>
            </w:r>
            <w:r>
              <w:rPr>
                <w:rFonts w:ascii="Arial" w:cs="Arial" w:eastAsia="Arial" w:hAnsi="Arial"/>
                <w:sz w:val="16"/>
                <w:szCs w:val="16"/>
                <w:b w:val="1"/>
                <w:bCs w:val="1"/>
                <w:color w:val="FFFFFF"/>
                <w:w w:val="99"/>
              </w:rPr>
              <w:t>(2)</w:t>
            </w:r>
          </w:p>
        </w:tc>
        <w:tc>
          <w:tcPr>
            <w:tcW w:w="0" w:type="dxa"/>
            <w:vAlign w:val="bottom"/>
          </w:tcPr>
          <w:p>
            <w:pPr>
              <w:spacing w:after="0"/>
              <w:rPr>
                <w:sz w:val="1"/>
                <w:szCs w:val="1"/>
                <w:color w:val="auto"/>
              </w:rPr>
            </w:pPr>
          </w:p>
        </w:tc>
      </w:tr>
      <w:tr>
        <w:trPr>
          <w:trHeight w:val="108"/>
        </w:trPr>
        <w:tc>
          <w:tcPr>
            <w:tcW w:w="4800" w:type="dxa"/>
            <w:vAlign w:val="bottom"/>
            <w:tcBorders>
              <w:bottom w:val="single" w:sz="8" w:color="2D53A6"/>
              <w:right w:val="single" w:sz="8" w:color="2D53A6"/>
            </w:tcBorders>
            <w:shd w:val="clear" w:color="auto" w:fill="2D53A6"/>
          </w:tcPr>
          <w:p>
            <w:pPr>
              <w:spacing w:after="0"/>
              <w:rPr>
                <w:sz w:val="9"/>
                <w:szCs w:val="9"/>
                <w:color w:val="auto"/>
              </w:rPr>
            </w:pPr>
          </w:p>
        </w:tc>
        <w:tc>
          <w:tcPr>
            <w:tcW w:w="1620" w:type="dxa"/>
            <w:vAlign w:val="bottom"/>
            <w:tcBorders>
              <w:bottom w:val="single" w:sz="8" w:color="2D53A6"/>
              <w:right w:val="single" w:sz="8" w:color="2D53A6"/>
            </w:tcBorders>
            <w:shd w:val="clear" w:color="auto" w:fill="2D53A6"/>
          </w:tcPr>
          <w:p>
            <w:pPr>
              <w:spacing w:after="0"/>
              <w:rPr>
                <w:sz w:val="9"/>
                <w:szCs w:val="9"/>
                <w:color w:val="auto"/>
              </w:rPr>
            </w:pPr>
          </w:p>
        </w:tc>
        <w:tc>
          <w:tcPr>
            <w:tcW w:w="1620" w:type="dxa"/>
            <w:vAlign w:val="bottom"/>
            <w:tcBorders>
              <w:bottom w:val="single" w:sz="8" w:color="2D53A6"/>
              <w:right w:val="single" w:sz="8" w:color="2D53A6"/>
            </w:tcBorders>
            <w:shd w:val="clear" w:color="auto" w:fill="2D53A6"/>
          </w:tcPr>
          <w:p>
            <w:pPr>
              <w:spacing w:after="0"/>
              <w:rPr>
                <w:sz w:val="9"/>
                <w:szCs w:val="9"/>
                <w:color w:val="auto"/>
              </w:rPr>
            </w:pPr>
          </w:p>
        </w:tc>
        <w:tc>
          <w:tcPr>
            <w:tcW w:w="1600" w:type="dxa"/>
            <w:vAlign w:val="bottom"/>
            <w:tcBorders>
              <w:bottom w:val="single" w:sz="8" w:color="2D53A6"/>
              <w:right w:val="single" w:sz="8" w:color="2D53A6"/>
            </w:tcBorders>
            <w:shd w:val="clear" w:color="auto" w:fill="2D53A6"/>
          </w:tcPr>
          <w:p>
            <w:pPr>
              <w:spacing w:after="0"/>
              <w:rPr>
                <w:sz w:val="9"/>
                <w:szCs w:val="9"/>
                <w:color w:val="auto"/>
              </w:rPr>
            </w:pPr>
          </w:p>
        </w:tc>
        <w:tc>
          <w:tcPr>
            <w:tcW w:w="1600" w:type="dxa"/>
            <w:vAlign w:val="bottom"/>
            <w:tcBorders>
              <w:bottom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80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162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66,006</w:t>
            </w:r>
          </w:p>
        </w:tc>
        <w:tc>
          <w:tcPr>
            <w:tcW w:w="162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(69.5)%</w:t>
            </w:r>
          </w:p>
        </w:tc>
        <w:tc>
          <w:tcPr>
            <w:tcW w:w="16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3"/>
        </w:trPr>
        <w:tc>
          <w:tcPr>
            <w:tcW w:w="480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600" w:type="dxa"/>
            <w:vAlign w:val="bottom"/>
            <w:tcBorders>
              <w:bottom w:val="single" w:sz="8" w:color="2D53A6"/>
              <w:right w:val="single" w:sz="8" w:color="2D53A6"/>
            </w:tcBorders>
          </w:tcPr>
          <w:p>
            <w:pPr>
              <w:spacing w:after="0"/>
              <w:rPr>
                <w:sz w:val="2"/>
                <w:szCs w:val="2"/>
                <w:color w:val="auto"/>
              </w:rPr>
            </w:pPr>
          </w:p>
        </w:tc>
        <w:tc>
          <w:tcPr>
            <w:tcW w:w="16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8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16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21,782</w:t>
            </w:r>
          </w:p>
        </w:tc>
        <w:tc>
          <w:tcPr>
            <w:tcW w:w="16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(69.5)%</w:t>
            </w:r>
          </w:p>
        </w:tc>
        <w:tc>
          <w:tcPr>
            <w:tcW w:w="160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0</w:t>
            </w:r>
          </w:p>
        </w:tc>
        <w:tc>
          <w:tcPr>
            <w:tcW w:w="16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54"/>
        </w:trPr>
        <w:tc>
          <w:tcPr>
            <w:tcW w:w="48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162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16,501</w:t>
            </w:r>
          </w:p>
        </w:tc>
        <w:tc>
          <w:tcPr>
            <w:tcW w:w="162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(69.5)%</w:t>
            </w:r>
          </w:p>
        </w:tc>
        <w:tc>
          <w:tcPr>
            <w:tcW w:w="16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0</w:t>
            </w:r>
          </w:p>
        </w:tc>
        <w:tc>
          <w:tcPr>
            <w:tcW w:w="160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3"/>
        </w:trPr>
        <w:tc>
          <w:tcPr>
            <w:tcW w:w="480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right w:val="single" w:sz="8" w:color="2D53A6"/>
            </w:tcBorders>
          </w:tcPr>
          <w:p>
            <w:pPr>
              <w:spacing w:after="0"/>
              <w:rPr>
                <w:sz w:val="2"/>
                <w:szCs w:val="2"/>
                <w:color w:val="auto"/>
              </w:rPr>
            </w:pPr>
          </w:p>
        </w:tc>
        <w:tc>
          <w:tcPr>
            <w:tcW w:w="1600" w:type="dxa"/>
            <w:vAlign w:val="bottom"/>
            <w:tcBorders>
              <w:bottom w:val="single" w:sz="8" w:color="2D53A6"/>
              <w:right w:val="single" w:sz="8" w:color="2D53A6"/>
            </w:tcBorders>
          </w:tcPr>
          <w:p>
            <w:pPr>
              <w:spacing w:after="0"/>
              <w:rPr>
                <w:sz w:val="2"/>
                <w:szCs w:val="2"/>
                <w:color w:val="auto"/>
              </w:rPr>
            </w:pPr>
          </w:p>
        </w:tc>
        <w:tc>
          <w:tcPr>
            <w:tcW w:w="16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Klaus Ilgenfritz</w:t>
            </w:r>
          </w:p>
        </w:tc>
        <w:tc>
          <w:tcPr>
            <w:tcW w:w="16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7,425</w:t>
            </w:r>
          </w:p>
        </w:tc>
        <w:tc>
          <w:tcPr>
            <w:tcW w:w="16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(69.5)%</w:t>
            </w:r>
          </w:p>
        </w:tc>
        <w:tc>
          <w:tcPr>
            <w:tcW w:w="160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0</w:t>
            </w:r>
          </w:p>
        </w:tc>
        <w:tc>
          <w:tcPr>
            <w:tcW w:w="16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0"/>
        </w:trPr>
        <w:tc>
          <w:tcPr>
            <w:tcW w:w="4800" w:type="dxa"/>
            <w:vAlign w:val="bottom"/>
            <w:tcBorders>
              <w:right w:val="single" w:sz="8" w:color="2D53A6"/>
            </w:tcBorders>
            <w:shd w:val="clear" w:color="auto" w:fill="2D53A6"/>
          </w:tcPr>
          <w:p>
            <w:pPr>
              <w:spacing w:after="0" w:line="20" w:lineRule="exact"/>
              <w:rPr>
                <w:sz w:val="1"/>
                <w:szCs w:val="1"/>
                <w:color w:val="auto"/>
              </w:rPr>
            </w:pPr>
          </w:p>
        </w:tc>
        <w:tc>
          <w:tcPr>
            <w:tcW w:w="1620" w:type="dxa"/>
            <w:vAlign w:val="bottom"/>
            <w:tcBorders>
              <w:right w:val="single" w:sz="8" w:color="2D53A6"/>
            </w:tcBorders>
            <w:shd w:val="clear" w:color="auto" w:fill="2D53A6"/>
          </w:tcPr>
          <w:p>
            <w:pPr>
              <w:spacing w:after="0" w:line="20" w:lineRule="exact"/>
              <w:rPr>
                <w:sz w:val="1"/>
                <w:szCs w:val="1"/>
                <w:color w:val="auto"/>
              </w:rPr>
            </w:pPr>
          </w:p>
        </w:tc>
        <w:tc>
          <w:tcPr>
            <w:tcW w:w="1620" w:type="dxa"/>
            <w:vAlign w:val="bottom"/>
            <w:tcBorders>
              <w:right w:val="single" w:sz="8" w:color="2D53A6"/>
            </w:tcBorders>
            <w:shd w:val="clear" w:color="auto" w:fill="2D53A6"/>
          </w:tcPr>
          <w:p>
            <w:pPr>
              <w:spacing w:after="0" w:line="20" w:lineRule="exact"/>
              <w:rPr>
                <w:sz w:val="1"/>
                <w:szCs w:val="1"/>
                <w:color w:val="auto"/>
              </w:rPr>
            </w:pPr>
          </w:p>
        </w:tc>
        <w:tc>
          <w:tcPr>
            <w:tcW w:w="1600" w:type="dxa"/>
            <w:vAlign w:val="bottom"/>
            <w:tcBorders>
              <w:right w:val="single" w:sz="8" w:color="2D53A6"/>
            </w:tcBorders>
            <w:shd w:val="clear" w:color="auto" w:fill="2D53A6"/>
          </w:tcPr>
          <w:p>
            <w:pPr>
              <w:spacing w:after="0" w:line="20" w:lineRule="exact"/>
              <w:rPr>
                <w:sz w:val="1"/>
                <w:szCs w:val="1"/>
                <w:color w:val="auto"/>
              </w:rPr>
            </w:pPr>
          </w:p>
        </w:tc>
        <w:tc>
          <w:tcPr>
            <w:tcW w:w="160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COHU TSR compared to RUT TSR where RUT = +41.3%, COHU = -28.2%</w:t>
      </w:r>
    </w:p>
    <w:p>
      <w:pPr>
        <w:spacing w:after="0" w:line="1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100% + 2 times (RUT - COHU) TSR: 100% - (2 X -69.5%) = 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Benefits and Section 401(k) Plan</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payment, thereby allowing them to defer taxation on such amounts.</w:t>
      </w:r>
    </w:p>
    <w:p>
      <w:pPr>
        <w:spacing w:after="0" w:line="16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Although we have not matched any participant contributions to the Deferred Compensation Plan since 2008, we may in the future match participant contributions to the Deferred Compensation Plan up to 4% of the participant’s annual base salary in excess of the specified annual compensation limit allowed under the Internal Revenue Code for contributions under the Section 401(k) plan. Our matching contributions and any deemed investment earnings attributable to these contributions, if any are actually made, will be 100% vested when the participant has two years of service with us. Prior to that time, such amounts are unvested. Participant contributions and deemed investment earnings are 100% vested at all times. For additional information on the Deferred Compensation Plan, see “2025 Nonqualified Deferred Compensation”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maintain a tax-qualified defined contribution plan, the Cohu Employees’ Retirement Plan (the “401(k) Plan”), for our U.S. based executive officers and other employees. The majority of our U.S. based employees, including all of the U.S.- 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2025 are immediately vested and our matching contribution was at the rate of 50% of the first 8% of employee pre-tax contributions to the plan. Generally, during 2025 the maximum annual amount that any participant could contribute to the 401(k) Plan was $23,500 unless aged 50 or more which allows participants to make an additional $7,500 in “catch-up” contributions or if aged 60 to 63 a total additional $11,250 in “catch-up” contributions and our maximum matching contribution was $14,000.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Welfare and Health Benefits</w:t>
      </w:r>
    </w:p>
    <w:p>
      <w:pPr>
        <w:spacing w:after="0" w:line="19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2025, our executive officers, including our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spacing w:after="0" w:line="163"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401(k) Plan and other generally 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 available benefits do not specifically factor into decisions regarding an individual executive officer’s total compensation or equity awards.</w:t>
      </w:r>
    </w:p>
    <w:p>
      <w:pPr>
        <w:spacing w:after="0" w:line="16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Each year, we informally review our U.S. based benefit programs against our peers with data provided by Aon, our health and welfare benefits broker of record, and by OneDigital Investment Advisors, our independent 401(k) Plan consultant. This review includes an analysis of the dollar value to an employee and the dollar cost to us for the benefits under the applicable plan using a standard population of employees. Similar evaluations are made in other regions with local benefit consultants.</w:t>
      </w:r>
    </w:p>
    <w:p>
      <w:pPr>
        <w:spacing w:after="0" w:line="16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analyze changes to our benefit programs in light of the overall objectives of the programs, including the effectiveness of their incentive and retention features.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motivation, and retention purposes.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2025, we provided our NEOs with automobile expense reimbursement or allowances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850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20"/>
                <w:szCs w:val="20"/>
                <w:b w:val="1"/>
                <w:bCs w:val="1"/>
                <w:color w:val="FFFFFF"/>
              </w:rPr>
              <w:t>Named Executive Officer</w:t>
            </w:r>
          </w:p>
        </w:tc>
        <w:tc>
          <w:tcPr>
            <w:tcW w:w="274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Annual Auto Allowance</w:t>
            </w:r>
          </w:p>
        </w:tc>
      </w:tr>
      <w:tr>
        <w:trPr>
          <w:trHeight w:val="261"/>
        </w:trPr>
        <w:tc>
          <w:tcPr>
            <w:tcW w:w="850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$9,000</w:t>
            </w:r>
          </w:p>
        </w:tc>
      </w:tr>
      <w:tr>
        <w:trPr>
          <w:trHeight w:val="23"/>
        </w:trPr>
        <w:tc>
          <w:tcPr>
            <w:tcW w:w="8500" w:type="dxa"/>
            <w:vAlign w:val="bottom"/>
            <w:tcBorders>
              <w:bottom w:val="single" w:sz="8" w:color="2D53A6"/>
              <w:right w:val="single" w:sz="8" w:color="2D53A6"/>
            </w:tcBorders>
          </w:tcPr>
          <w:p>
            <w:pPr>
              <w:spacing w:after="0"/>
              <w:rPr>
                <w:sz w:val="2"/>
                <w:szCs w:val="2"/>
                <w:color w:val="auto"/>
              </w:rPr>
            </w:pPr>
          </w:p>
        </w:tc>
        <w:tc>
          <w:tcPr>
            <w:tcW w:w="2740" w:type="dxa"/>
            <w:vAlign w:val="bottom"/>
            <w:tcBorders>
              <w:bottom w:val="single" w:sz="8" w:color="2D53A6"/>
            </w:tcBorders>
          </w:tcPr>
          <w:p>
            <w:pPr>
              <w:spacing w:after="0"/>
              <w:rPr>
                <w:sz w:val="2"/>
                <w:szCs w:val="2"/>
                <w:color w:val="auto"/>
              </w:rPr>
            </w:pPr>
          </w:p>
        </w:tc>
      </w:tr>
      <w:tr>
        <w:trPr>
          <w:trHeight w:val="282"/>
        </w:trPr>
        <w:tc>
          <w:tcPr>
            <w:tcW w:w="8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27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$6,000</w:t>
            </w:r>
          </w:p>
        </w:tc>
      </w:tr>
      <w:tr>
        <w:trPr>
          <w:trHeight w:val="254"/>
        </w:trPr>
        <w:tc>
          <w:tcPr>
            <w:tcW w:w="85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27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8"/>
              </w:rPr>
              <w:t>$6,000</w:t>
            </w:r>
          </w:p>
        </w:tc>
      </w:tr>
      <w:tr>
        <w:trPr>
          <w:trHeight w:val="23"/>
        </w:trPr>
        <w:tc>
          <w:tcPr>
            <w:tcW w:w="8500" w:type="dxa"/>
            <w:vAlign w:val="bottom"/>
            <w:tcBorders>
              <w:bottom w:val="single" w:sz="8" w:color="2D53A6"/>
              <w:right w:val="single" w:sz="8" w:color="2D53A6"/>
            </w:tcBorders>
          </w:tcPr>
          <w:p>
            <w:pPr>
              <w:spacing w:after="0"/>
              <w:rPr>
                <w:sz w:val="2"/>
                <w:szCs w:val="2"/>
                <w:color w:val="auto"/>
              </w:rPr>
            </w:pPr>
          </w:p>
        </w:tc>
        <w:tc>
          <w:tcPr>
            <w:tcW w:w="2740" w:type="dxa"/>
            <w:vAlign w:val="bottom"/>
            <w:tcBorders>
              <w:bottom w:val="single" w:sz="8" w:color="2D53A6"/>
            </w:tcBorders>
          </w:tcPr>
          <w:p>
            <w:pPr>
              <w:spacing w:after="0"/>
              <w:rPr>
                <w:sz w:val="2"/>
                <w:szCs w:val="2"/>
                <w:color w:val="auto"/>
              </w:rPr>
            </w:pPr>
          </w:p>
        </w:tc>
      </w:tr>
      <w:tr>
        <w:trPr>
          <w:trHeight w:val="257"/>
        </w:trPr>
        <w:tc>
          <w:tcPr>
            <w:tcW w:w="8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Klaus Ilgenfritz</w:t>
            </w:r>
            <w:r>
              <w:rPr>
                <w:rFonts w:ascii="Arial" w:cs="Arial" w:eastAsia="Arial" w:hAnsi="Arial"/>
                <w:sz w:val="14"/>
                <w:szCs w:val="14"/>
                <w:color w:val="auto"/>
              </w:rPr>
              <w:t>(1)</w:t>
            </w:r>
          </w:p>
        </w:tc>
        <w:tc>
          <w:tcPr>
            <w:tcW w:w="27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$5,603</w:t>
            </w:r>
          </w:p>
        </w:tc>
      </w:tr>
      <w:tr>
        <w:trPr>
          <w:trHeight w:val="20"/>
        </w:trPr>
        <w:tc>
          <w:tcPr>
            <w:tcW w:w="8500" w:type="dxa"/>
            <w:vAlign w:val="bottom"/>
            <w:tcBorders>
              <w:right w:val="single" w:sz="8" w:color="2D53A6"/>
            </w:tcBorders>
            <w:shd w:val="clear" w:color="auto" w:fill="2D53A6"/>
          </w:tcPr>
          <w:p>
            <w:pPr>
              <w:spacing w:after="0" w:line="20" w:lineRule="exact"/>
              <w:rPr>
                <w:sz w:val="1"/>
                <w:szCs w:val="1"/>
                <w:color w:val="auto"/>
              </w:rPr>
            </w:pPr>
          </w:p>
        </w:tc>
        <w:tc>
          <w:tcPr>
            <w:tcW w:w="2740" w:type="dxa"/>
            <w:vAlign w:val="bottom"/>
            <w:shd w:val="clear" w:color="auto" w:fill="2D53A6"/>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Ilgenfritz is paid in Euros and his Annual Auto Allowance has been converted to U.S. Dollars as required by SEC rules.</w:t>
      </w:r>
    </w:p>
    <w:p>
      <w:pPr>
        <w:spacing w:after="0" w:line="194"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In the future, we may provide perquisites or other personal benefits to our executive officers in limited circumstances, as described above.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Employment Agreements</w:t>
      </w:r>
    </w:p>
    <w:p>
      <w:pPr>
        <w:spacing w:after="0" w:line="20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With the exception of Mr. Ilgenfritz who is party to a “Managing Director Agreement” dated November 20, 2024, we do not have employment agreements with our NEOs. The material terms of stock awards granted to our NEOs in 2025 and performance-based cash incentives earned by our NEOs for 2025 are described in more detail in “Long-Term Incentive Compensation” and “Short-Term Incentive Plan”, respectively, above, and the material terms of severance and other termination benefits and compensation are articulated below in “Post-Employment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Post-Employment Compensation</w:t>
      </w:r>
    </w:p>
    <w:p>
      <w:pPr>
        <w:spacing w:after="0" w:line="20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2020, the Compensation Committee undertook, in consultation with Compensia, a review of its executive post-employment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certain of the Company’s executive officers (an “Executive”) as described below (the “Executive Agreements”). The post-employment payments and benefits which our NEOs are eligible to receive under the Executive Agreements are described in more detail in “Potential Payments upon Termination or Change in Control” below.</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believe providing these arrangements helps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 We believe that the “double trigger” arrangement under the Change in Control Agreement maximizes stockholder value because it prevents an unintended windfall to these executive officers in the event of a change in control of Cohu, while still providing them appropriate incentives to cooperate in negotiating a transaction involving a potential change in control of Cohu in which they believe they may lose their jobs.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2D53A6"/>
        </w:rPr>
        <w:t>Other Compensation Policies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Ownership Policy</w:t>
      </w:r>
    </w:p>
    <w:p>
      <w:pPr>
        <w:spacing w:after="0" w:line="19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64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20"/>
                <w:szCs w:val="20"/>
                <w:b w:val="1"/>
                <w:bCs w:val="1"/>
                <w:color w:val="FFFFFF"/>
              </w:rPr>
              <w:t>Individual Subject to Stock Ownership Policy</w:t>
            </w:r>
          </w:p>
        </w:tc>
        <w:tc>
          <w:tcPr>
            <w:tcW w:w="5600" w:type="dxa"/>
            <w:vAlign w:val="bottom"/>
            <w:shd w:val="clear" w:color="auto" w:fill="2D53A6"/>
          </w:tcPr>
          <w:p>
            <w:pPr>
              <w:ind w:left="20"/>
              <w:spacing w:after="0"/>
              <w:rPr>
                <w:sz w:val="20"/>
                <w:szCs w:val="20"/>
                <w:color w:val="auto"/>
              </w:rPr>
            </w:pPr>
            <w:r>
              <w:rPr>
                <w:rFonts w:ascii="Arial" w:cs="Arial" w:eastAsia="Arial" w:hAnsi="Arial"/>
                <w:sz w:val="20"/>
                <w:szCs w:val="20"/>
                <w:b w:val="1"/>
                <w:bCs w:val="1"/>
                <w:color w:val="FFFFFF"/>
              </w:rPr>
              <w:t>Minimum Required Level of Stock Ownership</w:t>
            </w:r>
          </w:p>
        </w:tc>
      </w:tr>
      <w:tr>
        <w:trPr>
          <w:trHeight w:val="261"/>
        </w:trPr>
        <w:tc>
          <w:tcPr>
            <w:tcW w:w="56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Chief Executive Officer</w:t>
            </w:r>
          </w:p>
        </w:tc>
        <w:tc>
          <w:tcPr>
            <w:tcW w:w="5600" w:type="dxa"/>
            <w:vAlign w:val="bottom"/>
          </w:tcPr>
          <w:p>
            <w:pPr>
              <w:ind w:left="20"/>
              <w:spacing w:after="0"/>
              <w:rPr>
                <w:sz w:val="20"/>
                <w:szCs w:val="20"/>
                <w:color w:val="auto"/>
              </w:rPr>
            </w:pPr>
            <w:r>
              <w:rPr>
                <w:rFonts w:ascii="Arial" w:cs="Arial" w:eastAsia="Arial" w:hAnsi="Arial"/>
                <w:sz w:val="18"/>
                <w:szCs w:val="18"/>
                <w:color w:val="auto"/>
              </w:rPr>
              <w:t>Three times annual base salary</w:t>
            </w:r>
          </w:p>
        </w:tc>
      </w:tr>
      <w:tr>
        <w:trPr>
          <w:trHeight w:val="23"/>
        </w:trPr>
        <w:tc>
          <w:tcPr>
            <w:tcW w:w="5640" w:type="dxa"/>
            <w:vAlign w:val="bottom"/>
            <w:tcBorders>
              <w:bottom w:val="single" w:sz="8" w:color="2D53A6"/>
              <w:right w:val="single" w:sz="8" w:color="2D53A6"/>
            </w:tcBorders>
          </w:tcPr>
          <w:p>
            <w:pPr>
              <w:spacing w:after="0"/>
              <w:rPr>
                <w:sz w:val="2"/>
                <w:szCs w:val="2"/>
                <w:color w:val="auto"/>
              </w:rPr>
            </w:pPr>
          </w:p>
        </w:tc>
        <w:tc>
          <w:tcPr>
            <w:tcW w:w="5600" w:type="dxa"/>
            <w:vAlign w:val="bottom"/>
            <w:tcBorders>
              <w:bottom w:val="single" w:sz="8" w:color="2D53A6"/>
            </w:tcBorders>
          </w:tcPr>
          <w:p>
            <w:pPr>
              <w:spacing w:after="0"/>
              <w:rPr>
                <w:sz w:val="2"/>
                <w:szCs w:val="2"/>
                <w:color w:val="auto"/>
              </w:rPr>
            </w:pPr>
          </w:p>
        </w:tc>
      </w:tr>
      <w:tr>
        <w:trPr>
          <w:trHeight w:val="282"/>
        </w:trPr>
        <w:tc>
          <w:tcPr>
            <w:tcW w:w="56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Chief Financial Officer</w:t>
            </w:r>
          </w:p>
        </w:tc>
        <w:tc>
          <w:tcPr>
            <w:tcW w:w="560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Two times annual base salary</w:t>
            </w:r>
          </w:p>
        </w:tc>
      </w:tr>
      <w:tr>
        <w:trPr>
          <w:trHeight w:val="254"/>
        </w:trPr>
        <w:tc>
          <w:tcPr>
            <w:tcW w:w="564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All other executive officers</w:t>
            </w:r>
          </w:p>
        </w:tc>
        <w:tc>
          <w:tcPr>
            <w:tcW w:w="5600" w:type="dxa"/>
            <w:vAlign w:val="bottom"/>
            <w:tcBorders>
              <w:top w:val="single" w:sz="8" w:color="2D53A6"/>
            </w:tcBorders>
          </w:tcPr>
          <w:p>
            <w:pPr>
              <w:ind w:left="20"/>
              <w:spacing w:after="0"/>
              <w:rPr>
                <w:sz w:val="20"/>
                <w:szCs w:val="20"/>
                <w:color w:val="auto"/>
              </w:rPr>
            </w:pPr>
            <w:r>
              <w:rPr>
                <w:rFonts w:ascii="Arial" w:cs="Arial" w:eastAsia="Arial" w:hAnsi="Arial"/>
                <w:sz w:val="18"/>
                <w:szCs w:val="18"/>
                <w:color w:val="auto"/>
              </w:rPr>
              <w:t>One times annual base salary</w:t>
            </w:r>
          </w:p>
        </w:tc>
      </w:tr>
      <w:tr>
        <w:trPr>
          <w:trHeight w:val="23"/>
        </w:trPr>
        <w:tc>
          <w:tcPr>
            <w:tcW w:w="5640" w:type="dxa"/>
            <w:vAlign w:val="bottom"/>
            <w:tcBorders>
              <w:bottom w:val="single" w:sz="8" w:color="2D53A6"/>
              <w:right w:val="single" w:sz="8" w:color="2D53A6"/>
            </w:tcBorders>
          </w:tcPr>
          <w:p>
            <w:pPr>
              <w:spacing w:after="0"/>
              <w:rPr>
                <w:sz w:val="2"/>
                <w:szCs w:val="2"/>
                <w:color w:val="auto"/>
              </w:rPr>
            </w:pPr>
          </w:p>
        </w:tc>
        <w:tc>
          <w:tcPr>
            <w:tcW w:w="5600" w:type="dxa"/>
            <w:vAlign w:val="bottom"/>
            <w:tcBorders>
              <w:bottom w:val="single" w:sz="8" w:color="2D53A6"/>
            </w:tcBorders>
          </w:tcPr>
          <w:p>
            <w:pPr>
              <w:spacing w:after="0"/>
              <w:rPr>
                <w:sz w:val="2"/>
                <w:szCs w:val="2"/>
                <w:color w:val="auto"/>
              </w:rPr>
            </w:pPr>
          </w:p>
        </w:tc>
      </w:tr>
    </w:tbl>
    <w:p>
      <w:pPr>
        <w:spacing w:after="0" w:line="18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 The Compensation Committee monitors compliance with these stock ownership levels on an annual basis using the average closing price of our common stock during the preceding fiscal year. As of December 31, 2025, each of our NEOs was compliant with the policy.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Policy for Recovery of Erroneously Awarded Incentive Compensation</w:t>
      </w:r>
    </w:p>
    <w:p>
      <w:pPr>
        <w:spacing w:after="0" w:line="19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October 2, 2023, we adopted a revised Policy for Recovery of Erroneously Awarded Incentive Compensation (“clawback” policy) that complies with the requirements of Exchange Act Rule 10D-1 and the corresponding Nasdaq listing standards under which if the Company is required to prepare a Restatement (as defined in the policy), the Company will seek to recover and clawback from any Affected Officer (as defined in the policy) reasonably promptly the Erroneously Awarded Compensation (as defined in the policy) received by the Affected Officer.</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Award Grant Policy</w:t>
      </w:r>
    </w:p>
    <w:p>
      <w:pPr>
        <w:spacing w:after="0" w:line="19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grant equity awards to our executive officers under our stockholder-approved 2005 Plan. Pursuant to this plan, all stock option grants must have a per share exercise price at least equal to the fair market value of our common stock on the grant date. 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our NEOs, will be approved on an annual basis at a meeting of the Compensation Committee or our Board of Directors, as applicable, which is typically held in the first quarter of each fiscal year.</w:t>
      </w:r>
    </w:p>
    <w:p>
      <w:pPr>
        <w:spacing w:after="0" w:line="165"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Cohu has not timed, nor does it intend in the future to time, the release of material nonpublic information based on equity award grant dates. In addition, because our equity awards typically vest or are earned over a multi-year period, the value to recipients of any immediate increase in the price of our common stock following an award will be minimal.</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Treatment of Equity Awards Upon Retirement</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March 2023, after consultation with Compensia and external legal counsel, the Compensation Committee approved a policy providing for the continuation of vesting eligibility after retirement for certain equity awards granted to specific senior executives that satisfy the eligibility requirements of a Qualifying Retiring Employee, as defined in our Retirement Policy which appears as an exhibit to applicable equity award agreements. These requirements include being a minimum age for retirement, having completed a minimum number of years of service with Cohu, including tenure as a senior executive, and providing specific advance notice of the request to receive retirement benefits. This policy does not apply to any equity awards granted before March 2023. This policy applies to all our NEOs including our CEO. We believe providing these potential retirement benefits will help us compete for and retain executive talent as well as facilitate orderly transitions for retiring executives.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 Hedging or Pledging</w:t>
      </w:r>
    </w:p>
    <w:p>
      <w:pPr>
        <w:spacing w:after="0" w:line="19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Cohu’s Insider Trading Policy prohibits all officers, directors, and other employees with access to sensitive Company information from engaging in any form of hedging transaction (derivatives, equity swaps, forwards, etc.) in Cohu’s stock, including, among other things, short sales and transactions involving publicly traded options. In addition, such officers, directors, and employees are prohibited from holding Cohu stock in margin accounts and from pledging Cohu stock as collateral for loans. We believe that these policies further align the interests of our officers and directors with those of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Tax and Accounting Considerations</w:t>
      </w:r>
    </w:p>
    <w:p>
      <w:pPr>
        <w:spacing w:after="0" w:line="20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designing our executive compensation program, the Compensation Committee takes into consideration the tax and accounting effects that each element of compensation will or may have on Cohu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benefits under another plan or arrangement to avoid compensation expense that is above the desired level.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Deductibility of Executive Compensation</w:t>
      </w:r>
    </w:p>
    <w:p>
      <w:pPr>
        <w:spacing w:after="0" w:line="19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Under Section 162(m), compensation paid to each of our NEOs and other “covered employees” that exceeds $1 million per taxable year is generally non-deductible. 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Cohu and our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Taxation of Nonqualified Deferred Compensation</w:t>
      </w:r>
    </w:p>
    <w:p>
      <w:pPr>
        <w:spacing w:after="0" w:line="19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Cohu. From time to time, we may be required to amend some of our compensation plans and arrangements to ensure that they are either exempt from, or compliant with, Section 409A.</w:t>
      </w:r>
    </w:p>
    <w:p>
      <w:pPr>
        <w:spacing w:after="0" w:line="16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are not obligated under any compensation plan or arrangement to prevent or minimize any negative tax consequences that may affect our executive officers, nor are we required to pay any “gross-up” should any such consequences arise.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Taxation of </w:t>
      </w:r>
      <w:r>
        <w:rPr>
          <w:rFonts w:ascii="Arial" w:cs="Arial" w:eastAsia="Arial" w:hAnsi="Arial"/>
          <w:sz w:val="20"/>
          <w:szCs w:val="20"/>
          <w:color w:val="auto"/>
        </w:rPr>
        <w:t>“</w:t>
      </w:r>
      <w:r>
        <w:rPr>
          <w:rFonts w:ascii="Arial" w:cs="Arial" w:eastAsia="Arial" w:hAnsi="Arial"/>
          <w:sz w:val="20"/>
          <w:szCs w:val="20"/>
          <w:i w:val="1"/>
          <w:iCs w:val="1"/>
          <w:color w:val="auto"/>
        </w:rPr>
        <w:t>Parachute</w:t>
      </w:r>
      <w:r>
        <w:rPr>
          <w:rFonts w:ascii="Arial" w:cs="Arial" w:eastAsia="Arial" w:hAnsi="Arial"/>
          <w:sz w:val="20"/>
          <w:szCs w:val="20"/>
          <w:color w:val="auto"/>
        </w:rPr>
        <w:t>”</w:t>
      </w:r>
      <w:r>
        <w:rPr>
          <w:rFonts w:ascii="Arial" w:cs="Arial" w:eastAsia="Arial" w:hAnsi="Arial"/>
          <w:sz w:val="20"/>
          <w:szCs w:val="20"/>
          <w:i w:val="1"/>
          <w:iCs w:val="1"/>
          <w:color w:val="auto"/>
        </w:rPr>
        <w:t xml:space="preserve"> Payments</w:t>
      </w:r>
    </w:p>
    <w:p>
      <w:pPr>
        <w:spacing w:after="0" w:line="19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Cohu that exceeds certain prescribed limits, and that Cohu (or a successor) may forfeit a deduction on the amounts subject to this additional tax. We are not obligated to provide any NEO with a “gross- up” or other reimbursement payment for any tax liability that he or she may owe as a result of the application of Sections 280G or 4999 in the event of a change in control of Cohu.</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Accounting for Stock-Based Compensation</w:t>
      </w:r>
    </w:p>
    <w:p>
      <w:pPr>
        <w:spacing w:after="0" w:line="19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Compensation Committee takes accounting implications into consideration in designing compensation plans and arrangements for our executive officers and other employees. Chief among these is Financial Accounting Standards Board Accounting Standards Codification Topic 718, Compensation-Stock Compensation, (“ASC Topic 718”), the standard which governs the accounting treatment of stock-based compensation awards.</w:t>
      </w:r>
    </w:p>
    <w:p>
      <w:pPr>
        <w:spacing w:after="0" w:line="16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ASC Topic 718 requires us to measure grant date fair value and recognize compensation cost in our financial statements all share-based payment awards to employees, directors and consultants, including stock option grants, restricted stock unit awards, and performance stock unit awards to our executive officers.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Share-based compensation expense related to restricted stock unit awards (RSUs) is calculated based on the market price of our common stock on the date of grant, reduced by the present value of dividends expected to be paid on our common stock prior to vesting of the restricted stock unit. The estimated fair value of performance stock unit awards (PSUs) is determined on the grant date using the Monte Carlo simulation valuation model. The Monte Carlo simulation model incorporates assumptions for the risk-free interest rate, Cohu and the selected peer group stock price volatility, the correlation between Cohu and the selected index, and dividend yields.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equity-based performance units outstanding based on our current assessment of achievement of the performance goals and recognize actual forfeitures as they occur.</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Committee Report</w:t>
      </w:r>
    </w:p>
    <w:p>
      <w:pPr>
        <w:spacing w:after="0" w:line="200"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Committee has reviewed and discussed with management the Compensation Discussion and Analysis for 2025. Based on such review and discussions, the Committee recommended to the Board, and the Board has approved, that the Compensation Discussion and Analysis be included in Cohu’s proxy statement for its 2026 Annual Meeting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Compensation Committee.</w:t>
      </w:r>
    </w:p>
    <w:p>
      <w:pPr>
        <w:spacing w:after="0" w:line="198" w:lineRule="exact"/>
        <w:rPr>
          <w:sz w:val="20"/>
          <w:szCs w:val="20"/>
          <w:color w:val="auto"/>
        </w:rPr>
      </w:pPr>
    </w:p>
    <w:p>
      <w:pPr>
        <w:ind w:left="2600"/>
        <w:spacing w:after="0"/>
        <w:tabs>
          <w:tab w:leader="none" w:pos="5120" w:val="left"/>
          <w:tab w:leader="none" w:pos="7100" w:val="left"/>
        </w:tabs>
        <w:rPr>
          <w:sz w:val="20"/>
          <w:szCs w:val="20"/>
          <w:color w:val="auto"/>
        </w:rPr>
      </w:pPr>
      <w:r>
        <w:rPr>
          <w:rFonts w:ascii="Arial" w:cs="Arial" w:eastAsia="Arial" w:hAnsi="Arial"/>
          <w:sz w:val="18"/>
          <w:szCs w:val="18"/>
          <w:color w:val="auto"/>
        </w:rPr>
        <w:t>Steven J. Bilodeau (Chair)</w:t>
      </w:r>
      <w:r>
        <w:rPr>
          <w:sz w:val="20"/>
          <w:szCs w:val="20"/>
          <w:color w:val="auto"/>
        </w:rPr>
        <w:tab/>
      </w:r>
      <w:r>
        <w:rPr>
          <w:rFonts w:ascii="Arial" w:cs="Arial" w:eastAsia="Arial" w:hAnsi="Arial"/>
          <w:sz w:val="18"/>
          <w:szCs w:val="18"/>
          <w:color w:val="auto"/>
        </w:rPr>
        <w:t>Andreas W. Mattes</w:t>
      </w:r>
      <w:r>
        <w:rPr>
          <w:sz w:val="20"/>
          <w:szCs w:val="20"/>
          <w:color w:val="auto"/>
        </w:rPr>
        <w:tab/>
      </w:r>
      <w:r>
        <w:rPr>
          <w:rFonts w:ascii="Arial" w:cs="Arial" w:eastAsia="Arial" w:hAnsi="Arial"/>
          <w:sz w:val="17"/>
          <w:szCs w:val="17"/>
          <w:color w:val="auto"/>
        </w:rPr>
        <w:t>Nina L. Richardson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Summary Compensation Table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compensation information for fiscal year 2025 for our NEOs.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080" w:type="dxa"/>
            <w:vAlign w:val="bottom"/>
            <w:tcBorders>
              <w:left w:val="single" w:sz="8" w:color="2D53A6"/>
              <w:right w:val="single" w:sz="8" w:color="2D53A6"/>
            </w:tcBorders>
            <w:shd w:val="clear" w:color="auto" w:fill="2D53A6"/>
          </w:tcPr>
          <w:p>
            <w:pPr>
              <w:spacing w:after="0"/>
              <w:rPr>
                <w:sz w:val="16"/>
                <w:szCs w:val="16"/>
                <w:color w:val="auto"/>
              </w:rPr>
            </w:pPr>
          </w:p>
        </w:tc>
        <w:tc>
          <w:tcPr>
            <w:tcW w:w="880" w:type="dxa"/>
            <w:vAlign w:val="bottom"/>
            <w:tcBorders>
              <w:right w:val="single" w:sz="8" w:color="2D53A6"/>
            </w:tcBorders>
            <w:shd w:val="clear" w:color="auto" w:fill="2D53A6"/>
          </w:tcPr>
          <w:p>
            <w:pPr>
              <w:spacing w:after="0"/>
              <w:rPr>
                <w:sz w:val="16"/>
                <w:szCs w:val="16"/>
                <w:color w:val="auto"/>
              </w:rPr>
            </w:pPr>
          </w:p>
        </w:tc>
        <w:tc>
          <w:tcPr>
            <w:tcW w:w="1260" w:type="dxa"/>
            <w:vAlign w:val="bottom"/>
            <w:tcBorders>
              <w:right w:val="single" w:sz="8" w:color="2D53A6"/>
            </w:tcBorders>
            <w:shd w:val="clear" w:color="auto" w:fill="2D53A6"/>
          </w:tcPr>
          <w:p>
            <w:pPr>
              <w:spacing w:after="0"/>
              <w:rPr>
                <w:sz w:val="16"/>
                <w:szCs w:val="16"/>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Stock</w:t>
            </w:r>
          </w:p>
        </w:tc>
        <w:tc>
          <w:tcPr>
            <w:tcW w:w="12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Non-Equity</w:t>
            </w: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All Other</w:t>
            </w:r>
          </w:p>
        </w:tc>
        <w:tc>
          <w:tcPr>
            <w:tcW w:w="1240" w:type="dxa"/>
            <w:vAlign w:val="bottom"/>
            <w:tcBorders>
              <w:right w:val="single" w:sz="8" w:color="2D53A6"/>
            </w:tcBorders>
            <w:shd w:val="clear" w:color="auto" w:fill="2D53A6"/>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080" w:type="dxa"/>
            <w:vAlign w:val="bottom"/>
            <w:tcBorders>
              <w:left w:val="single" w:sz="8" w:color="2D53A6"/>
              <w:right w:val="single" w:sz="8" w:color="2D53A6"/>
            </w:tcBorders>
            <w:shd w:val="clear" w:color="auto" w:fill="2D53A6"/>
          </w:tcPr>
          <w:p>
            <w:pPr>
              <w:spacing w:after="0"/>
              <w:rPr>
                <w:sz w:val="7"/>
                <w:szCs w:val="7"/>
                <w:color w:val="auto"/>
              </w:rPr>
            </w:pPr>
          </w:p>
        </w:tc>
        <w:tc>
          <w:tcPr>
            <w:tcW w:w="88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right"/>
              <w:ind w:right="348"/>
              <w:spacing w:after="0"/>
              <w:rPr>
                <w:sz w:val="20"/>
                <w:szCs w:val="20"/>
                <w:color w:val="auto"/>
              </w:rPr>
            </w:pPr>
            <w:r>
              <w:rPr>
                <w:rFonts w:ascii="Arial" w:cs="Arial" w:eastAsia="Arial" w:hAnsi="Arial"/>
                <w:sz w:val="14"/>
                <w:szCs w:val="14"/>
                <w:b w:val="1"/>
                <w:bCs w:val="1"/>
                <w:color w:val="FFFFFF"/>
              </w:rPr>
              <w:t>Salary</w:t>
            </w: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Incentive</w:t>
            </w: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40" w:type="dxa"/>
            <w:vAlign w:val="bottom"/>
            <w:tcBorders>
              <w:right w:val="single" w:sz="8" w:color="2D53A6"/>
            </w:tcBorders>
            <w:vMerge w:val="restart"/>
            <w:shd w:val="clear" w:color="auto" w:fill="2D53A6"/>
          </w:tcPr>
          <w:p>
            <w:pPr>
              <w:ind w:left="4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81"/>
        </w:trPr>
        <w:tc>
          <w:tcPr>
            <w:tcW w:w="4080" w:type="dxa"/>
            <w:vAlign w:val="bottom"/>
            <w:tcBorders>
              <w:left w:val="single" w:sz="8" w:color="2D53A6"/>
              <w:right w:val="single" w:sz="8" w:color="2D53A6"/>
            </w:tcBorders>
            <w:vMerge w:val="restart"/>
            <w:shd w:val="clear" w:color="auto" w:fill="2D53A6"/>
          </w:tcPr>
          <w:p>
            <w:pPr>
              <w:ind w:left="60"/>
              <w:spacing w:after="0" w:line="159" w:lineRule="exact"/>
              <w:rPr>
                <w:sz w:val="20"/>
                <w:szCs w:val="20"/>
                <w:color w:val="auto"/>
              </w:rPr>
            </w:pPr>
            <w:r>
              <w:rPr>
                <w:rFonts w:ascii="Arial" w:cs="Arial" w:eastAsia="Arial" w:hAnsi="Arial"/>
                <w:sz w:val="14"/>
                <w:szCs w:val="14"/>
                <w:b w:val="1"/>
                <w:bCs w:val="1"/>
                <w:color w:val="FFFFFF"/>
              </w:rPr>
              <w:t>Named Executive Officer</w:t>
            </w:r>
          </w:p>
        </w:tc>
        <w:tc>
          <w:tcPr>
            <w:tcW w:w="880" w:type="dxa"/>
            <w:vAlign w:val="bottom"/>
            <w:tcBorders>
              <w:right w:val="single" w:sz="8" w:color="2D53A6"/>
            </w:tcBorders>
            <w:vMerge w:val="restart"/>
            <w:shd w:val="clear" w:color="auto" w:fill="2D53A6"/>
          </w:tcPr>
          <w:p>
            <w:pPr>
              <w:ind w:left="280"/>
              <w:spacing w:after="0" w:line="159" w:lineRule="exact"/>
              <w:rPr>
                <w:sz w:val="20"/>
                <w:szCs w:val="20"/>
                <w:color w:val="auto"/>
              </w:rPr>
            </w:pPr>
            <w:r>
              <w:rPr>
                <w:rFonts w:ascii="Arial" w:cs="Arial" w:eastAsia="Arial" w:hAnsi="Arial"/>
                <w:sz w:val="14"/>
                <w:szCs w:val="14"/>
                <w:b w:val="1"/>
                <w:bCs w:val="1"/>
                <w:color w:val="FFFFFF"/>
              </w:rPr>
              <w:t>Year</w:t>
            </w: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Awards</w:t>
            </w: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Comp.</w:t>
            </w:r>
          </w:p>
        </w:tc>
        <w:tc>
          <w:tcPr>
            <w:tcW w:w="124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80" w:type="dxa"/>
            <w:vAlign w:val="bottom"/>
            <w:tcBorders>
              <w:left w:val="single" w:sz="8" w:color="2D53A6"/>
              <w:right w:val="single" w:sz="8" w:color="2D53A6"/>
            </w:tcBorders>
            <w:vMerge w:val="continue"/>
            <w:shd w:val="clear" w:color="auto" w:fill="2D53A6"/>
          </w:tcPr>
          <w:p>
            <w:pPr>
              <w:spacing w:after="0"/>
              <w:rPr>
                <w:sz w:val="6"/>
                <w:szCs w:val="6"/>
                <w:color w:val="auto"/>
              </w:rPr>
            </w:pPr>
          </w:p>
        </w:tc>
        <w:tc>
          <w:tcPr>
            <w:tcW w:w="880" w:type="dxa"/>
            <w:vAlign w:val="bottom"/>
            <w:tcBorders>
              <w:right w:val="single" w:sz="8" w:color="2D53A6"/>
            </w:tcBorders>
            <w:vMerge w:val="continue"/>
            <w:shd w:val="clear" w:color="auto" w:fill="2D53A6"/>
          </w:tcPr>
          <w:p>
            <w:pPr>
              <w:spacing w:after="0"/>
              <w:rPr>
                <w:sz w:val="6"/>
                <w:szCs w:val="6"/>
                <w:color w:val="auto"/>
              </w:rPr>
            </w:pPr>
          </w:p>
        </w:tc>
        <w:tc>
          <w:tcPr>
            <w:tcW w:w="1260" w:type="dxa"/>
            <w:vAlign w:val="bottom"/>
            <w:tcBorders>
              <w:right w:val="single" w:sz="8" w:color="2D53A6"/>
            </w:tcBorders>
            <w:vMerge w:val="restart"/>
            <w:shd w:val="clear" w:color="auto" w:fill="2D53A6"/>
          </w:tcPr>
          <w:p>
            <w:pPr>
              <w:jc w:val="right"/>
              <w:ind w:right="468"/>
              <w:spacing w:after="0" w:line="159" w:lineRule="exact"/>
              <w:rPr>
                <w:sz w:val="20"/>
                <w:szCs w:val="20"/>
                <w:color w:val="auto"/>
              </w:rPr>
            </w:pPr>
            <w:r>
              <w:rPr>
                <w:rFonts w:ascii="Arial" w:cs="Arial" w:eastAsia="Arial" w:hAnsi="Arial"/>
                <w:sz w:val="14"/>
                <w:szCs w:val="14"/>
                <w:b w:val="1"/>
                <w:bCs w:val="1"/>
                <w:color w:val="FFFFFF"/>
              </w:rPr>
              <w:t>($)</w:t>
            </w:r>
          </w:p>
        </w:tc>
        <w:tc>
          <w:tcPr>
            <w:tcW w:w="1260" w:type="dxa"/>
            <w:vAlign w:val="bottom"/>
            <w:tcBorders>
              <w:right w:val="single" w:sz="8" w:color="2D53A6"/>
            </w:tcBorders>
            <w:vMerge w:val="continue"/>
            <w:shd w:val="clear" w:color="auto" w:fill="2D53A6"/>
          </w:tcPr>
          <w:p>
            <w:pPr>
              <w:spacing w:after="0"/>
              <w:rPr>
                <w:sz w:val="6"/>
                <w:szCs w:val="6"/>
                <w:color w:val="auto"/>
              </w:rPr>
            </w:pPr>
          </w:p>
        </w:tc>
        <w:tc>
          <w:tcPr>
            <w:tcW w:w="12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Plan Comp.</w:t>
            </w:r>
          </w:p>
        </w:tc>
        <w:tc>
          <w:tcPr>
            <w:tcW w:w="1260" w:type="dxa"/>
            <w:vAlign w:val="bottom"/>
            <w:tcBorders>
              <w:right w:val="single" w:sz="8" w:color="2D53A6"/>
            </w:tcBorders>
            <w:vMerge w:val="continue"/>
            <w:shd w:val="clear" w:color="auto" w:fill="2D53A6"/>
          </w:tcPr>
          <w:p>
            <w:pPr>
              <w:spacing w:after="0"/>
              <w:rPr>
                <w:sz w:val="6"/>
                <w:szCs w:val="6"/>
                <w:color w:val="auto"/>
              </w:rPr>
            </w:pPr>
          </w:p>
        </w:tc>
        <w:tc>
          <w:tcPr>
            <w:tcW w:w="1240" w:type="dxa"/>
            <w:vAlign w:val="bottom"/>
            <w:tcBorders>
              <w:right w:val="single" w:sz="8" w:color="2D53A6"/>
            </w:tcBorders>
            <w:vMerge w:val="restart"/>
            <w:shd w:val="clear" w:color="auto" w:fill="2D53A6"/>
          </w:tcPr>
          <w:p>
            <w:pPr>
              <w:ind w:left="520"/>
              <w:spacing w:after="0" w:line="159"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81"/>
        </w:trPr>
        <w:tc>
          <w:tcPr>
            <w:tcW w:w="4080" w:type="dxa"/>
            <w:vAlign w:val="bottom"/>
            <w:tcBorders>
              <w:left w:val="single" w:sz="8" w:color="2D53A6"/>
              <w:right w:val="single" w:sz="8" w:color="2D53A6"/>
            </w:tcBorders>
            <w:shd w:val="clear" w:color="auto" w:fill="2D53A6"/>
          </w:tcPr>
          <w:p>
            <w:pPr>
              <w:spacing w:after="0"/>
              <w:rPr>
                <w:sz w:val="7"/>
                <w:szCs w:val="7"/>
                <w:color w:val="auto"/>
              </w:rPr>
            </w:pPr>
          </w:p>
        </w:tc>
        <w:tc>
          <w:tcPr>
            <w:tcW w:w="88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line="228" w:lineRule="exact"/>
              <w:rPr>
                <w:sz w:val="20"/>
                <w:szCs w:val="20"/>
                <w:color w:val="auto"/>
              </w:rPr>
            </w:pPr>
            <w:r>
              <w:rPr>
                <w:rFonts w:ascii="Arial" w:cs="Arial" w:eastAsia="Arial" w:hAnsi="Arial"/>
                <w:sz w:val="26"/>
                <w:szCs w:val="26"/>
                <w:b w:val="1"/>
                <w:bCs w:val="1"/>
                <w:color w:val="FFFFFF"/>
                <w:w w:val="95"/>
                <w:vertAlign w:val="subscript"/>
              </w:rPr>
              <w:t>($)</w:t>
            </w:r>
            <w:r>
              <w:rPr>
                <w:rFonts w:ascii="Arial" w:cs="Arial" w:eastAsia="Arial" w:hAnsi="Arial"/>
                <w:sz w:val="11"/>
                <w:szCs w:val="11"/>
                <w:b w:val="1"/>
                <w:bCs w:val="1"/>
                <w:color w:val="FFFFFF"/>
                <w:w w:val="95"/>
              </w:rPr>
              <w:t xml:space="preserve"> (1)</w:t>
            </w: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line="228" w:lineRule="exact"/>
              <w:rPr>
                <w:sz w:val="20"/>
                <w:szCs w:val="20"/>
                <w:color w:val="auto"/>
              </w:rPr>
            </w:pPr>
            <w:r>
              <w:rPr>
                <w:rFonts w:ascii="Arial" w:cs="Arial" w:eastAsia="Arial" w:hAnsi="Arial"/>
                <w:sz w:val="26"/>
                <w:szCs w:val="26"/>
                <w:b w:val="1"/>
                <w:bCs w:val="1"/>
                <w:color w:val="FFFFFF"/>
                <w:w w:val="90"/>
                <w:vertAlign w:val="subscript"/>
              </w:rPr>
              <w:t>($)</w:t>
            </w:r>
            <w:r>
              <w:rPr>
                <w:rFonts w:ascii="Arial" w:cs="Arial" w:eastAsia="Arial" w:hAnsi="Arial"/>
                <w:sz w:val="11"/>
                <w:szCs w:val="11"/>
                <w:b w:val="1"/>
                <w:bCs w:val="1"/>
                <w:color w:val="FFFFFF"/>
                <w:w w:val="90"/>
              </w:rPr>
              <w:t xml:space="preserve"> (3)</w:t>
            </w:r>
          </w:p>
        </w:tc>
        <w:tc>
          <w:tcPr>
            <w:tcW w:w="124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4080" w:type="dxa"/>
            <w:vAlign w:val="bottom"/>
            <w:tcBorders>
              <w:left w:val="single" w:sz="8" w:color="2D53A6"/>
              <w:right w:val="single" w:sz="8" w:color="2D53A6"/>
            </w:tcBorders>
            <w:shd w:val="clear" w:color="auto" w:fill="2D53A6"/>
          </w:tcPr>
          <w:p>
            <w:pPr>
              <w:spacing w:after="0"/>
              <w:rPr>
                <w:sz w:val="12"/>
                <w:szCs w:val="12"/>
                <w:color w:val="auto"/>
              </w:rPr>
            </w:pPr>
          </w:p>
        </w:tc>
        <w:tc>
          <w:tcPr>
            <w:tcW w:w="880" w:type="dxa"/>
            <w:vAlign w:val="bottom"/>
            <w:tcBorders>
              <w:right w:val="single" w:sz="8" w:color="2D53A6"/>
            </w:tcBorders>
            <w:shd w:val="clear" w:color="auto" w:fill="2D53A6"/>
          </w:tcPr>
          <w:p>
            <w:pPr>
              <w:spacing w:after="0"/>
              <w:rPr>
                <w:sz w:val="12"/>
                <w:szCs w:val="12"/>
                <w:color w:val="auto"/>
              </w:rPr>
            </w:pPr>
          </w:p>
        </w:tc>
        <w:tc>
          <w:tcPr>
            <w:tcW w:w="1260" w:type="dxa"/>
            <w:vAlign w:val="bottom"/>
            <w:tcBorders>
              <w:right w:val="single" w:sz="8" w:color="2D53A6"/>
            </w:tcBorders>
            <w:shd w:val="clear" w:color="auto" w:fill="2D53A6"/>
          </w:tcPr>
          <w:p>
            <w:pPr>
              <w:spacing w:after="0"/>
              <w:rPr>
                <w:sz w:val="12"/>
                <w:szCs w:val="12"/>
                <w:color w:val="auto"/>
              </w:rPr>
            </w:pPr>
          </w:p>
        </w:tc>
        <w:tc>
          <w:tcPr>
            <w:tcW w:w="1260" w:type="dxa"/>
            <w:vAlign w:val="bottom"/>
            <w:tcBorders>
              <w:right w:val="single" w:sz="8" w:color="2D53A6"/>
            </w:tcBorders>
            <w:vMerge w:val="continue"/>
            <w:shd w:val="clear" w:color="auto" w:fill="2D53A6"/>
          </w:tcPr>
          <w:p>
            <w:pPr>
              <w:spacing w:after="0"/>
              <w:rPr>
                <w:sz w:val="12"/>
                <w:szCs w:val="12"/>
                <w:color w:val="auto"/>
              </w:rPr>
            </w:pPr>
          </w:p>
        </w:tc>
        <w:tc>
          <w:tcPr>
            <w:tcW w:w="1260" w:type="dxa"/>
            <w:vAlign w:val="bottom"/>
            <w:tcBorders>
              <w:right w:val="single" w:sz="8" w:color="2D53A6"/>
            </w:tcBorders>
            <w:vMerge w:val="restart"/>
            <w:shd w:val="clear" w:color="auto" w:fill="2D53A6"/>
          </w:tcPr>
          <w:p>
            <w:pPr>
              <w:jc w:val="center"/>
              <w:spacing w:after="0" w:line="214" w:lineRule="exact"/>
              <w:rPr>
                <w:sz w:val="20"/>
                <w:szCs w:val="20"/>
                <w:color w:val="auto"/>
              </w:rPr>
            </w:pPr>
            <w:r>
              <w:rPr>
                <w:rFonts w:ascii="Arial" w:cs="Arial" w:eastAsia="Arial" w:hAnsi="Arial"/>
                <w:sz w:val="24"/>
                <w:szCs w:val="24"/>
                <w:b w:val="1"/>
                <w:bCs w:val="1"/>
                <w:color w:val="FFFFFF"/>
                <w:w w:val="99"/>
                <w:vertAlign w:val="subscript"/>
              </w:rPr>
              <w:t>($)</w:t>
            </w:r>
            <w:r>
              <w:rPr>
                <w:rFonts w:ascii="Arial" w:cs="Arial" w:eastAsia="Arial" w:hAnsi="Arial"/>
                <w:sz w:val="11"/>
                <w:szCs w:val="11"/>
                <w:b w:val="1"/>
                <w:bCs w:val="1"/>
                <w:color w:val="FFFFFF"/>
                <w:w w:val="99"/>
              </w:rPr>
              <w:t xml:space="preserve"> (2)</w:t>
            </w:r>
          </w:p>
        </w:tc>
        <w:tc>
          <w:tcPr>
            <w:tcW w:w="1260" w:type="dxa"/>
            <w:vAlign w:val="bottom"/>
            <w:tcBorders>
              <w:right w:val="single" w:sz="8" w:color="2D53A6"/>
            </w:tcBorders>
            <w:vMerge w:val="continue"/>
            <w:shd w:val="clear" w:color="auto" w:fill="2D53A6"/>
          </w:tcPr>
          <w:p>
            <w:pPr>
              <w:spacing w:after="0"/>
              <w:rPr>
                <w:sz w:val="12"/>
                <w:szCs w:val="12"/>
                <w:color w:val="auto"/>
              </w:rPr>
            </w:pPr>
          </w:p>
        </w:tc>
        <w:tc>
          <w:tcPr>
            <w:tcW w:w="1240" w:type="dxa"/>
            <w:vAlign w:val="bottom"/>
            <w:tcBorders>
              <w:right w:val="single" w:sz="8" w:color="2D53A6"/>
            </w:tcBorders>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80" w:type="dxa"/>
            <w:vAlign w:val="bottom"/>
            <w:tcBorders>
              <w:left w:val="single" w:sz="8" w:color="2D53A6"/>
              <w:right w:val="single" w:sz="8" w:color="2D53A6"/>
            </w:tcBorders>
            <w:shd w:val="clear" w:color="auto" w:fill="2D53A6"/>
          </w:tcPr>
          <w:p>
            <w:pPr>
              <w:spacing w:after="0"/>
              <w:rPr>
                <w:sz w:val="7"/>
                <w:szCs w:val="7"/>
                <w:color w:val="auto"/>
              </w:rPr>
            </w:pPr>
          </w:p>
        </w:tc>
        <w:tc>
          <w:tcPr>
            <w:tcW w:w="88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40" w:type="dxa"/>
            <w:vAlign w:val="bottom"/>
            <w:tcBorders>
              <w:right w:val="single" w:sz="8" w:color="2D53A6"/>
            </w:tcBorders>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080" w:type="dxa"/>
            <w:vAlign w:val="bottom"/>
            <w:tcBorders>
              <w:left w:val="single" w:sz="8" w:color="2D53A6"/>
              <w:right w:val="single" w:sz="8" w:color="2D53A6"/>
            </w:tcBorders>
          </w:tcPr>
          <w:p>
            <w:pPr>
              <w:ind w:left="60"/>
              <w:spacing w:after="0"/>
              <w:rPr>
                <w:sz w:val="20"/>
                <w:szCs w:val="20"/>
                <w:color w:val="auto"/>
              </w:rPr>
            </w:pPr>
            <w:r>
              <w:rPr>
                <w:rFonts w:ascii="Arial" w:cs="Arial" w:eastAsia="Arial" w:hAnsi="Arial"/>
                <w:sz w:val="14"/>
                <w:szCs w:val="14"/>
                <w:color w:val="auto"/>
              </w:rPr>
              <w:t>Luis A. Müller</w:t>
            </w:r>
          </w:p>
        </w:tc>
        <w:tc>
          <w:tcPr>
            <w:tcW w:w="880" w:type="dxa"/>
            <w:vAlign w:val="bottom"/>
            <w:tcBorders>
              <w:right w:val="single" w:sz="8" w:color="2D53A6"/>
            </w:tcBorders>
          </w:tcPr>
          <w:p>
            <w:pPr>
              <w:ind w:left="280"/>
              <w:spacing w:after="0"/>
              <w:rPr>
                <w:sz w:val="20"/>
                <w:szCs w:val="20"/>
                <w:color w:val="auto"/>
              </w:rPr>
            </w:pPr>
            <w:r>
              <w:rPr>
                <w:rFonts w:ascii="Arial" w:cs="Arial" w:eastAsia="Arial" w:hAnsi="Arial"/>
                <w:sz w:val="14"/>
                <w:szCs w:val="14"/>
                <w:color w:val="auto"/>
              </w:rPr>
              <w:t>2025</w:t>
            </w:r>
          </w:p>
        </w:tc>
        <w:tc>
          <w:tcPr>
            <w:tcW w:w="1260" w:type="dxa"/>
            <w:vAlign w:val="bottom"/>
            <w:tcBorders>
              <w:right w:val="single" w:sz="8" w:color="2D53A6"/>
            </w:tcBorders>
          </w:tcPr>
          <w:p>
            <w:pPr>
              <w:jc w:val="right"/>
              <w:ind w:right="108"/>
              <w:spacing w:after="0"/>
              <w:rPr>
                <w:sz w:val="20"/>
                <w:szCs w:val="20"/>
                <w:color w:val="auto"/>
              </w:rPr>
            </w:pPr>
            <w:r>
              <w:rPr>
                <w:rFonts w:ascii="Arial" w:cs="Arial" w:eastAsia="Arial" w:hAnsi="Arial"/>
                <w:sz w:val="14"/>
                <w:szCs w:val="14"/>
                <w:color w:val="auto"/>
              </w:rPr>
              <w:t>715,000</w:t>
            </w:r>
          </w:p>
        </w:tc>
        <w:tc>
          <w:tcPr>
            <w:tcW w:w="1260" w:type="dxa"/>
            <w:vAlign w:val="bottom"/>
            <w:tcBorders>
              <w:right w:val="single" w:sz="8" w:color="2D53A6"/>
            </w:tcBorders>
          </w:tcPr>
          <w:p>
            <w:pPr>
              <w:jc w:val="right"/>
              <w:ind w:right="109"/>
              <w:spacing w:after="0"/>
              <w:rPr>
                <w:sz w:val="20"/>
                <w:szCs w:val="20"/>
                <w:color w:val="auto"/>
              </w:rPr>
            </w:pPr>
            <w:r>
              <w:rPr>
                <w:rFonts w:ascii="Arial" w:cs="Arial" w:eastAsia="Arial" w:hAnsi="Arial"/>
                <w:sz w:val="14"/>
                <w:szCs w:val="14"/>
                <w:color w:val="auto"/>
              </w:rPr>
              <w:t>3,508,493</w:t>
            </w:r>
          </w:p>
        </w:tc>
        <w:tc>
          <w:tcPr>
            <w:tcW w:w="1260" w:type="dxa"/>
            <w:vAlign w:val="bottom"/>
            <w:tcBorders>
              <w:right w:val="single" w:sz="8" w:color="2D53A6"/>
            </w:tcBorders>
          </w:tcPr>
          <w:p>
            <w:pPr>
              <w:jc w:val="right"/>
              <w:ind w:right="109"/>
              <w:spacing w:after="0"/>
              <w:rPr>
                <w:sz w:val="20"/>
                <w:szCs w:val="20"/>
                <w:color w:val="auto"/>
              </w:rPr>
            </w:pPr>
            <w:r>
              <w:rPr>
                <w:rFonts w:ascii="Arial" w:cs="Arial" w:eastAsia="Arial" w:hAnsi="Arial"/>
                <w:sz w:val="14"/>
                <w:szCs w:val="14"/>
                <w:color w:val="auto"/>
              </w:rPr>
              <w:t>250,345</w:t>
            </w:r>
          </w:p>
        </w:tc>
        <w:tc>
          <w:tcPr>
            <w:tcW w:w="1260" w:type="dxa"/>
            <w:vAlign w:val="bottom"/>
            <w:tcBorders>
              <w:right w:val="single" w:sz="8" w:color="2D53A6"/>
            </w:tcBorders>
          </w:tcPr>
          <w:p>
            <w:pPr>
              <w:jc w:val="right"/>
              <w:ind w:right="129"/>
              <w:spacing w:after="0"/>
              <w:rPr>
                <w:sz w:val="20"/>
                <w:szCs w:val="20"/>
                <w:color w:val="auto"/>
              </w:rPr>
            </w:pPr>
            <w:r>
              <w:rPr>
                <w:rFonts w:ascii="Arial" w:cs="Arial" w:eastAsia="Arial" w:hAnsi="Arial"/>
                <w:sz w:val="14"/>
                <w:szCs w:val="14"/>
                <w:color w:val="auto"/>
              </w:rPr>
              <w:t>24,221</w:t>
            </w:r>
          </w:p>
        </w:tc>
        <w:tc>
          <w:tcPr>
            <w:tcW w:w="1240" w:type="dxa"/>
            <w:vAlign w:val="bottom"/>
            <w:tcBorders>
              <w:right w:val="single" w:sz="8" w:color="2D53A6"/>
            </w:tcBorders>
          </w:tcPr>
          <w:p>
            <w:pPr>
              <w:ind w:left="420"/>
              <w:spacing w:after="0"/>
              <w:rPr>
                <w:sz w:val="20"/>
                <w:szCs w:val="20"/>
                <w:color w:val="auto"/>
              </w:rPr>
            </w:pPr>
            <w:r>
              <w:rPr>
                <w:rFonts w:ascii="Arial" w:cs="Arial" w:eastAsia="Arial" w:hAnsi="Arial"/>
                <w:sz w:val="14"/>
                <w:szCs w:val="14"/>
                <w:color w:val="auto"/>
              </w:rPr>
              <w:t>4,498,059</w:t>
            </w:r>
          </w:p>
        </w:tc>
        <w:tc>
          <w:tcPr>
            <w:tcW w:w="0" w:type="dxa"/>
            <w:vAlign w:val="bottom"/>
          </w:tcPr>
          <w:p>
            <w:pPr>
              <w:spacing w:after="0"/>
              <w:rPr>
                <w:sz w:val="1"/>
                <w:szCs w:val="1"/>
                <w:color w:val="auto"/>
              </w:rPr>
            </w:pPr>
          </w:p>
        </w:tc>
      </w:tr>
      <w:tr>
        <w:trPr>
          <w:trHeight w:val="243"/>
        </w:trPr>
        <w:tc>
          <w:tcPr>
            <w:tcW w:w="4080" w:type="dxa"/>
            <w:vAlign w:val="bottom"/>
            <w:tcBorders>
              <w:left w:val="single" w:sz="8" w:color="2D53A6"/>
              <w:right w:val="single" w:sz="8" w:color="2D53A6"/>
            </w:tcBorders>
          </w:tcPr>
          <w:p>
            <w:pPr>
              <w:ind w:left="60"/>
              <w:spacing w:after="0"/>
              <w:rPr>
                <w:sz w:val="20"/>
                <w:szCs w:val="20"/>
                <w:color w:val="auto"/>
              </w:rPr>
            </w:pPr>
            <w:r>
              <w:rPr>
                <w:rFonts w:ascii="Arial" w:cs="Arial" w:eastAsia="Arial" w:hAnsi="Arial"/>
                <w:sz w:val="14"/>
                <w:szCs w:val="14"/>
                <w:i w:val="1"/>
                <w:iCs w:val="1"/>
                <w:color w:val="auto"/>
              </w:rPr>
              <w:t>President &amp;</w:t>
            </w:r>
          </w:p>
        </w:tc>
        <w:tc>
          <w:tcPr>
            <w:tcW w:w="880" w:type="dxa"/>
            <w:vAlign w:val="bottom"/>
            <w:tcBorders>
              <w:right w:val="single" w:sz="8" w:color="2D53A6"/>
            </w:tcBorders>
          </w:tcPr>
          <w:p>
            <w:pPr>
              <w:ind w:left="280"/>
              <w:spacing w:after="0"/>
              <w:rPr>
                <w:sz w:val="20"/>
                <w:szCs w:val="20"/>
                <w:color w:val="auto"/>
              </w:rPr>
            </w:pPr>
            <w:r>
              <w:rPr>
                <w:rFonts w:ascii="Arial" w:cs="Arial" w:eastAsia="Arial" w:hAnsi="Arial"/>
                <w:sz w:val="14"/>
                <w:szCs w:val="14"/>
                <w:color w:val="auto"/>
              </w:rPr>
              <w:t>2024</w:t>
            </w:r>
          </w:p>
        </w:tc>
        <w:tc>
          <w:tcPr>
            <w:tcW w:w="1260" w:type="dxa"/>
            <w:vAlign w:val="bottom"/>
            <w:tcBorders>
              <w:right w:val="single" w:sz="8" w:color="2D53A6"/>
            </w:tcBorders>
          </w:tcPr>
          <w:p>
            <w:pPr>
              <w:jc w:val="right"/>
              <w:ind w:right="108"/>
              <w:spacing w:after="0"/>
              <w:rPr>
                <w:sz w:val="20"/>
                <w:szCs w:val="20"/>
                <w:color w:val="auto"/>
              </w:rPr>
            </w:pPr>
            <w:r>
              <w:rPr>
                <w:rFonts w:ascii="Arial" w:cs="Arial" w:eastAsia="Arial" w:hAnsi="Arial"/>
                <w:sz w:val="14"/>
                <w:szCs w:val="14"/>
                <w:color w:val="auto"/>
              </w:rPr>
              <w:t>715,000</w:t>
            </w:r>
          </w:p>
        </w:tc>
        <w:tc>
          <w:tcPr>
            <w:tcW w:w="1260" w:type="dxa"/>
            <w:vAlign w:val="bottom"/>
            <w:tcBorders>
              <w:right w:val="single" w:sz="8" w:color="2D53A6"/>
            </w:tcBorders>
          </w:tcPr>
          <w:p>
            <w:pPr>
              <w:jc w:val="right"/>
              <w:ind w:right="109"/>
              <w:spacing w:after="0"/>
              <w:rPr>
                <w:sz w:val="20"/>
                <w:szCs w:val="20"/>
                <w:color w:val="auto"/>
              </w:rPr>
            </w:pPr>
            <w:r>
              <w:rPr>
                <w:rFonts w:ascii="Arial" w:cs="Arial" w:eastAsia="Arial" w:hAnsi="Arial"/>
                <w:sz w:val="14"/>
                <w:szCs w:val="14"/>
                <w:color w:val="auto"/>
              </w:rPr>
              <w:t>4,091,920</w:t>
            </w:r>
          </w:p>
        </w:tc>
        <w:tc>
          <w:tcPr>
            <w:tcW w:w="1260" w:type="dxa"/>
            <w:vAlign w:val="bottom"/>
            <w:tcBorders>
              <w:right w:val="single" w:sz="8" w:color="2D53A6"/>
            </w:tcBorders>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tcPr>
          <w:p>
            <w:pPr>
              <w:jc w:val="right"/>
              <w:ind w:right="129"/>
              <w:spacing w:after="0"/>
              <w:rPr>
                <w:sz w:val="20"/>
                <w:szCs w:val="20"/>
                <w:color w:val="auto"/>
              </w:rPr>
            </w:pPr>
            <w:r>
              <w:rPr>
                <w:rFonts w:ascii="Arial" w:cs="Arial" w:eastAsia="Arial" w:hAnsi="Arial"/>
                <w:sz w:val="14"/>
                <w:szCs w:val="14"/>
                <w:color w:val="auto"/>
              </w:rPr>
              <w:t>24,164</w:t>
            </w:r>
          </w:p>
        </w:tc>
        <w:tc>
          <w:tcPr>
            <w:tcW w:w="1240" w:type="dxa"/>
            <w:vAlign w:val="bottom"/>
            <w:tcBorders>
              <w:right w:val="single" w:sz="8" w:color="2D53A6"/>
            </w:tcBorders>
          </w:tcPr>
          <w:p>
            <w:pPr>
              <w:ind w:left="420"/>
              <w:spacing w:after="0"/>
              <w:rPr>
                <w:sz w:val="20"/>
                <w:szCs w:val="20"/>
                <w:color w:val="auto"/>
              </w:rPr>
            </w:pPr>
            <w:r>
              <w:rPr>
                <w:rFonts w:ascii="Arial" w:cs="Arial" w:eastAsia="Arial" w:hAnsi="Arial"/>
                <w:sz w:val="14"/>
                <w:szCs w:val="14"/>
                <w:color w:val="auto"/>
              </w:rPr>
              <w:t>4,831,084</w:t>
            </w:r>
          </w:p>
        </w:tc>
        <w:tc>
          <w:tcPr>
            <w:tcW w:w="0" w:type="dxa"/>
            <w:vAlign w:val="bottom"/>
          </w:tcPr>
          <w:p>
            <w:pPr>
              <w:spacing w:after="0"/>
              <w:rPr>
                <w:sz w:val="1"/>
                <w:szCs w:val="1"/>
                <w:color w:val="auto"/>
              </w:rPr>
            </w:pPr>
          </w:p>
        </w:tc>
      </w:tr>
      <w:tr>
        <w:trPr>
          <w:trHeight w:val="243"/>
        </w:trPr>
        <w:tc>
          <w:tcPr>
            <w:tcW w:w="4080" w:type="dxa"/>
            <w:vAlign w:val="bottom"/>
            <w:tcBorders>
              <w:left w:val="single" w:sz="8" w:color="2D53A6"/>
              <w:right w:val="single" w:sz="8" w:color="2D53A6"/>
            </w:tcBorders>
          </w:tcPr>
          <w:p>
            <w:pPr>
              <w:ind w:left="60"/>
              <w:spacing w:after="0"/>
              <w:rPr>
                <w:sz w:val="20"/>
                <w:szCs w:val="20"/>
                <w:color w:val="auto"/>
              </w:rPr>
            </w:pPr>
            <w:r>
              <w:rPr>
                <w:rFonts w:ascii="Arial" w:cs="Arial" w:eastAsia="Arial" w:hAnsi="Arial"/>
                <w:sz w:val="14"/>
                <w:szCs w:val="14"/>
                <w:i w:val="1"/>
                <w:iCs w:val="1"/>
                <w:color w:val="auto"/>
              </w:rPr>
              <w:t>Chief Executive Officer</w:t>
            </w:r>
          </w:p>
        </w:tc>
        <w:tc>
          <w:tcPr>
            <w:tcW w:w="880" w:type="dxa"/>
            <w:vAlign w:val="bottom"/>
            <w:tcBorders>
              <w:right w:val="single" w:sz="8" w:color="2D53A6"/>
            </w:tcBorders>
          </w:tcPr>
          <w:p>
            <w:pPr>
              <w:ind w:left="280"/>
              <w:spacing w:after="0"/>
              <w:rPr>
                <w:sz w:val="20"/>
                <w:szCs w:val="20"/>
                <w:color w:val="auto"/>
              </w:rPr>
            </w:pPr>
            <w:r>
              <w:rPr>
                <w:rFonts w:ascii="Arial" w:cs="Arial" w:eastAsia="Arial" w:hAnsi="Arial"/>
                <w:sz w:val="14"/>
                <w:szCs w:val="14"/>
                <w:color w:val="auto"/>
              </w:rPr>
              <w:t>2023</w:t>
            </w:r>
          </w:p>
        </w:tc>
        <w:tc>
          <w:tcPr>
            <w:tcW w:w="1260" w:type="dxa"/>
            <w:vAlign w:val="bottom"/>
            <w:tcBorders>
              <w:right w:val="single" w:sz="8" w:color="2D53A6"/>
            </w:tcBorders>
          </w:tcPr>
          <w:p>
            <w:pPr>
              <w:jc w:val="right"/>
              <w:ind w:right="108"/>
              <w:spacing w:after="0"/>
              <w:rPr>
                <w:sz w:val="20"/>
                <w:szCs w:val="20"/>
                <w:color w:val="auto"/>
              </w:rPr>
            </w:pPr>
            <w:r>
              <w:rPr>
                <w:rFonts w:ascii="Arial" w:cs="Arial" w:eastAsia="Arial" w:hAnsi="Arial"/>
                <w:sz w:val="14"/>
                <w:szCs w:val="14"/>
                <w:color w:val="auto"/>
              </w:rPr>
              <w:t>708,846</w:t>
            </w:r>
          </w:p>
        </w:tc>
        <w:tc>
          <w:tcPr>
            <w:tcW w:w="1260" w:type="dxa"/>
            <w:vAlign w:val="bottom"/>
            <w:tcBorders>
              <w:right w:val="single" w:sz="8" w:color="2D53A6"/>
            </w:tcBorders>
          </w:tcPr>
          <w:p>
            <w:pPr>
              <w:jc w:val="right"/>
              <w:ind w:right="109"/>
              <w:spacing w:after="0"/>
              <w:rPr>
                <w:sz w:val="20"/>
                <w:szCs w:val="20"/>
                <w:color w:val="auto"/>
              </w:rPr>
            </w:pPr>
            <w:r>
              <w:rPr>
                <w:rFonts w:ascii="Arial" w:cs="Arial" w:eastAsia="Arial" w:hAnsi="Arial"/>
                <w:sz w:val="14"/>
                <w:szCs w:val="14"/>
                <w:color w:val="auto"/>
              </w:rPr>
              <w:t>5,051,219</w:t>
            </w:r>
          </w:p>
        </w:tc>
        <w:tc>
          <w:tcPr>
            <w:tcW w:w="1260" w:type="dxa"/>
            <w:vAlign w:val="bottom"/>
            <w:tcBorders>
              <w:right w:val="single" w:sz="8" w:color="2D53A6"/>
            </w:tcBorders>
          </w:tcPr>
          <w:p>
            <w:pPr>
              <w:jc w:val="right"/>
              <w:ind w:right="109"/>
              <w:spacing w:after="0"/>
              <w:rPr>
                <w:sz w:val="20"/>
                <w:szCs w:val="20"/>
                <w:color w:val="auto"/>
              </w:rPr>
            </w:pPr>
            <w:r>
              <w:rPr>
                <w:rFonts w:ascii="Arial" w:cs="Arial" w:eastAsia="Arial" w:hAnsi="Arial"/>
                <w:sz w:val="14"/>
                <w:szCs w:val="14"/>
                <w:color w:val="auto"/>
              </w:rPr>
              <w:t>752,378</w:t>
            </w:r>
          </w:p>
        </w:tc>
        <w:tc>
          <w:tcPr>
            <w:tcW w:w="1260" w:type="dxa"/>
            <w:vAlign w:val="bottom"/>
            <w:tcBorders>
              <w:right w:val="single" w:sz="8" w:color="2D53A6"/>
            </w:tcBorders>
          </w:tcPr>
          <w:p>
            <w:pPr>
              <w:jc w:val="right"/>
              <w:ind w:right="129"/>
              <w:spacing w:after="0"/>
              <w:rPr>
                <w:sz w:val="20"/>
                <w:szCs w:val="20"/>
                <w:color w:val="auto"/>
              </w:rPr>
            </w:pPr>
            <w:r>
              <w:rPr>
                <w:rFonts w:ascii="Arial" w:cs="Arial" w:eastAsia="Arial" w:hAnsi="Arial"/>
                <w:sz w:val="14"/>
                <w:szCs w:val="14"/>
                <w:color w:val="auto"/>
              </w:rPr>
              <w:t>24,164</w:t>
            </w:r>
          </w:p>
        </w:tc>
        <w:tc>
          <w:tcPr>
            <w:tcW w:w="1240" w:type="dxa"/>
            <w:vAlign w:val="bottom"/>
            <w:tcBorders>
              <w:right w:val="single" w:sz="8" w:color="2D53A6"/>
            </w:tcBorders>
          </w:tcPr>
          <w:p>
            <w:pPr>
              <w:ind w:left="420"/>
              <w:spacing w:after="0"/>
              <w:rPr>
                <w:sz w:val="20"/>
                <w:szCs w:val="20"/>
                <w:color w:val="auto"/>
              </w:rPr>
            </w:pPr>
            <w:r>
              <w:rPr>
                <w:rFonts w:ascii="Arial" w:cs="Arial" w:eastAsia="Arial" w:hAnsi="Arial"/>
                <w:sz w:val="14"/>
                <w:szCs w:val="14"/>
                <w:color w:val="auto"/>
              </w:rPr>
              <w:t>6,536,607</w:t>
            </w:r>
          </w:p>
        </w:tc>
        <w:tc>
          <w:tcPr>
            <w:tcW w:w="0" w:type="dxa"/>
            <w:vAlign w:val="bottom"/>
          </w:tcPr>
          <w:p>
            <w:pPr>
              <w:spacing w:after="0"/>
              <w:rPr>
                <w:sz w:val="1"/>
                <w:szCs w:val="1"/>
                <w:color w:val="auto"/>
              </w:rPr>
            </w:pPr>
          </w:p>
        </w:tc>
      </w:tr>
      <w:tr>
        <w:trPr>
          <w:trHeight w:val="22"/>
        </w:trPr>
        <w:tc>
          <w:tcPr>
            <w:tcW w:w="4080" w:type="dxa"/>
            <w:vAlign w:val="bottom"/>
            <w:tcBorders>
              <w:left w:val="single" w:sz="8" w:color="2D53A6"/>
              <w:bottom w:val="single" w:sz="8" w:color="2D53A6"/>
              <w:right w:val="single" w:sz="8" w:color="2D53A6"/>
            </w:tcBorders>
          </w:tcPr>
          <w:p>
            <w:pPr>
              <w:spacing w:after="0" w:line="20" w:lineRule="exact"/>
              <w:rPr>
                <w:sz w:val="1"/>
                <w:szCs w:val="1"/>
                <w:color w:val="auto"/>
              </w:rPr>
            </w:pPr>
          </w:p>
        </w:tc>
        <w:tc>
          <w:tcPr>
            <w:tcW w:w="880" w:type="dxa"/>
            <w:vAlign w:val="bottom"/>
            <w:tcBorders>
              <w:bottom w:val="single" w:sz="8" w:color="2D53A6"/>
              <w:right w:val="single" w:sz="8" w:color="2D53A6"/>
            </w:tcBorders>
          </w:tcPr>
          <w:p>
            <w:pPr>
              <w:spacing w:after="0" w:line="20" w:lineRule="exact"/>
              <w:rPr>
                <w:sz w:val="1"/>
                <w:szCs w:val="1"/>
                <w:color w:val="auto"/>
              </w:rPr>
            </w:pPr>
          </w:p>
        </w:tc>
        <w:tc>
          <w:tcPr>
            <w:tcW w:w="1260" w:type="dxa"/>
            <w:vAlign w:val="bottom"/>
            <w:tcBorders>
              <w:bottom w:val="single" w:sz="8" w:color="2D53A6"/>
              <w:right w:val="single" w:sz="8" w:color="2D53A6"/>
            </w:tcBorders>
          </w:tcPr>
          <w:p>
            <w:pPr>
              <w:spacing w:after="0" w:line="20" w:lineRule="exact"/>
              <w:rPr>
                <w:sz w:val="1"/>
                <w:szCs w:val="1"/>
                <w:color w:val="auto"/>
              </w:rPr>
            </w:pPr>
          </w:p>
        </w:tc>
        <w:tc>
          <w:tcPr>
            <w:tcW w:w="1260" w:type="dxa"/>
            <w:vAlign w:val="bottom"/>
            <w:tcBorders>
              <w:bottom w:val="single" w:sz="8" w:color="2D53A6"/>
              <w:right w:val="single" w:sz="8" w:color="2D53A6"/>
            </w:tcBorders>
          </w:tcPr>
          <w:p>
            <w:pPr>
              <w:spacing w:after="0" w:line="20" w:lineRule="exact"/>
              <w:rPr>
                <w:sz w:val="1"/>
                <w:szCs w:val="1"/>
                <w:color w:val="auto"/>
              </w:rPr>
            </w:pPr>
          </w:p>
        </w:tc>
        <w:tc>
          <w:tcPr>
            <w:tcW w:w="1260" w:type="dxa"/>
            <w:vAlign w:val="bottom"/>
            <w:tcBorders>
              <w:bottom w:val="single" w:sz="8" w:color="2D53A6"/>
              <w:right w:val="single" w:sz="8" w:color="2D53A6"/>
            </w:tcBorders>
          </w:tcPr>
          <w:p>
            <w:pPr>
              <w:spacing w:after="0" w:line="20" w:lineRule="exact"/>
              <w:rPr>
                <w:sz w:val="1"/>
                <w:szCs w:val="1"/>
                <w:color w:val="auto"/>
              </w:rPr>
            </w:pPr>
          </w:p>
        </w:tc>
        <w:tc>
          <w:tcPr>
            <w:tcW w:w="1260" w:type="dxa"/>
            <w:vAlign w:val="bottom"/>
            <w:tcBorders>
              <w:bottom w:val="single" w:sz="8" w:color="2D53A6"/>
              <w:right w:val="single" w:sz="8" w:color="2D53A6"/>
            </w:tcBorders>
          </w:tcPr>
          <w:p>
            <w:pPr>
              <w:spacing w:after="0" w:line="20" w:lineRule="exact"/>
              <w:rPr>
                <w:sz w:val="1"/>
                <w:szCs w:val="1"/>
                <w:color w:val="auto"/>
              </w:rPr>
            </w:pPr>
          </w:p>
        </w:tc>
        <w:tc>
          <w:tcPr>
            <w:tcW w:w="1240" w:type="dxa"/>
            <w:vAlign w:val="bottom"/>
            <w:tcBorders>
              <w:bottom w:val="single" w:sz="8" w:color="2D53A6"/>
              <w:right w:val="single" w:sz="8" w:color="2D53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080" w:type="dxa"/>
            <w:vAlign w:val="bottom"/>
            <w:tcBorders>
              <w:left w:val="single" w:sz="8" w:color="2D53A6"/>
              <w:right w:val="single" w:sz="8" w:color="2D53A6"/>
            </w:tcBorders>
            <w:shd w:val="clear" w:color="auto" w:fill="E6E6E6"/>
          </w:tcPr>
          <w:p>
            <w:pPr>
              <w:ind w:left="60"/>
              <w:spacing w:after="0"/>
              <w:rPr>
                <w:sz w:val="20"/>
                <w:szCs w:val="20"/>
                <w:color w:val="auto"/>
              </w:rPr>
            </w:pPr>
            <w:r>
              <w:rPr>
                <w:rFonts w:ascii="Arial" w:cs="Arial" w:eastAsia="Arial" w:hAnsi="Arial"/>
                <w:sz w:val="14"/>
                <w:szCs w:val="14"/>
                <w:color w:val="auto"/>
              </w:rPr>
              <w:t>Jeffrey D. Jones</w:t>
            </w:r>
          </w:p>
        </w:tc>
        <w:tc>
          <w:tcPr>
            <w:tcW w:w="880" w:type="dxa"/>
            <w:vAlign w:val="bottom"/>
            <w:tcBorders>
              <w:right w:val="single" w:sz="8" w:color="2D53A6"/>
            </w:tcBorders>
            <w:shd w:val="clear" w:color="auto" w:fill="E6E6E6"/>
          </w:tcPr>
          <w:p>
            <w:pPr>
              <w:ind w:left="280"/>
              <w:spacing w:after="0"/>
              <w:rPr>
                <w:sz w:val="20"/>
                <w:szCs w:val="20"/>
                <w:color w:val="auto"/>
              </w:rPr>
            </w:pPr>
            <w:r>
              <w:rPr>
                <w:rFonts w:ascii="Arial" w:cs="Arial" w:eastAsia="Arial" w:hAnsi="Arial"/>
                <w:sz w:val="14"/>
                <w:szCs w:val="14"/>
                <w:color w:val="auto"/>
              </w:rPr>
              <w:t>2025</w:t>
            </w:r>
          </w:p>
        </w:tc>
        <w:tc>
          <w:tcPr>
            <w:tcW w:w="1260" w:type="dxa"/>
            <w:vAlign w:val="bottom"/>
            <w:tcBorders>
              <w:right w:val="single" w:sz="8" w:color="2D53A6"/>
            </w:tcBorders>
            <w:shd w:val="clear" w:color="auto" w:fill="E6E6E6"/>
          </w:tcPr>
          <w:p>
            <w:pPr>
              <w:jc w:val="right"/>
              <w:ind w:right="108"/>
              <w:spacing w:after="0"/>
              <w:rPr>
                <w:sz w:val="20"/>
                <w:szCs w:val="20"/>
                <w:color w:val="auto"/>
              </w:rPr>
            </w:pPr>
            <w:r>
              <w:rPr>
                <w:rFonts w:ascii="Arial" w:cs="Arial" w:eastAsia="Arial" w:hAnsi="Arial"/>
                <w:sz w:val="14"/>
                <w:szCs w:val="14"/>
                <w:color w:val="auto"/>
              </w:rPr>
              <w:t>455,000</w:t>
            </w:r>
          </w:p>
        </w:tc>
        <w:tc>
          <w:tcPr>
            <w:tcW w:w="1260" w:type="dxa"/>
            <w:vAlign w:val="bottom"/>
            <w:tcBorders>
              <w:right w:val="single" w:sz="8" w:color="2D53A6"/>
            </w:tcBorders>
            <w:shd w:val="clear" w:color="auto" w:fill="E6E6E6"/>
          </w:tcPr>
          <w:p>
            <w:pPr>
              <w:jc w:val="right"/>
              <w:ind w:right="109"/>
              <w:spacing w:after="0"/>
              <w:rPr>
                <w:sz w:val="20"/>
                <w:szCs w:val="20"/>
                <w:color w:val="auto"/>
              </w:rPr>
            </w:pPr>
            <w:r>
              <w:rPr>
                <w:rFonts w:ascii="Arial" w:cs="Arial" w:eastAsia="Arial" w:hAnsi="Arial"/>
                <w:sz w:val="14"/>
                <w:szCs w:val="14"/>
                <w:color w:val="auto"/>
              </w:rPr>
              <w:t>1,096,393</w:t>
            </w:r>
          </w:p>
        </w:tc>
        <w:tc>
          <w:tcPr>
            <w:tcW w:w="1260" w:type="dxa"/>
            <w:vAlign w:val="bottom"/>
            <w:tcBorders>
              <w:right w:val="single" w:sz="8" w:color="2D53A6"/>
            </w:tcBorders>
            <w:shd w:val="clear" w:color="auto" w:fill="E6E6E6"/>
          </w:tcPr>
          <w:p>
            <w:pPr>
              <w:jc w:val="right"/>
              <w:ind w:right="109"/>
              <w:spacing w:after="0"/>
              <w:rPr>
                <w:sz w:val="20"/>
                <w:szCs w:val="20"/>
                <w:color w:val="auto"/>
              </w:rPr>
            </w:pPr>
            <w:r>
              <w:rPr>
                <w:rFonts w:ascii="Arial" w:cs="Arial" w:eastAsia="Arial" w:hAnsi="Arial"/>
                <w:sz w:val="14"/>
                <w:szCs w:val="14"/>
                <w:color w:val="auto"/>
              </w:rPr>
              <w:t>108,621</w:t>
            </w:r>
          </w:p>
        </w:tc>
        <w:tc>
          <w:tcPr>
            <w:tcW w:w="1260" w:type="dxa"/>
            <w:vAlign w:val="bottom"/>
            <w:tcBorders>
              <w:right w:val="single" w:sz="8" w:color="2D53A6"/>
            </w:tcBorders>
            <w:shd w:val="clear" w:color="auto" w:fill="E6E6E6"/>
          </w:tcPr>
          <w:p>
            <w:pPr>
              <w:jc w:val="right"/>
              <w:ind w:right="129"/>
              <w:spacing w:after="0"/>
              <w:rPr>
                <w:sz w:val="20"/>
                <w:szCs w:val="20"/>
                <w:color w:val="auto"/>
              </w:rPr>
            </w:pPr>
            <w:r>
              <w:rPr>
                <w:rFonts w:ascii="Arial" w:cs="Arial" w:eastAsia="Arial" w:hAnsi="Arial"/>
                <w:sz w:val="14"/>
                <w:szCs w:val="14"/>
                <w:color w:val="auto"/>
              </w:rPr>
              <w:t>21,147</w:t>
            </w:r>
          </w:p>
        </w:tc>
        <w:tc>
          <w:tcPr>
            <w:tcW w:w="1240" w:type="dxa"/>
            <w:vAlign w:val="bottom"/>
            <w:tcBorders>
              <w:right w:val="single" w:sz="8" w:color="2D53A6"/>
            </w:tcBorders>
            <w:shd w:val="clear" w:color="auto" w:fill="E6E6E6"/>
          </w:tcPr>
          <w:p>
            <w:pPr>
              <w:ind w:left="420"/>
              <w:spacing w:after="0"/>
              <w:rPr>
                <w:sz w:val="20"/>
                <w:szCs w:val="20"/>
                <w:color w:val="auto"/>
              </w:rPr>
            </w:pPr>
            <w:r>
              <w:rPr>
                <w:rFonts w:ascii="Arial" w:cs="Arial" w:eastAsia="Arial" w:hAnsi="Arial"/>
                <w:sz w:val="14"/>
                <w:szCs w:val="14"/>
                <w:color w:val="auto"/>
              </w:rPr>
              <w:t>1,681,161</w:t>
            </w:r>
          </w:p>
        </w:tc>
        <w:tc>
          <w:tcPr>
            <w:tcW w:w="0" w:type="dxa"/>
            <w:vAlign w:val="bottom"/>
          </w:tcPr>
          <w:p>
            <w:pPr>
              <w:spacing w:after="0"/>
              <w:rPr>
                <w:sz w:val="1"/>
                <w:szCs w:val="1"/>
                <w:color w:val="auto"/>
              </w:rPr>
            </w:pPr>
          </w:p>
        </w:tc>
      </w:tr>
      <w:tr>
        <w:trPr>
          <w:trHeight w:val="243"/>
        </w:trPr>
        <w:tc>
          <w:tcPr>
            <w:tcW w:w="4080" w:type="dxa"/>
            <w:vAlign w:val="bottom"/>
            <w:tcBorders>
              <w:left w:val="single" w:sz="8" w:color="2D53A6"/>
              <w:right w:val="single" w:sz="8" w:color="2D53A6"/>
            </w:tcBorders>
            <w:shd w:val="clear" w:color="auto" w:fill="E6E6E6"/>
          </w:tcPr>
          <w:p>
            <w:pPr>
              <w:ind w:left="60"/>
              <w:spacing w:after="0"/>
              <w:rPr>
                <w:sz w:val="20"/>
                <w:szCs w:val="20"/>
                <w:color w:val="auto"/>
              </w:rPr>
            </w:pPr>
            <w:r>
              <w:rPr>
                <w:rFonts w:ascii="Arial" w:cs="Arial" w:eastAsia="Arial" w:hAnsi="Arial"/>
                <w:sz w:val="14"/>
                <w:szCs w:val="14"/>
                <w:i w:val="1"/>
                <w:iCs w:val="1"/>
                <w:color w:val="auto"/>
              </w:rPr>
              <w:t>Sr. Vice President, Finance &amp;</w:t>
            </w:r>
          </w:p>
        </w:tc>
        <w:tc>
          <w:tcPr>
            <w:tcW w:w="880" w:type="dxa"/>
            <w:vAlign w:val="bottom"/>
            <w:tcBorders>
              <w:right w:val="single" w:sz="8" w:color="2D53A6"/>
            </w:tcBorders>
            <w:shd w:val="clear" w:color="auto" w:fill="E6E6E6"/>
          </w:tcPr>
          <w:p>
            <w:pPr>
              <w:ind w:left="280"/>
              <w:spacing w:after="0"/>
              <w:rPr>
                <w:sz w:val="20"/>
                <w:szCs w:val="20"/>
                <w:color w:val="auto"/>
              </w:rPr>
            </w:pPr>
            <w:r>
              <w:rPr>
                <w:rFonts w:ascii="Arial" w:cs="Arial" w:eastAsia="Arial" w:hAnsi="Arial"/>
                <w:sz w:val="14"/>
                <w:szCs w:val="14"/>
                <w:color w:val="auto"/>
              </w:rPr>
              <w:t>2024</w:t>
            </w:r>
          </w:p>
        </w:tc>
        <w:tc>
          <w:tcPr>
            <w:tcW w:w="1260" w:type="dxa"/>
            <w:vAlign w:val="bottom"/>
            <w:tcBorders>
              <w:right w:val="single" w:sz="8" w:color="2D53A6"/>
            </w:tcBorders>
            <w:shd w:val="clear" w:color="auto" w:fill="E6E6E6"/>
          </w:tcPr>
          <w:p>
            <w:pPr>
              <w:jc w:val="right"/>
              <w:ind w:right="108"/>
              <w:spacing w:after="0"/>
              <w:rPr>
                <w:sz w:val="20"/>
                <w:szCs w:val="20"/>
                <w:color w:val="auto"/>
              </w:rPr>
            </w:pPr>
            <w:r>
              <w:rPr>
                <w:rFonts w:ascii="Arial" w:cs="Arial" w:eastAsia="Arial" w:hAnsi="Arial"/>
                <w:sz w:val="14"/>
                <w:szCs w:val="14"/>
                <w:color w:val="auto"/>
              </w:rPr>
              <w:t>455,000</w:t>
            </w:r>
          </w:p>
        </w:tc>
        <w:tc>
          <w:tcPr>
            <w:tcW w:w="1260" w:type="dxa"/>
            <w:vAlign w:val="bottom"/>
            <w:tcBorders>
              <w:right w:val="single" w:sz="8" w:color="2D53A6"/>
            </w:tcBorders>
            <w:shd w:val="clear" w:color="auto" w:fill="E6E6E6"/>
          </w:tcPr>
          <w:p>
            <w:pPr>
              <w:jc w:val="right"/>
              <w:ind w:right="109"/>
              <w:spacing w:after="0"/>
              <w:rPr>
                <w:sz w:val="20"/>
                <w:szCs w:val="20"/>
                <w:color w:val="auto"/>
              </w:rPr>
            </w:pPr>
            <w:r>
              <w:rPr>
                <w:rFonts w:ascii="Arial" w:cs="Arial" w:eastAsia="Arial" w:hAnsi="Arial"/>
                <w:sz w:val="14"/>
                <w:szCs w:val="14"/>
                <w:color w:val="auto"/>
              </w:rPr>
              <w:t>1,350,312</w:t>
            </w:r>
          </w:p>
        </w:tc>
        <w:tc>
          <w:tcPr>
            <w:tcW w:w="1260" w:type="dxa"/>
            <w:vAlign w:val="bottom"/>
            <w:tcBorders>
              <w:right w:val="single" w:sz="8" w:color="2D53A6"/>
            </w:tcBorders>
            <w:shd w:val="clear" w:color="auto" w:fill="E6E6E6"/>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shd w:val="clear" w:color="auto" w:fill="E6E6E6"/>
          </w:tcPr>
          <w:p>
            <w:pPr>
              <w:jc w:val="right"/>
              <w:ind w:right="129"/>
              <w:spacing w:after="0"/>
              <w:rPr>
                <w:sz w:val="20"/>
                <w:szCs w:val="20"/>
                <w:color w:val="auto"/>
              </w:rPr>
            </w:pPr>
            <w:r>
              <w:rPr>
                <w:rFonts w:ascii="Arial" w:cs="Arial" w:eastAsia="Arial" w:hAnsi="Arial"/>
                <w:sz w:val="14"/>
                <w:szCs w:val="14"/>
                <w:color w:val="auto"/>
              </w:rPr>
              <w:t>21,043</w:t>
            </w:r>
          </w:p>
        </w:tc>
        <w:tc>
          <w:tcPr>
            <w:tcW w:w="1240" w:type="dxa"/>
            <w:vAlign w:val="bottom"/>
            <w:tcBorders>
              <w:right w:val="single" w:sz="8" w:color="2D53A6"/>
            </w:tcBorders>
            <w:shd w:val="clear" w:color="auto" w:fill="E6E6E6"/>
          </w:tcPr>
          <w:p>
            <w:pPr>
              <w:ind w:left="420"/>
              <w:spacing w:after="0"/>
              <w:rPr>
                <w:sz w:val="20"/>
                <w:szCs w:val="20"/>
                <w:color w:val="auto"/>
              </w:rPr>
            </w:pPr>
            <w:r>
              <w:rPr>
                <w:rFonts w:ascii="Arial" w:cs="Arial" w:eastAsia="Arial" w:hAnsi="Arial"/>
                <w:sz w:val="14"/>
                <w:szCs w:val="14"/>
                <w:color w:val="auto"/>
              </w:rPr>
              <w:t>1,826,355</w:t>
            </w:r>
          </w:p>
        </w:tc>
        <w:tc>
          <w:tcPr>
            <w:tcW w:w="0" w:type="dxa"/>
            <w:vAlign w:val="bottom"/>
          </w:tcPr>
          <w:p>
            <w:pPr>
              <w:spacing w:after="0"/>
              <w:rPr>
                <w:sz w:val="1"/>
                <w:szCs w:val="1"/>
                <w:color w:val="auto"/>
              </w:rPr>
            </w:pPr>
          </w:p>
        </w:tc>
      </w:tr>
      <w:tr>
        <w:trPr>
          <w:trHeight w:val="270"/>
        </w:trPr>
        <w:tc>
          <w:tcPr>
            <w:tcW w:w="4080" w:type="dxa"/>
            <w:vAlign w:val="bottom"/>
            <w:tcBorders>
              <w:left w:val="single" w:sz="8" w:color="2D53A6"/>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4"/>
                <w:szCs w:val="14"/>
                <w:i w:val="1"/>
                <w:iCs w:val="1"/>
                <w:color w:val="auto"/>
              </w:rPr>
              <w:t>Chief Financial Officer</w:t>
            </w:r>
          </w:p>
        </w:tc>
        <w:tc>
          <w:tcPr>
            <w:tcW w:w="880" w:type="dxa"/>
            <w:vAlign w:val="bottom"/>
            <w:tcBorders>
              <w:bottom w:val="single" w:sz="8" w:color="E6E6E6"/>
              <w:right w:val="single" w:sz="8" w:color="2D53A6"/>
            </w:tcBorders>
            <w:shd w:val="clear" w:color="auto" w:fill="E6E6E6"/>
          </w:tcPr>
          <w:p>
            <w:pPr>
              <w:ind w:left="280"/>
              <w:spacing w:after="0"/>
              <w:rPr>
                <w:sz w:val="20"/>
                <w:szCs w:val="20"/>
                <w:color w:val="auto"/>
              </w:rPr>
            </w:pPr>
            <w:r>
              <w:rPr>
                <w:rFonts w:ascii="Arial" w:cs="Arial" w:eastAsia="Arial" w:hAnsi="Arial"/>
                <w:sz w:val="14"/>
                <w:szCs w:val="14"/>
                <w:color w:val="auto"/>
              </w:rPr>
              <w:t>2023</w:t>
            </w:r>
          </w:p>
        </w:tc>
        <w:tc>
          <w:tcPr>
            <w:tcW w:w="1260" w:type="dxa"/>
            <w:vAlign w:val="bottom"/>
            <w:tcBorders>
              <w:bottom w:val="single" w:sz="8" w:color="E6E6E6"/>
              <w:right w:val="single" w:sz="8" w:color="2D53A6"/>
            </w:tcBorders>
            <w:shd w:val="clear" w:color="auto" w:fill="E6E6E6"/>
          </w:tcPr>
          <w:p>
            <w:pPr>
              <w:jc w:val="right"/>
              <w:ind w:right="108"/>
              <w:spacing w:after="0"/>
              <w:rPr>
                <w:sz w:val="20"/>
                <w:szCs w:val="20"/>
                <w:color w:val="auto"/>
              </w:rPr>
            </w:pPr>
            <w:r>
              <w:rPr>
                <w:rFonts w:ascii="Arial" w:cs="Arial" w:eastAsia="Arial" w:hAnsi="Arial"/>
                <w:sz w:val="14"/>
                <w:szCs w:val="14"/>
                <w:color w:val="auto"/>
              </w:rPr>
              <w:t>452,231</w:t>
            </w:r>
          </w:p>
        </w:tc>
        <w:tc>
          <w:tcPr>
            <w:tcW w:w="1260" w:type="dxa"/>
            <w:vAlign w:val="bottom"/>
            <w:tcBorders>
              <w:bottom w:val="single" w:sz="8" w:color="E6E6E6"/>
              <w:right w:val="single" w:sz="8" w:color="2D53A6"/>
            </w:tcBorders>
            <w:shd w:val="clear" w:color="auto" w:fill="E6E6E6"/>
          </w:tcPr>
          <w:p>
            <w:pPr>
              <w:jc w:val="right"/>
              <w:ind w:right="109"/>
              <w:spacing w:after="0"/>
              <w:rPr>
                <w:sz w:val="20"/>
                <w:szCs w:val="20"/>
                <w:color w:val="auto"/>
              </w:rPr>
            </w:pPr>
            <w:r>
              <w:rPr>
                <w:rFonts w:ascii="Arial" w:cs="Arial" w:eastAsia="Arial" w:hAnsi="Arial"/>
                <w:sz w:val="14"/>
                <w:szCs w:val="14"/>
                <w:color w:val="auto"/>
              </w:rPr>
              <w:t>1,666,891</w:t>
            </w:r>
          </w:p>
        </w:tc>
        <w:tc>
          <w:tcPr>
            <w:tcW w:w="1260" w:type="dxa"/>
            <w:vAlign w:val="bottom"/>
            <w:tcBorders>
              <w:bottom w:val="single" w:sz="8" w:color="E6E6E6"/>
              <w:right w:val="single" w:sz="8" w:color="2D53A6"/>
            </w:tcBorders>
            <w:shd w:val="clear" w:color="auto" w:fill="E6E6E6"/>
          </w:tcPr>
          <w:p>
            <w:pPr>
              <w:jc w:val="right"/>
              <w:ind w:right="109"/>
              <w:spacing w:after="0"/>
              <w:rPr>
                <w:sz w:val="20"/>
                <w:szCs w:val="20"/>
                <w:color w:val="auto"/>
              </w:rPr>
            </w:pPr>
            <w:r>
              <w:rPr>
                <w:rFonts w:ascii="Arial" w:cs="Arial" w:eastAsia="Arial" w:hAnsi="Arial"/>
                <w:sz w:val="14"/>
                <w:szCs w:val="14"/>
                <w:color w:val="auto"/>
              </w:rPr>
              <w:t>326,445</w:t>
            </w:r>
          </w:p>
        </w:tc>
        <w:tc>
          <w:tcPr>
            <w:tcW w:w="1260" w:type="dxa"/>
            <w:vAlign w:val="bottom"/>
            <w:tcBorders>
              <w:bottom w:val="single" w:sz="8" w:color="E6E6E6"/>
              <w:right w:val="single" w:sz="8" w:color="2D53A6"/>
            </w:tcBorders>
            <w:shd w:val="clear" w:color="auto" w:fill="E6E6E6"/>
          </w:tcPr>
          <w:p>
            <w:pPr>
              <w:jc w:val="right"/>
              <w:ind w:right="129"/>
              <w:spacing w:after="0"/>
              <w:rPr>
                <w:sz w:val="20"/>
                <w:szCs w:val="20"/>
                <w:color w:val="auto"/>
              </w:rPr>
            </w:pPr>
            <w:r>
              <w:rPr>
                <w:rFonts w:ascii="Arial" w:cs="Arial" w:eastAsia="Arial" w:hAnsi="Arial"/>
                <w:sz w:val="14"/>
                <w:szCs w:val="14"/>
                <w:color w:val="auto"/>
              </w:rPr>
              <w:t>21,043</w:t>
            </w:r>
          </w:p>
        </w:tc>
        <w:tc>
          <w:tcPr>
            <w:tcW w:w="1240" w:type="dxa"/>
            <w:vAlign w:val="bottom"/>
            <w:tcBorders>
              <w:bottom w:val="single" w:sz="8" w:color="E6E6E6"/>
              <w:right w:val="single" w:sz="8" w:color="2D53A6"/>
            </w:tcBorders>
            <w:shd w:val="clear" w:color="auto" w:fill="E6E6E6"/>
          </w:tcPr>
          <w:p>
            <w:pPr>
              <w:ind w:left="420"/>
              <w:spacing w:after="0"/>
              <w:rPr>
                <w:sz w:val="20"/>
                <w:szCs w:val="20"/>
                <w:color w:val="auto"/>
              </w:rPr>
            </w:pPr>
            <w:r>
              <w:rPr>
                <w:rFonts w:ascii="Arial" w:cs="Arial" w:eastAsia="Arial" w:hAnsi="Arial"/>
                <w:sz w:val="14"/>
                <w:szCs w:val="14"/>
                <w:color w:val="auto"/>
              </w:rPr>
              <w:t>2,466,610</w:t>
            </w:r>
          </w:p>
        </w:tc>
        <w:tc>
          <w:tcPr>
            <w:tcW w:w="0" w:type="dxa"/>
            <w:vAlign w:val="bottom"/>
          </w:tcPr>
          <w:p>
            <w:pPr>
              <w:spacing w:after="0"/>
              <w:rPr>
                <w:sz w:val="1"/>
                <w:szCs w:val="1"/>
                <w:color w:val="auto"/>
              </w:rPr>
            </w:pPr>
          </w:p>
        </w:tc>
      </w:tr>
      <w:tr>
        <w:trPr>
          <w:trHeight w:val="215"/>
        </w:trPr>
        <w:tc>
          <w:tcPr>
            <w:tcW w:w="4080" w:type="dxa"/>
            <w:vAlign w:val="bottom"/>
            <w:tcBorders>
              <w:top w:val="single" w:sz="8" w:color="2D53A6"/>
              <w:left w:val="single" w:sz="8" w:color="2D53A6"/>
              <w:right w:val="single" w:sz="8" w:color="2D53A6"/>
            </w:tcBorders>
          </w:tcPr>
          <w:p>
            <w:pPr>
              <w:ind w:left="60"/>
              <w:spacing w:after="0"/>
              <w:rPr>
                <w:sz w:val="20"/>
                <w:szCs w:val="20"/>
                <w:color w:val="auto"/>
              </w:rPr>
            </w:pPr>
            <w:r>
              <w:rPr>
                <w:rFonts w:ascii="Arial" w:cs="Arial" w:eastAsia="Arial" w:hAnsi="Arial"/>
                <w:sz w:val="14"/>
                <w:szCs w:val="14"/>
                <w:color w:val="auto"/>
              </w:rPr>
              <w:t>Christopher G. Bohrson</w:t>
            </w:r>
          </w:p>
        </w:tc>
        <w:tc>
          <w:tcPr>
            <w:tcW w:w="880" w:type="dxa"/>
            <w:vAlign w:val="bottom"/>
            <w:tcBorders>
              <w:top w:val="single" w:sz="8" w:color="2D53A6"/>
              <w:right w:val="single" w:sz="8" w:color="2D53A6"/>
            </w:tcBorders>
          </w:tcPr>
          <w:p>
            <w:pPr>
              <w:ind w:left="280"/>
              <w:spacing w:after="0"/>
              <w:rPr>
                <w:sz w:val="20"/>
                <w:szCs w:val="20"/>
                <w:color w:val="auto"/>
              </w:rPr>
            </w:pPr>
            <w:r>
              <w:rPr>
                <w:rFonts w:ascii="Arial" w:cs="Arial" w:eastAsia="Arial" w:hAnsi="Arial"/>
                <w:sz w:val="14"/>
                <w:szCs w:val="14"/>
                <w:color w:val="auto"/>
              </w:rPr>
              <w:t>2025</w:t>
            </w:r>
          </w:p>
        </w:tc>
        <w:tc>
          <w:tcPr>
            <w:tcW w:w="1260" w:type="dxa"/>
            <w:vAlign w:val="bottom"/>
            <w:tcBorders>
              <w:top w:val="single" w:sz="8" w:color="2D53A6"/>
              <w:right w:val="single" w:sz="8" w:color="2D53A6"/>
            </w:tcBorders>
          </w:tcPr>
          <w:p>
            <w:pPr>
              <w:jc w:val="right"/>
              <w:ind w:right="108"/>
              <w:spacing w:after="0"/>
              <w:rPr>
                <w:sz w:val="20"/>
                <w:szCs w:val="20"/>
                <w:color w:val="auto"/>
              </w:rPr>
            </w:pPr>
            <w:r>
              <w:rPr>
                <w:rFonts w:ascii="Arial" w:cs="Arial" w:eastAsia="Arial" w:hAnsi="Arial"/>
                <w:sz w:val="14"/>
                <w:szCs w:val="14"/>
                <w:color w:val="auto"/>
              </w:rPr>
              <w:t>425,000</w:t>
            </w:r>
          </w:p>
        </w:tc>
        <w:tc>
          <w:tcPr>
            <w:tcW w:w="1260" w:type="dxa"/>
            <w:vAlign w:val="bottom"/>
            <w:tcBorders>
              <w:top w:val="single" w:sz="8" w:color="2D53A6"/>
              <w:right w:val="single" w:sz="8" w:color="2D53A6"/>
            </w:tcBorders>
          </w:tcPr>
          <w:p>
            <w:pPr>
              <w:jc w:val="right"/>
              <w:ind w:right="109"/>
              <w:spacing w:after="0"/>
              <w:rPr>
                <w:sz w:val="20"/>
                <w:szCs w:val="20"/>
                <w:color w:val="auto"/>
              </w:rPr>
            </w:pPr>
            <w:r>
              <w:rPr>
                <w:rFonts w:ascii="Arial" w:cs="Arial" w:eastAsia="Arial" w:hAnsi="Arial"/>
                <w:sz w:val="14"/>
                <w:szCs w:val="14"/>
                <w:color w:val="auto"/>
              </w:rPr>
              <w:t>804,022</w:t>
            </w:r>
          </w:p>
        </w:tc>
        <w:tc>
          <w:tcPr>
            <w:tcW w:w="1260" w:type="dxa"/>
            <w:vAlign w:val="bottom"/>
            <w:tcBorders>
              <w:top w:val="single" w:sz="8" w:color="2D53A6"/>
              <w:right w:val="single" w:sz="8" w:color="2D53A6"/>
            </w:tcBorders>
          </w:tcPr>
          <w:p>
            <w:pPr>
              <w:jc w:val="right"/>
              <w:ind w:right="109"/>
              <w:spacing w:after="0"/>
              <w:rPr>
                <w:sz w:val="20"/>
                <w:szCs w:val="20"/>
                <w:color w:val="auto"/>
              </w:rPr>
            </w:pPr>
            <w:r>
              <w:rPr>
                <w:rFonts w:ascii="Arial" w:cs="Arial" w:eastAsia="Arial" w:hAnsi="Arial"/>
                <w:sz w:val="14"/>
                <w:szCs w:val="14"/>
                <w:color w:val="auto"/>
              </w:rPr>
              <w:t>101,459</w:t>
            </w:r>
          </w:p>
        </w:tc>
        <w:tc>
          <w:tcPr>
            <w:tcW w:w="1260" w:type="dxa"/>
            <w:vAlign w:val="bottom"/>
            <w:tcBorders>
              <w:top w:val="single" w:sz="8" w:color="2D53A6"/>
              <w:right w:val="single" w:sz="8" w:color="2D53A6"/>
            </w:tcBorders>
          </w:tcPr>
          <w:p>
            <w:pPr>
              <w:jc w:val="right"/>
              <w:ind w:right="129"/>
              <w:spacing w:after="0"/>
              <w:rPr>
                <w:sz w:val="20"/>
                <w:szCs w:val="20"/>
                <w:color w:val="auto"/>
              </w:rPr>
            </w:pPr>
            <w:r>
              <w:rPr>
                <w:rFonts w:ascii="Arial" w:cs="Arial" w:eastAsia="Arial" w:hAnsi="Arial"/>
                <w:sz w:val="14"/>
                <w:szCs w:val="14"/>
                <w:color w:val="auto"/>
              </w:rPr>
              <w:t>21,099</w:t>
            </w:r>
          </w:p>
        </w:tc>
        <w:tc>
          <w:tcPr>
            <w:tcW w:w="1240" w:type="dxa"/>
            <w:vAlign w:val="bottom"/>
            <w:tcBorders>
              <w:top w:val="single" w:sz="8" w:color="2D53A6"/>
              <w:right w:val="single" w:sz="8" w:color="2D53A6"/>
            </w:tcBorders>
          </w:tcPr>
          <w:p>
            <w:pPr>
              <w:ind w:left="420"/>
              <w:spacing w:after="0"/>
              <w:rPr>
                <w:sz w:val="20"/>
                <w:szCs w:val="20"/>
                <w:color w:val="auto"/>
              </w:rPr>
            </w:pPr>
            <w:r>
              <w:rPr>
                <w:rFonts w:ascii="Arial" w:cs="Arial" w:eastAsia="Arial" w:hAnsi="Arial"/>
                <w:sz w:val="14"/>
                <w:szCs w:val="14"/>
                <w:color w:val="auto"/>
              </w:rPr>
              <w:t>1,351,580</w:t>
            </w:r>
          </w:p>
        </w:tc>
        <w:tc>
          <w:tcPr>
            <w:tcW w:w="0" w:type="dxa"/>
            <w:vAlign w:val="bottom"/>
          </w:tcPr>
          <w:p>
            <w:pPr>
              <w:spacing w:after="0"/>
              <w:rPr>
                <w:sz w:val="1"/>
                <w:szCs w:val="1"/>
                <w:color w:val="auto"/>
              </w:rPr>
            </w:pPr>
          </w:p>
        </w:tc>
      </w:tr>
      <w:tr>
        <w:trPr>
          <w:trHeight w:val="243"/>
        </w:trPr>
        <w:tc>
          <w:tcPr>
            <w:tcW w:w="4080" w:type="dxa"/>
            <w:vAlign w:val="bottom"/>
            <w:tcBorders>
              <w:left w:val="single" w:sz="8" w:color="2D53A6"/>
              <w:right w:val="single" w:sz="8" w:color="2D53A6"/>
            </w:tcBorders>
          </w:tcPr>
          <w:p>
            <w:pPr>
              <w:ind w:left="60"/>
              <w:spacing w:after="0"/>
              <w:rPr>
                <w:sz w:val="20"/>
                <w:szCs w:val="20"/>
                <w:color w:val="auto"/>
              </w:rPr>
            </w:pPr>
            <w:r>
              <w:rPr>
                <w:rFonts w:ascii="Arial" w:cs="Arial" w:eastAsia="Arial" w:hAnsi="Arial"/>
                <w:sz w:val="14"/>
                <w:szCs w:val="14"/>
                <w:i w:val="1"/>
                <w:iCs w:val="1"/>
                <w:color w:val="auto"/>
              </w:rPr>
              <w:t>Sr. Vice President,</w:t>
            </w:r>
          </w:p>
        </w:tc>
        <w:tc>
          <w:tcPr>
            <w:tcW w:w="880" w:type="dxa"/>
            <w:vAlign w:val="bottom"/>
            <w:tcBorders>
              <w:right w:val="single" w:sz="8" w:color="2D53A6"/>
            </w:tcBorders>
          </w:tcPr>
          <w:p>
            <w:pPr>
              <w:ind w:left="280"/>
              <w:spacing w:after="0"/>
              <w:rPr>
                <w:sz w:val="20"/>
                <w:szCs w:val="20"/>
                <w:color w:val="auto"/>
              </w:rPr>
            </w:pPr>
            <w:r>
              <w:rPr>
                <w:rFonts w:ascii="Arial" w:cs="Arial" w:eastAsia="Arial" w:hAnsi="Arial"/>
                <w:sz w:val="14"/>
                <w:szCs w:val="14"/>
                <w:color w:val="auto"/>
              </w:rPr>
              <w:t>2024</w:t>
            </w:r>
          </w:p>
        </w:tc>
        <w:tc>
          <w:tcPr>
            <w:tcW w:w="1260" w:type="dxa"/>
            <w:vAlign w:val="bottom"/>
            <w:tcBorders>
              <w:right w:val="single" w:sz="8" w:color="2D53A6"/>
            </w:tcBorders>
          </w:tcPr>
          <w:p>
            <w:pPr>
              <w:jc w:val="right"/>
              <w:ind w:right="108"/>
              <w:spacing w:after="0"/>
              <w:rPr>
                <w:sz w:val="20"/>
                <w:szCs w:val="20"/>
                <w:color w:val="auto"/>
              </w:rPr>
            </w:pPr>
            <w:r>
              <w:rPr>
                <w:rFonts w:ascii="Arial" w:cs="Arial" w:eastAsia="Arial" w:hAnsi="Arial"/>
                <w:sz w:val="14"/>
                <w:szCs w:val="14"/>
                <w:color w:val="auto"/>
              </w:rPr>
              <w:t>425,000</w:t>
            </w:r>
          </w:p>
        </w:tc>
        <w:tc>
          <w:tcPr>
            <w:tcW w:w="1260" w:type="dxa"/>
            <w:vAlign w:val="bottom"/>
            <w:tcBorders>
              <w:right w:val="single" w:sz="8" w:color="2D53A6"/>
            </w:tcBorders>
          </w:tcPr>
          <w:p>
            <w:pPr>
              <w:jc w:val="right"/>
              <w:ind w:right="109"/>
              <w:spacing w:after="0"/>
              <w:rPr>
                <w:sz w:val="20"/>
                <w:szCs w:val="20"/>
                <w:color w:val="auto"/>
              </w:rPr>
            </w:pPr>
            <w:r>
              <w:rPr>
                <w:rFonts w:ascii="Arial" w:cs="Arial" w:eastAsia="Arial" w:hAnsi="Arial"/>
                <w:sz w:val="14"/>
                <w:szCs w:val="14"/>
                <w:color w:val="auto"/>
              </w:rPr>
              <w:t>1,022,948</w:t>
            </w:r>
          </w:p>
        </w:tc>
        <w:tc>
          <w:tcPr>
            <w:tcW w:w="1260" w:type="dxa"/>
            <w:vAlign w:val="bottom"/>
            <w:tcBorders>
              <w:right w:val="single" w:sz="8" w:color="2D53A6"/>
            </w:tcBorders>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tcPr>
          <w:p>
            <w:pPr>
              <w:jc w:val="right"/>
              <w:ind w:right="129"/>
              <w:spacing w:after="0"/>
              <w:rPr>
                <w:sz w:val="20"/>
                <w:szCs w:val="20"/>
                <w:color w:val="auto"/>
              </w:rPr>
            </w:pPr>
            <w:r>
              <w:rPr>
                <w:rFonts w:ascii="Arial" w:cs="Arial" w:eastAsia="Arial" w:hAnsi="Arial"/>
                <w:sz w:val="14"/>
                <w:szCs w:val="14"/>
                <w:color w:val="auto"/>
              </w:rPr>
              <w:t>20,961</w:t>
            </w:r>
          </w:p>
        </w:tc>
        <w:tc>
          <w:tcPr>
            <w:tcW w:w="1240" w:type="dxa"/>
            <w:vAlign w:val="bottom"/>
            <w:tcBorders>
              <w:right w:val="single" w:sz="8" w:color="2D53A6"/>
            </w:tcBorders>
          </w:tcPr>
          <w:p>
            <w:pPr>
              <w:ind w:left="420"/>
              <w:spacing w:after="0"/>
              <w:rPr>
                <w:sz w:val="20"/>
                <w:szCs w:val="20"/>
                <w:color w:val="auto"/>
              </w:rPr>
            </w:pPr>
            <w:r>
              <w:rPr>
                <w:rFonts w:ascii="Arial" w:cs="Arial" w:eastAsia="Arial" w:hAnsi="Arial"/>
                <w:sz w:val="14"/>
                <w:szCs w:val="14"/>
                <w:color w:val="auto"/>
              </w:rPr>
              <w:t>1,468,909</w:t>
            </w:r>
          </w:p>
        </w:tc>
        <w:tc>
          <w:tcPr>
            <w:tcW w:w="0" w:type="dxa"/>
            <w:vAlign w:val="bottom"/>
          </w:tcPr>
          <w:p>
            <w:pPr>
              <w:spacing w:after="0"/>
              <w:rPr>
                <w:sz w:val="1"/>
                <w:szCs w:val="1"/>
                <w:color w:val="auto"/>
              </w:rPr>
            </w:pPr>
          </w:p>
        </w:tc>
      </w:tr>
      <w:tr>
        <w:trPr>
          <w:trHeight w:val="243"/>
        </w:trPr>
        <w:tc>
          <w:tcPr>
            <w:tcW w:w="4080" w:type="dxa"/>
            <w:vAlign w:val="bottom"/>
            <w:tcBorders>
              <w:left w:val="single" w:sz="8" w:color="2D53A6"/>
              <w:right w:val="single" w:sz="8" w:color="2D53A6"/>
            </w:tcBorders>
          </w:tcPr>
          <w:p>
            <w:pPr>
              <w:ind w:left="60"/>
              <w:spacing w:after="0"/>
              <w:rPr>
                <w:sz w:val="20"/>
                <w:szCs w:val="20"/>
                <w:color w:val="auto"/>
              </w:rPr>
            </w:pPr>
            <w:r>
              <w:rPr>
                <w:rFonts w:ascii="Arial" w:cs="Arial" w:eastAsia="Arial" w:hAnsi="Arial"/>
                <w:sz w:val="14"/>
                <w:szCs w:val="14"/>
                <w:i w:val="1"/>
                <w:iCs w:val="1"/>
                <w:color w:val="auto"/>
              </w:rPr>
              <w:t>Chief Customer Officer</w:t>
            </w:r>
          </w:p>
        </w:tc>
        <w:tc>
          <w:tcPr>
            <w:tcW w:w="880" w:type="dxa"/>
            <w:vAlign w:val="bottom"/>
            <w:tcBorders>
              <w:right w:val="single" w:sz="8" w:color="2D53A6"/>
            </w:tcBorders>
          </w:tcPr>
          <w:p>
            <w:pPr>
              <w:ind w:left="280"/>
              <w:spacing w:after="0"/>
              <w:rPr>
                <w:sz w:val="20"/>
                <w:szCs w:val="20"/>
                <w:color w:val="auto"/>
              </w:rPr>
            </w:pPr>
            <w:r>
              <w:rPr>
                <w:rFonts w:ascii="Arial" w:cs="Arial" w:eastAsia="Arial" w:hAnsi="Arial"/>
                <w:sz w:val="14"/>
                <w:szCs w:val="14"/>
                <w:color w:val="auto"/>
              </w:rPr>
              <w:t>2023</w:t>
            </w:r>
          </w:p>
        </w:tc>
        <w:tc>
          <w:tcPr>
            <w:tcW w:w="1260" w:type="dxa"/>
            <w:vAlign w:val="bottom"/>
            <w:tcBorders>
              <w:right w:val="single" w:sz="8" w:color="2D53A6"/>
            </w:tcBorders>
          </w:tcPr>
          <w:p>
            <w:pPr>
              <w:jc w:val="right"/>
              <w:ind w:right="108"/>
              <w:spacing w:after="0"/>
              <w:rPr>
                <w:sz w:val="20"/>
                <w:szCs w:val="20"/>
                <w:color w:val="auto"/>
              </w:rPr>
            </w:pPr>
            <w:r>
              <w:rPr>
                <w:rFonts w:ascii="Arial" w:cs="Arial" w:eastAsia="Arial" w:hAnsi="Arial"/>
                <w:sz w:val="14"/>
                <w:szCs w:val="14"/>
                <w:color w:val="auto"/>
              </w:rPr>
              <w:t>418,846</w:t>
            </w:r>
          </w:p>
        </w:tc>
        <w:tc>
          <w:tcPr>
            <w:tcW w:w="1260" w:type="dxa"/>
            <w:vAlign w:val="bottom"/>
            <w:tcBorders>
              <w:right w:val="single" w:sz="8" w:color="2D53A6"/>
            </w:tcBorders>
          </w:tcPr>
          <w:p>
            <w:pPr>
              <w:jc w:val="right"/>
              <w:ind w:right="109"/>
              <w:spacing w:after="0"/>
              <w:rPr>
                <w:sz w:val="20"/>
                <w:szCs w:val="20"/>
                <w:color w:val="auto"/>
              </w:rPr>
            </w:pPr>
            <w:r>
              <w:rPr>
                <w:rFonts w:ascii="Arial" w:cs="Arial" w:eastAsia="Arial" w:hAnsi="Arial"/>
                <w:sz w:val="14"/>
                <w:szCs w:val="14"/>
                <w:color w:val="auto"/>
              </w:rPr>
              <w:t>1,262,779</w:t>
            </w:r>
          </w:p>
        </w:tc>
        <w:tc>
          <w:tcPr>
            <w:tcW w:w="1260" w:type="dxa"/>
            <w:vAlign w:val="bottom"/>
            <w:tcBorders>
              <w:right w:val="single" w:sz="8" w:color="2D53A6"/>
            </w:tcBorders>
          </w:tcPr>
          <w:p>
            <w:pPr>
              <w:jc w:val="right"/>
              <w:ind w:right="109"/>
              <w:spacing w:after="0"/>
              <w:rPr>
                <w:sz w:val="20"/>
                <w:szCs w:val="20"/>
                <w:color w:val="auto"/>
              </w:rPr>
            </w:pPr>
            <w:r>
              <w:rPr>
                <w:rFonts w:ascii="Arial" w:cs="Arial" w:eastAsia="Arial" w:hAnsi="Arial"/>
                <w:sz w:val="14"/>
                <w:szCs w:val="14"/>
                <w:color w:val="auto"/>
              </w:rPr>
              <w:t>304,921</w:t>
            </w:r>
          </w:p>
        </w:tc>
        <w:tc>
          <w:tcPr>
            <w:tcW w:w="1260" w:type="dxa"/>
            <w:vAlign w:val="bottom"/>
            <w:tcBorders>
              <w:right w:val="single" w:sz="8" w:color="2D53A6"/>
            </w:tcBorders>
          </w:tcPr>
          <w:p>
            <w:pPr>
              <w:jc w:val="right"/>
              <w:ind w:right="129"/>
              <w:spacing w:after="0"/>
              <w:rPr>
                <w:sz w:val="20"/>
                <w:szCs w:val="20"/>
                <w:color w:val="auto"/>
              </w:rPr>
            </w:pPr>
            <w:r>
              <w:rPr>
                <w:rFonts w:ascii="Arial" w:cs="Arial" w:eastAsia="Arial" w:hAnsi="Arial"/>
                <w:sz w:val="14"/>
                <w:szCs w:val="14"/>
                <w:color w:val="auto"/>
              </w:rPr>
              <w:t>20,962</w:t>
            </w:r>
          </w:p>
        </w:tc>
        <w:tc>
          <w:tcPr>
            <w:tcW w:w="1240" w:type="dxa"/>
            <w:vAlign w:val="bottom"/>
            <w:tcBorders>
              <w:right w:val="single" w:sz="8" w:color="2D53A6"/>
            </w:tcBorders>
          </w:tcPr>
          <w:p>
            <w:pPr>
              <w:ind w:left="420"/>
              <w:spacing w:after="0"/>
              <w:rPr>
                <w:sz w:val="20"/>
                <w:szCs w:val="20"/>
                <w:color w:val="auto"/>
              </w:rPr>
            </w:pPr>
            <w:r>
              <w:rPr>
                <w:rFonts w:ascii="Arial" w:cs="Arial" w:eastAsia="Arial" w:hAnsi="Arial"/>
                <w:sz w:val="14"/>
                <w:szCs w:val="14"/>
                <w:color w:val="auto"/>
              </w:rPr>
              <w:t>2,007,508</w:t>
            </w:r>
          </w:p>
        </w:tc>
        <w:tc>
          <w:tcPr>
            <w:tcW w:w="0" w:type="dxa"/>
            <w:vAlign w:val="bottom"/>
          </w:tcPr>
          <w:p>
            <w:pPr>
              <w:spacing w:after="0"/>
              <w:rPr>
                <w:sz w:val="1"/>
                <w:szCs w:val="1"/>
                <w:color w:val="auto"/>
              </w:rPr>
            </w:pPr>
          </w:p>
        </w:tc>
      </w:tr>
      <w:tr>
        <w:trPr>
          <w:trHeight w:val="22"/>
        </w:trPr>
        <w:tc>
          <w:tcPr>
            <w:tcW w:w="4080" w:type="dxa"/>
            <w:vAlign w:val="bottom"/>
            <w:tcBorders>
              <w:left w:val="single" w:sz="8" w:color="2D53A6"/>
              <w:bottom w:val="single" w:sz="8" w:color="2D53A6"/>
              <w:right w:val="single" w:sz="8" w:color="2D53A6"/>
            </w:tcBorders>
          </w:tcPr>
          <w:p>
            <w:pPr>
              <w:spacing w:after="0" w:line="20" w:lineRule="exact"/>
              <w:rPr>
                <w:sz w:val="1"/>
                <w:szCs w:val="1"/>
                <w:color w:val="auto"/>
              </w:rPr>
            </w:pPr>
          </w:p>
        </w:tc>
        <w:tc>
          <w:tcPr>
            <w:tcW w:w="880" w:type="dxa"/>
            <w:vAlign w:val="bottom"/>
            <w:tcBorders>
              <w:bottom w:val="single" w:sz="8" w:color="2D53A6"/>
              <w:right w:val="single" w:sz="8" w:color="2D53A6"/>
            </w:tcBorders>
          </w:tcPr>
          <w:p>
            <w:pPr>
              <w:spacing w:after="0" w:line="20" w:lineRule="exact"/>
              <w:rPr>
                <w:sz w:val="1"/>
                <w:szCs w:val="1"/>
                <w:color w:val="auto"/>
              </w:rPr>
            </w:pPr>
          </w:p>
        </w:tc>
        <w:tc>
          <w:tcPr>
            <w:tcW w:w="1260" w:type="dxa"/>
            <w:vAlign w:val="bottom"/>
            <w:tcBorders>
              <w:bottom w:val="single" w:sz="8" w:color="2D53A6"/>
              <w:right w:val="single" w:sz="8" w:color="2D53A6"/>
            </w:tcBorders>
          </w:tcPr>
          <w:p>
            <w:pPr>
              <w:spacing w:after="0" w:line="20" w:lineRule="exact"/>
              <w:rPr>
                <w:sz w:val="1"/>
                <w:szCs w:val="1"/>
                <w:color w:val="auto"/>
              </w:rPr>
            </w:pPr>
          </w:p>
        </w:tc>
        <w:tc>
          <w:tcPr>
            <w:tcW w:w="1260" w:type="dxa"/>
            <w:vAlign w:val="bottom"/>
            <w:tcBorders>
              <w:bottom w:val="single" w:sz="8" w:color="2D53A6"/>
              <w:right w:val="single" w:sz="8" w:color="2D53A6"/>
            </w:tcBorders>
          </w:tcPr>
          <w:p>
            <w:pPr>
              <w:spacing w:after="0" w:line="20" w:lineRule="exact"/>
              <w:rPr>
                <w:sz w:val="1"/>
                <w:szCs w:val="1"/>
                <w:color w:val="auto"/>
              </w:rPr>
            </w:pPr>
          </w:p>
        </w:tc>
        <w:tc>
          <w:tcPr>
            <w:tcW w:w="1260" w:type="dxa"/>
            <w:vAlign w:val="bottom"/>
            <w:tcBorders>
              <w:bottom w:val="single" w:sz="8" w:color="2D53A6"/>
              <w:right w:val="single" w:sz="8" w:color="2D53A6"/>
            </w:tcBorders>
          </w:tcPr>
          <w:p>
            <w:pPr>
              <w:spacing w:after="0" w:line="20" w:lineRule="exact"/>
              <w:rPr>
                <w:sz w:val="1"/>
                <w:szCs w:val="1"/>
                <w:color w:val="auto"/>
              </w:rPr>
            </w:pPr>
          </w:p>
        </w:tc>
        <w:tc>
          <w:tcPr>
            <w:tcW w:w="1260" w:type="dxa"/>
            <w:vAlign w:val="bottom"/>
            <w:tcBorders>
              <w:bottom w:val="single" w:sz="8" w:color="2D53A6"/>
              <w:right w:val="single" w:sz="8" w:color="2D53A6"/>
            </w:tcBorders>
          </w:tcPr>
          <w:p>
            <w:pPr>
              <w:spacing w:after="0" w:line="20" w:lineRule="exact"/>
              <w:rPr>
                <w:sz w:val="1"/>
                <w:szCs w:val="1"/>
                <w:color w:val="auto"/>
              </w:rPr>
            </w:pPr>
          </w:p>
        </w:tc>
        <w:tc>
          <w:tcPr>
            <w:tcW w:w="1240" w:type="dxa"/>
            <w:vAlign w:val="bottom"/>
            <w:tcBorders>
              <w:bottom w:val="single" w:sz="8" w:color="2D53A6"/>
              <w:right w:val="single" w:sz="8" w:color="2D53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80" w:type="dxa"/>
            <w:vAlign w:val="bottom"/>
            <w:tcBorders>
              <w:left w:val="single" w:sz="8" w:color="2D53A6"/>
              <w:right w:val="single" w:sz="8" w:color="2D53A6"/>
            </w:tcBorders>
            <w:shd w:val="clear" w:color="auto" w:fill="E6E6E6"/>
          </w:tcPr>
          <w:p>
            <w:pPr>
              <w:ind w:left="60"/>
              <w:spacing w:after="0" w:line="236" w:lineRule="exact"/>
              <w:rPr>
                <w:sz w:val="20"/>
                <w:szCs w:val="20"/>
                <w:color w:val="auto"/>
              </w:rPr>
            </w:pPr>
            <w:r>
              <w:rPr>
                <w:rFonts w:ascii="Arial" w:cs="Arial" w:eastAsia="Arial" w:hAnsi="Arial"/>
                <w:sz w:val="14"/>
                <w:szCs w:val="14"/>
                <w:color w:val="auto"/>
              </w:rPr>
              <w:t xml:space="preserve">Klaus Ilgenfritz </w:t>
            </w:r>
            <w:r>
              <w:rPr>
                <w:rFonts w:ascii="Arial" w:cs="Arial" w:eastAsia="Arial" w:hAnsi="Arial"/>
                <w:sz w:val="23"/>
                <w:szCs w:val="23"/>
                <w:color w:val="auto"/>
                <w:vertAlign w:val="superscript"/>
              </w:rPr>
              <w:t>(4)</w:t>
            </w:r>
          </w:p>
        </w:tc>
        <w:tc>
          <w:tcPr>
            <w:tcW w:w="880" w:type="dxa"/>
            <w:vAlign w:val="bottom"/>
            <w:tcBorders>
              <w:right w:val="single" w:sz="8" w:color="2D53A6"/>
            </w:tcBorders>
            <w:shd w:val="clear" w:color="auto" w:fill="E6E6E6"/>
          </w:tcPr>
          <w:p>
            <w:pPr>
              <w:ind w:left="280"/>
              <w:spacing w:after="0"/>
              <w:rPr>
                <w:sz w:val="20"/>
                <w:szCs w:val="20"/>
                <w:color w:val="auto"/>
              </w:rPr>
            </w:pPr>
            <w:r>
              <w:rPr>
                <w:rFonts w:ascii="Arial" w:cs="Arial" w:eastAsia="Arial" w:hAnsi="Arial"/>
                <w:sz w:val="14"/>
                <w:szCs w:val="14"/>
                <w:color w:val="auto"/>
              </w:rPr>
              <w:t>2025</w:t>
            </w:r>
          </w:p>
        </w:tc>
        <w:tc>
          <w:tcPr>
            <w:tcW w:w="1260" w:type="dxa"/>
            <w:vAlign w:val="bottom"/>
            <w:tcBorders>
              <w:right w:val="single" w:sz="8" w:color="2D53A6"/>
            </w:tcBorders>
            <w:shd w:val="clear" w:color="auto" w:fill="E6E6E6"/>
          </w:tcPr>
          <w:p>
            <w:pPr>
              <w:jc w:val="right"/>
              <w:ind w:right="108"/>
              <w:spacing w:after="0"/>
              <w:rPr>
                <w:sz w:val="20"/>
                <w:szCs w:val="20"/>
                <w:color w:val="auto"/>
              </w:rPr>
            </w:pPr>
            <w:r>
              <w:rPr>
                <w:rFonts w:ascii="Arial" w:cs="Arial" w:eastAsia="Arial" w:hAnsi="Arial"/>
                <w:sz w:val="14"/>
                <w:szCs w:val="14"/>
                <w:color w:val="auto"/>
              </w:rPr>
              <w:t>418,887</w:t>
            </w:r>
          </w:p>
        </w:tc>
        <w:tc>
          <w:tcPr>
            <w:tcW w:w="1260" w:type="dxa"/>
            <w:vAlign w:val="bottom"/>
            <w:tcBorders>
              <w:right w:val="single" w:sz="8" w:color="2D53A6"/>
            </w:tcBorders>
            <w:shd w:val="clear" w:color="auto" w:fill="E6E6E6"/>
          </w:tcPr>
          <w:p>
            <w:pPr>
              <w:jc w:val="right"/>
              <w:ind w:right="109"/>
              <w:spacing w:after="0"/>
              <w:rPr>
                <w:sz w:val="20"/>
                <w:szCs w:val="20"/>
                <w:color w:val="auto"/>
              </w:rPr>
            </w:pPr>
            <w:r>
              <w:rPr>
                <w:rFonts w:ascii="Arial" w:cs="Arial" w:eastAsia="Arial" w:hAnsi="Arial"/>
                <w:sz w:val="14"/>
                <w:szCs w:val="14"/>
                <w:color w:val="auto"/>
              </w:rPr>
              <w:t>548,188</w:t>
            </w:r>
          </w:p>
        </w:tc>
        <w:tc>
          <w:tcPr>
            <w:tcW w:w="1260" w:type="dxa"/>
            <w:vAlign w:val="bottom"/>
            <w:tcBorders>
              <w:right w:val="single" w:sz="8" w:color="2D53A6"/>
            </w:tcBorders>
            <w:shd w:val="clear" w:color="auto" w:fill="E6E6E6"/>
          </w:tcPr>
          <w:p>
            <w:pPr>
              <w:jc w:val="right"/>
              <w:ind w:right="109"/>
              <w:spacing w:after="0"/>
              <w:rPr>
                <w:sz w:val="20"/>
                <w:szCs w:val="20"/>
                <w:color w:val="auto"/>
              </w:rPr>
            </w:pPr>
            <w:r>
              <w:rPr>
                <w:rFonts w:ascii="Arial" w:cs="Arial" w:eastAsia="Arial" w:hAnsi="Arial"/>
                <w:sz w:val="14"/>
                <w:szCs w:val="14"/>
                <w:color w:val="auto"/>
              </w:rPr>
              <w:t>80,975</w:t>
            </w:r>
          </w:p>
        </w:tc>
        <w:tc>
          <w:tcPr>
            <w:tcW w:w="1260" w:type="dxa"/>
            <w:vAlign w:val="bottom"/>
            <w:tcBorders>
              <w:right w:val="single" w:sz="8" w:color="2D53A6"/>
            </w:tcBorders>
            <w:shd w:val="clear" w:color="auto" w:fill="E6E6E6"/>
          </w:tcPr>
          <w:p>
            <w:pPr>
              <w:jc w:val="right"/>
              <w:ind w:right="129"/>
              <w:spacing w:after="0"/>
              <w:rPr>
                <w:sz w:val="20"/>
                <w:szCs w:val="20"/>
                <w:color w:val="auto"/>
              </w:rPr>
            </w:pPr>
            <w:r>
              <w:rPr>
                <w:rFonts w:ascii="Arial" w:cs="Arial" w:eastAsia="Arial" w:hAnsi="Arial"/>
                <w:sz w:val="14"/>
                <w:szCs w:val="14"/>
                <w:color w:val="auto"/>
              </w:rPr>
              <w:t>11,888</w:t>
            </w:r>
          </w:p>
        </w:tc>
        <w:tc>
          <w:tcPr>
            <w:tcW w:w="1240" w:type="dxa"/>
            <w:vAlign w:val="bottom"/>
            <w:tcBorders>
              <w:right w:val="single" w:sz="8" w:color="2D53A6"/>
            </w:tcBorders>
            <w:shd w:val="clear" w:color="auto" w:fill="E6E6E6"/>
          </w:tcPr>
          <w:p>
            <w:pPr>
              <w:ind w:left="420"/>
              <w:spacing w:after="0"/>
              <w:rPr>
                <w:sz w:val="20"/>
                <w:szCs w:val="20"/>
                <w:color w:val="auto"/>
              </w:rPr>
            </w:pPr>
            <w:r>
              <w:rPr>
                <w:rFonts w:ascii="Arial" w:cs="Arial" w:eastAsia="Arial" w:hAnsi="Arial"/>
                <w:sz w:val="14"/>
                <w:szCs w:val="14"/>
                <w:color w:val="auto"/>
              </w:rPr>
              <w:t>1,059,938</w:t>
            </w:r>
          </w:p>
        </w:tc>
        <w:tc>
          <w:tcPr>
            <w:tcW w:w="0" w:type="dxa"/>
            <w:vAlign w:val="bottom"/>
          </w:tcPr>
          <w:p>
            <w:pPr>
              <w:spacing w:after="0"/>
              <w:rPr>
                <w:sz w:val="1"/>
                <w:szCs w:val="1"/>
                <w:color w:val="auto"/>
              </w:rPr>
            </w:pPr>
          </w:p>
        </w:tc>
      </w:tr>
      <w:tr>
        <w:trPr>
          <w:trHeight w:val="222"/>
        </w:trPr>
        <w:tc>
          <w:tcPr>
            <w:tcW w:w="4080" w:type="dxa"/>
            <w:vAlign w:val="bottom"/>
            <w:tcBorders>
              <w:left w:val="single" w:sz="8" w:color="2D53A6"/>
              <w:right w:val="single" w:sz="8" w:color="2D53A6"/>
            </w:tcBorders>
            <w:shd w:val="clear" w:color="auto" w:fill="E6E6E6"/>
          </w:tcPr>
          <w:p>
            <w:pPr>
              <w:ind w:left="60"/>
              <w:spacing w:after="0"/>
              <w:rPr>
                <w:sz w:val="20"/>
                <w:szCs w:val="20"/>
                <w:color w:val="auto"/>
              </w:rPr>
            </w:pPr>
            <w:r>
              <w:rPr>
                <w:rFonts w:ascii="Arial" w:cs="Arial" w:eastAsia="Arial" w:hAnsi="Arial"/>
                <w:sz w:val="14"/>
                <w:szCs w:val="14"/>
                <w:i w:val="1"/>
                <w:iCs w:val="1"/>
                <w:color w:val="auto"/>
              </w:rPr>
              <w:t>Sr. Vice President,</w:t>
            </w:r>
          </w:p>
        </w:tc>
        <w:tc>
          <w:tcPr>
            <w:tcW w:w="880" w:type="dxa"/>
            <w:vAlign w:val="bottom"/>
            <w:tcBorders>
              <w:right w:val="single" w:sz="8" w:color="2D53A6"/>
            </w:tcBorders>
            <w:shd w:val="clear" w:color="auto" w:fill="E6E6E6"/>
          </w:tcPr>
          <w:p>
            <w:pPr>
              <w:spacing w:after="0"/>
              <w:rPr>
                <w:sz w:val="19"/>
                <w:szCs w:val="19"/>
                <w:color w:val="auto"/>
              </w:rPr>
            </w:pPr>
          </w:p>
        </w:tc>
        <w:tc>
          <w:tcPr>
            <w:tcW w:w="1260" w:type="dxa"/>
            <w:vAlign w:val="bottom"/>
            <w:tcBorders>
              <w:right w:val="single" w:sz="8" w:color="2D53A6"/>
            </w:tcBorders>
            <w:shd w:val="clear" w:color="auto" w:fill="E6E6E6"/>
          </w:tcPr>
          <w:p>
            <w:pPr>
              <w:spacing w:after="0"/>
              <w:rPr>
                <w:sz w:val="19"/>
                <w:szCs w:val="19"/>
                <w:color w:val="auto"/>
              </w:rPr>
            </w:pPr>
          </w:p>
        </w:tc>
        <w:tc>
          <w:tcPr>
            <w:tcW w:w="1260" w:type="dxa"/>
            <w:vAlign w:val="bottom"/>
            <w:tcBorders>
              <w:right w:val="single" w:sz="8" w:color="2D53A6"/>
            </w:tcBorders>
            <w:shd w:val="clear" w:color="auto" w:fill="E6E6E6"/>
          </w:tcPr>
          <w:p>
            <w:pPr>
              <w:spacing w:after="0"/>
              <w:rPr>
                <w:sz w:val="19"/>
                <w:szCs w:val="19"/>
                <w:color w:val="auto"/>
              </w:rPr>
            </w:pPr>
          </w:p>
        </w:tc>
        <w:tc>
          <w:tcPr>
            <w:tcW w:w="1260" w:type="dxa"/>
            <w:vAlign w:val="bottom"/>
            <w:tcBorders>
              <w:right w:val="single" w:sz="8" w:color="2D53A6"/>
            </w:tcBorders>
            <w:shd w:val="clear" w:color="auto" w:fill="E6E6E6"/>
          </w:tcPr>
          <w:p>
            <w:pPr>
              <w:spacing w:after="0"/>
              <w:rPr>
                <w:sz w:val="19"/>
                <w:szCs w:val="19"/>
                <w:color w:val="auto"/>
              </w:rPr>
            </w:pPr>
          </w:p>
        </w:tc>
        <w:tc>
          <w:tcPr>
            <w:tcW w:w="1260" w:type="dxa"/>
            <w:vAlign w:val="bottom"/>
            <w:tcBorders>
              <w:right w:val="single" w:sz="8" w:color="2D53A6"/>
            </w:tcBorders>
            <w:shd w:val="clear" w:color="auto" w:fill="E6E6E6"/>
          </w:tcPr>
          <w:p>
            <w:pPr>
              <w:spacing w:after="0"/>
              <w:rPr>
                <w:sz w:val="19"/>
                <w:szCs w:val="19"/>
                <w:color w:val="auto"/>
              </w:rPr>
            </w:pPr>
          </w:p>
        </w:tc>
        <w:tc>
          <w:tcPr>
            <w:tcW w:w="1240" w:type="dxa"/>
            <w:vAlign w:val="bottom"/>
            <w:tcBorders>
              <w:right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80" w:type="dxa"/>
            <w:vAlign w:val="bottom"/>
            <w:tcBorders>
              <w:left w:val="single" w:sz="8" w:color="2D53A6"/>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4"/>
                <w:szCs w:val="14"/>
                <w:i w:val="1"/>
                <w:iCs w:val="1"/>
                <w:color w:val="auto"/>
              </w:rPr>
              <w:t>Chief Product Officer</w:t>
            </w:r>
          </w:p>
        </w:tc>
        <w:tc>
          <w:tcPr>
            <w:tcW w:w="880" w:type="dxa"/>
            <w:vAlign w:val="bottom"/>
            <w:tcBorders>
              <w:bottom w:val="single" w:sz="8" w:color="E6E6E6"/>
              <w:right w:val="single" w:sz="8" w:color="2D53A6"/>
            </w:tcBorders>
            <w:shd w:val="clear" w:color="auto" w:fill="E6E6E6"/>
          </w:tcPr>
          <w:p>
            <w:pPr>
              <w:spacing w:after="0"/>
              <w:rPr>
                <w:sz w:val="21"/>
                <w:szCs w:val="21"/>
                <w:color w:val="auto"/>
              </w:rPr>
            </w:pPr>
          </w:p>
        </w:tc>
        <w:tc>
          <w:tcPr>
            <w:tcW w:w="1260" w:type="dxa"/>
            <w:vAlign w:val="bottom"/>
            <w:tcBorders>
              <w:bottom w:val="single" w:sz="8" w:color="E6E6E6"/>
              <w:right w:val="single" w:sz="8" w:color="2D53A6"/>
            </w:tcBorders>
            <w:shd w:val="clear" w:color="auto" w:fill="E6E6E6"/>
          </w:tcPr>
          <w:p>
            <w:pPr>
              <w:spacing w:after="0"/>
              <w:rPr>
                <w:sz w:val="21"/>
                <w:szCs w:val="21"/>
                <w:color w:val="auto"/>
              </w:rPr>
            </w:pPr>
          </w:p>
        </w:tc>
        <w:tc>
          <w:tcPr>
            <w:tcW w:w="1260" w:type="dxa"/>
            <w:vAlign w:val="bottom"/>
            <w:tcBorders>
              <w:bottom w:val="single" w:sz="8" w:color="E6E6E6"/>
              <w:right w:val="single" w:sz="8" w:color="2D53A6"/>
            </w:tcBorders>
            <w:shd w:val="clear" w:color="auto" w:fill="E6E6E6"/>
          </w:tcPr>
          <w:p>
            <w:pPr>
              <w:spacing w:after="0"/>
              <w:rPr>
                <w:sz w:val="21"/>
                <w:szCs w:val="21"/>
                <w:color w:val="auto"/>
              </w:rPr>
            </w:pPr>
          </w:p>
        </w:tc>
        <w:tc>
          <w:tcPr>
            <w:tcW w:w="1260" w:type="dxa"/>
            <w:vAlign w:val="bottom"/>
            <w:tcBorders>
              <w:bottom w:val="single" w:sz="8" w:color="E6E6E6"/>
              <w:right w:val="single" w:sz="8" w:color="2D53A6"/>
            </w:tcBorders>
            <w:shd w:val="clear" w:color="auto" w:fill="E6E6E6"/>
          </w:tcPr>
          <w:p>
            <w:pPr>
              <w:spacing w:after="0"/>
              <w:rPr>
                <w:sz w:val="21"/>
                <w:szCs w:val="21"/>
                <w:color w:val="auto"/>
              </w:rPr>
            </w:pPr>
          </w:p>
        </w:tc>
        <w:tc>
          <w:tcPr>
            <w:tcW w:w="1260" w:type="dxa"/>
            <w:vAlign w:val="bottom"/>
            <w:tcBorders>
              <w:bottom w:val="single" w:sz="8" w:color="E6E6E6"/>
              <w:right w:val="single" w:sz="8" w:color="2D53A6"/>
            </w:tcBorders>
            <w:shd w:val="clear" w:color="auto" w:fill="E6E6E6"/>
          </w:tcPr>
          <w:p>
            <w:pPr>
              <w:spacing w:after="0"/>
              <w:rPr>
                <w:sz w:val="21"/>
                <w:szCs w:val="21"/>
                <w:color w:val="auto"/>
              </w:rPr>
            </w:pPr>
          </w:p>
        </w:tc>
        <w:tc>
          <w:tcPr>
            <w:tcW w:w="1240" w:type="dxa"/>
            <w:vAlign w:val="bottom"/>
            <w:tcBorders>
              <w:bottom w:val="single" w:sz="8" w:color="E6E6E6"/>
              <w:right w:val="single" w:sz="8" w:color="2D53A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left w:val="single" w:sz="8" w:color="2D53A6"/>
              <w:right w:val="single" w:sz="8" w:color="2D53A6"/>
            </w:tcBorders>
            <w:shd w:val="clear" w:color="auto" w:fill="2D53A6"/>
          </w:tcPr>
          <w:p>
            <w:pPr>
              <w:spacing w:after="0" w:line="20" w:lineRule="exact"/>
              <w:rPr>
                <w:sz w:val="1"/>
                <w:szCs w:val="1"/>
                <w:color w:val="auto"/>
              </w:rPr>
            </w:pPr>
          </w:p>
        </w:tc>
        <w:tc>
          <w:tcPr>
            <w:tcW w:w="880" w:type="dxa"/>
            <w:vAlign w:val="bottom"/>
            <w:tcBorders>
              <w:right w:val="single" w:sz="8" w:color="2D53A6"/>
            </w:tcBorders>
            <w:shd w:val="clear" w:color="auto" w:fill="2D53A6"/>
          </w:tcPr>
          <w:p>
            <w:pPr>
              <w:spacing w:after="0" w:line="20" w:lineRule="exact"/>
              <w:rPr>
                <w:sz w:val="1"/>
                <w:szCs w:val="1"/>
                <w:color w:val="auto"/>
              </w:rPr>
            </w:pPr>
          </w:p>
        </w:tc>
        <w:tc>
          <w:tcPr>
            <w:tcW w:w="1260" w:type="dxa"/>
            <w:vAlign w:val="bottom"/>
            <w:tcBorders>
              <w:right w:val="single" w:sz="8" w:color="2D53A6"/>
            </w:tcBorders>
            <w:shd w:val="clear" w:color="auto" w:fill="2D53A6"/>
          </w:tcPr>
          <w:p>
            <w:pPr>
              <w:spacing w:after="0" w:line="20" w:lineRule="exact"/>
              <w:rPr>
                <w:sz w:val="1"/>
                <w:szCs w:val="1"/>
                <w:color w:val="auto"/>
              </w:rPr>
            </w:pPr>
          </w:p>
        </w:tc>
        <w:tc>
          <w:tcPr>
            <w:tcW w:w="1260" w:type="dxa"/>
            <w:vAlign w:val="bottom"/>
            <w:tcBorders>
              <w:right w:val="single" w:sz="8" w:color="2D53A6"/>
            </w:tcBorders>
            <w:shd w:val="clear" w:color="auto" w:fill="2D53A6"/>
          </w:tcPr>
          <w:p>
            <w:pPr>
              <w:spacing w:after="0" w:line="20" w:lineRule="exact"/>
              <w:rPr>
                <w:sz w:val="1"/>
                <w:szCs w:val="1"/>
                <w:color w:val="auto"/>
              </w:rPr>
            </w:pPr>
          </w:p>
        </w:tc>
        <w:tc>
          <w:tcPr>
            <w:tcW w:w="1260" w:type="dxa"/>
            <w:vAlign w:val="bottom"/>
            <w:tcBorders>
              <w:right w:val="single" w:sz="8" w:color="2D53A6"/>
            </w:tcBorders>
            <w:shd w:val="clear" w:color="auto" w:fill="2D53A6"/>
          </w:tcPr>
          <w:p>
            <w:pPr>
              <w:spacing w:after="0" w:line="20" w:lineRule="exact"/>
              <w:rPr>
                <w:sz w:val="1"/>
                <w:szCs w:val="1"/>
                <w:color w:val="auto"/>
              </w:rPr>
            </w:pPr>
          </w:p>
        </w:tc>
        <w:tc>
          <w:tcPr>
            <w:tcW w:w="1260" w:type="dxa"/>
            <w:vAlign w:val="bottom"/>
            <w:tcBorders>
              <w:right w:val="single" w:sz="8" w:color="2D53A6"/>
            </w:tcBorders>
            <w:shd w:val="clear" w:color="auto" w:fill="2D53A6"/>
          </w:tcPr>
          <w:p>
            <w:pPr>
              <w:spacing w:after="0" w:line="20" w:lineRule="exact"/>
              <w:rPr>
                <w:sz w:val="1"/>
                <w:szCs w:val="1"/>
                <w:color w:val="auto"/>
              </w:rPr>
            </w:pPr>
          </w:p>
        </w:tc>
        <w:tc>
          <w:tcPr>
            <w:tcW w:w="1240" w:type="dxa"/>
            <w:vAlign w:val="bottom"/>
            <w:tcBorders>
              <w:right w:val="single" w:sz="8" w:color="2D53A6"/>
            </w:tcBorders>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60" w:hanging="332"/>
        <w:spacing w:after="0" w:line="243"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NEOs. Instead, the amounts shown above are the grant date fair value for stock awards issued in the form of RSUs and PSUs granted in fiscal years 2025, 2024, and 2023, calculated in accordance with FASB Topic ASC 718 without regard to estimated forfeitures. The assumptions used to calculate the grant date fair value of the stock awards are set forth in Note 6, “Employee Benefit Plans”, included in Part IV, Item 15(a) of Cohu’s Annual Report on Form 10-K for the year ended December 27, 2025, filed with the SEC. The derived grant date fair value for the stock award is recognized, for financial statement purposes, over the number of days of service required for the award to vest in full. No stock options were granted to the NEOs during the three-year period ended December 27, 2025. Assuming the highest level of performance conditions are achieved, the grant date fair values for performance-based stock awards made in 2025 would be $3,811,834, $1,191,190, $873,548 and $595,595 for Dr. Müller and Messrs. Jones, Bohrson, and Ilgenfritz, respectively. Using the same assumptions, the grant date fair values for performance-based stock awards made in 2024 was $5,037,287, $1,662,274, and $1,259,305 and in 2023 was $6,827,661, $2,253,130 and $1,706,863 for Dr. Müller and Messrs. Jones and Bohrson, respectively.</w:t>
      </w:r>
    </w:p>
    <w:p>
      <w:pPr>
        <w:spacing w:after="0" w:line="4" w:lineRule="exact"/>
        <w:rPr>
          <w:rFonts w:ascii="Arial" w:cs="Arial" w:eastAsia="Arial" w:hAnsi="Arial"/>
          <w:sz w:val="14"/>
          <w:szCs w:val="14"/>
          <w:color w:val="auto"/>
        </w:rPr>
      </w:pPr>
    </w:p>
    <w:p>
      <w:pPr>
        <w:ind w:left="340" w:right="200" w:hanging="332"/>
        <w:spacing w:after="0" w:line="24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consist of performance-based cash incentives received by the NEO earned for the 2025, 2024, and 2023 performance periods. Such amounts were paid under the 2005 Plan in February or March of the following fiscal year.</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shown in this column reflect the following for each NEO:</w:t>
      </w:r>
    </w:p>
    <w:p>
      <w:pPr>
        <w:spacing w:after="0" w:line="1" w:lineRule="exact"/>
        <w:rPr>
          <w:rFonts w:ascii="Arial" w:cs="Arial" w:eastAsia="Arial" w:hAnsi="Arial"/>
          <w:sz w:val="14"/>
          <w:szCs w:val="14"/>
          <w:color w:val="auto"/>
        </w:rPr>
      </w:pPr>
    </w:p>
    <w:p>
      <w:pPr>
        <w:ind w:left="660" w:right="80" w:hanging="328"/>
        <w:spacing w:after="0" w:line="241" w:lineRule="auto"/>
        <w:tabs>
          <w:tab w:leader="none" w:pos="6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For U.S. based NEOs, includes amounts of Cohu’s matching contributions in 2025 under the Cohu 401(k) Plan (which is more fully described elsewhere herein under the heading “Retirement Benefits Under the 401(k) Plan, Executive Perquisites and Generally Available Benefits”).</w:t>
      </w:r>
    </w:p>
    <w:p>
      <w:pPr>
        <w:ind w:left="660" w:hanging="328"/>
        <w:spacing w:after="0"/>
        <w:tabs>
          <w:tab w:leader="none" w:pos="6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The value attributable to life insurance benefits provided by Cohu (such amount is taxable to the recipient).</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Monthly automobile expense allowance paid by Cohu (such amount is taxable to the recipient).</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Employer contributions to the retirement plan considered a taxable under German law.</w:t>
      </w:r>
    </w:p>
    <w:p>
      <w:pPr>
        <w:spacing w:after="0" w:line="82" w:lineRule="exact"/>
        <w:rPr>
          <w:rFonts w:ascii="Arial" w:cs="Arial" w:eastAsia="Arial" w:hAnsi="Arial"/>
          <w:sz w:val="14"/>
          <w:szCs w:val="14"/>
          <w:color w:val="auto"/>
        </w:rPr>
      </w:pPr>
    </w:p>
    <w:p>
      <w:pPr>
        <w:ind w:left="660" w:right="60" w:hanging="328"/>
        <w:spacing w:after="0" w:line="251" w:lineRule="auto"/>
        <w:tabs>
          <w:tab w:leader="none" w:pos="6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Except as noted above, the amount attributable to each such perquisite or benefit for each NEO does not exceed the greater of $25,000 or 10% of the total amount of perquisites and personal benefits received by such NEO.</w:t>
      </w:r>
    </w:p>
    <w:p>
      <w:pPr>
        <w:spacing w:after="0" w:line="1" w:lineRule="exact"/>
        <w:rPr>
          <w:rFonts w:ascii="Arial" w:cs="Arial" w:eastAsia="Arial" w:hAnsi="Arial"/>
          <w:sz w:val="14"/>
          <w:szCs w:val="14"/>
          <w:color w:val="auto"/>
        </w:rPr>
      </w:pPr>
    </w:p>
    <w:p>
      <w:pPr>
        <w:ind w:left="340" w:right="120" w:hanging="332"/>
        <w:spacing w:after="0" w:line="264"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Ilgenfritz became an NEO effective January 2025 in connection with his promotion to Chief Product Officer. Accordingly, the Company is providing compensation information for Mr. Ilgenfritz beginning with fiscal 2025 only. No compensation amounts for prior fiscal years are presented because he was not a NEO prior to fiscal 2025.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Pay Versus Performance</w:t>
      </w:r>
    </w:p>
    <w:p>
      <w:pPr>
        <w:spacing w:after="0" w:line="1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are providing the following required information about the relationship between executive compensation actually paid and certain financial performance of Cohu as required by Item 402(v) of Regulation S-K. Further details regarding Cohu’s variable pay-for-performance philosophy and how Cohu aligns executive compensation with company performance, refer to “Executive Compensation and Other Information” above in the CD&amp;A.</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Pay Versus Performance Table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Actually Paid (</w:t>
      </w:r>
      <w:r>
        <w:rPr>
          <w:rFonts w:ascii="Arial" w:cs="Arial" w:eastAsia="Arial" w:hAnsi="Arial"/>
          <w:sz w:val="22"/>
          <w:szCs w:val="22"/>
          <w:color w:val="auto"/>
        </w:rPr>
        <w:t>“</w:t>
      </w:r>
      <w:r>
        <w:rPr>
          <w:rFonts w:ascii="Arial" w:cs="Arial" w:eastAsia="Arial" w:hAnsi="Arial"/>
          <w:sz w:val="22"/>
          <w:szCs w:val="22"/>
          <w:b w:val="1"/>
          <w:bCs w:val="1"/>
          <w:color w:val="auto"/>
        </w:rPr>
        <w:t>CAP</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280" w:type="dxa"/>
            <w:vAlign w:val="bottom"/>
            <w:tcBorders>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spacing w:after="0"/>
              <w:rPr>
                <w:sz w:val="14"/>
                <w:szCs w:val="14"/>
                <w:color w:val="auto"/>
              </w:rPr>
            </w:pP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color w:val="auto"/>
              </w:rPr>
              <w:t>Average</w:t>
            </w:r>
          </w:p>
        </w:tc>
        <w:tc>
          <w:tcPr>
            <w:tcW w:w="1320" w:type="dxa"/>
            <w:vAlign w:val="bottom"/>
            <w:tcBorders>
              <w:right w:val="single" w:sz="8" w:color="2D53A6"/>
            </w:tcBorders>
            <w:shd w:val="clear" w:color="auto" w:fill="2D53A6"/>
          </w:tcPr>
          <w:p>
            <w:pPr>
              <w:spacing w:after="0"/>
              <w:rPr>
                <w:sz w:val="14"/>
                <w:szCs w:val="14"/>
                <w:color w:val="auto"/>
              </w:rPr>
            </w:pPr>
          </w:p>
        </w:tc>
        <w:tc>
          <w:tcPr>
            <w:tcW w:w="1220" w:type="dxa"/>
            <w:vAlign w:val="bottom"/>
            <w:tcBorders>
              <w:right w:val="single" w:sz="8" w:color="2D53A6"/>
            </w:tcBorders>
            <w:shd w:val="clear" w:color="auto" w:fill="2D53A6"/>
          </w:tcPr>
          <w:p>
            <w:pPr>
              <w:spacing w:after="0"/>
              <w:rPr>
                <w:sz w:val="14"/>
                <w:szCs w:val="14"/>
                <w:color w:val="auto"/>
              </w:rPr>
            </w:pPr>
          </w:p>
        </w:tc>
        <w:tc>
          <w:tcPr>
            <w:tcW w:w="1200" w:type="dxa"/>
            <w:vAlign w:val="bottom"/>
            <w:tcBorders>
              <w:right w:val="single" w:sz="8" w:color="2D53A6"/>
            </w:tcBorders>
            <w:shd w:val="clear" w:color="auto" w:fill="2D53A6"/>
          </w:tcPr>
          <w:p>
            <w:pPr>
              <w:spacing w:after="0"/>
              <w:rPr>
                <w:sz w:val="14"/>
                <w:szCs w:val="14"/>
                <w:color w:val="auto"/>
              </w:rPr>
            </w:pPr>
          </w:p>
        </w:tc>
        <w:tc>
          <w:tcPr>
            <w:tcW w:w="1220" w:type="dxa"/>
            <w:vAlign w:val="bottom"/>
            <w:tcBorders>
              <w:right w:val="single" w:sz="8" w:color="2D53A6"/>
            </w:tcBorders>
            <w:shd w:val="clear" w:color="auto" w:fill="2D53A6"/>
          </w:tcPr>
          <w:p>
            <w:pPr>
              <w:spacing w:after="0"/>
              <w:rPr>
                <w:sz w:val="14"/>
                <w:szCs w:val="14"/>
                <w:color w:val="auto"/>
              </w:rPr>
            </w:pPr>
          </w:p>
        </w:tc>
        <w:tc>
          <w:tcPr>
            <w:tcW w:w="1320" w:type="dxa"/>
            <w:vAlign w:val="bottom"/>
            <w:tcBorders>
              <w:right w:val="single" w:sz="8" w:color="2D53A6"/>
            </w:tcBorders>
            <w:shd w:val="clear" w:color="auto" w:fill="2D53A6"/>
          </w:tcPr>
          <w:p>
            <w:pPr>
              <w:spacing w:after="0"/>
              <w:rPr>
                <w:sz w:val="14"/>
                <w:szCs w:val="14"/>
                <w:color w:val="auto"/>
              </w:rPr>
            </w:pPr>
          </w:p>
        </w:tc>
      </w:tr>
      <w:tr>
        <w:trPr>
          <w:trHeight w:val="162"/>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2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color w:val="auto"/>
              </w:rPr>
              <w:t>Summary</w:t>
            </w:r>
          </w:p>
        </w:tc>
        <w:tc>
          <w:tcPr>
            <w:tcW w:w="1340" w:type="dxa"/>
            <w:vAlign w:val="bottom"/>
            <w:tcBorders>
              <w:right w:val="single" w:sz="8" w:color="2D53A6"/>
            </w:tcBorders>
            <w:shd w:val="clear" w:color="auto" w:fill="2D53A6"/>
          </w:tcPr>
          <w:p>
            <w:pPr>
              <w:spacing w:after="0"/>
              <w:rPr>
                <w:sz w:val="14"/>
                <w:szCs w:val="14"/>
                <w:color w:val="auto"/>
              </w:rPr>
            </w:pP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Summary</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color w:val="auto"/>
              </w:rPr>
              <w:t>Average</w:t>
            </w:r>
          </w:p>
        </w:tc>
        <w:tc>
          <w:tcPr>
            <w:tcW w:w="1220" w:type="dxa"/>
            <w:vAlign w:val="bottom"/>
            <w:tcBorders>
              <w:right w:val="single" w:sz="8" w:color="2D53A6"/>
            </w:tcBorders>
            <w:shd w:val="clear" w:color="auto" w:fill="2D53A6"/>
          </w:tcPr>
          <w:p>
            <w:pPr>
              <w:spacing w:after="0"/>
              <w:rPr>
                <w:sz w:val="14"/>
                <w:szCs w:val="14"/>
                <w:color w:val="auto"/>
              </w:rPr>
            </w:pPr>
          </w:p>
        </w:tc>
        <w:tc>
          <w:tcPr>
            <w:tcW w:w="12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color w:val="auto"/>
              </w:rPr>
              <w:t>Peer Group</w:t>
            </w:r>
          </w:p>
        </w:tc>
        <w:tc>
          <w:tcPr>
            <w:tcW w:w="1220" w:type="dxa"/>
            <w:vAlign w:val="bottom"/>
            <w:tcBorders>
              <w:right w:val="single" w:sz="8" w:color="2D53A6"/>
            </w:tcBorders>
            <w:shd w:val="clear" w:color="auto" w:fill="2D53A6"/>
          </w:tcPr>
          <w:p>
            <w:pPr>
              <w:spacing w:after="0"/>
              <w:rPr>
                <w:sz w:val="14"/>
                <w:szCs w:val="14"/>
                <w:color w:val="auto"/>
              </w:rPr>
            </w:pPr>
          </w:p>
        </w:tc>
        <w:tc>
          <w:tcPr>
            <w:tcW w:w="1320" w:type="dxa"/>
            <w:vAlign w:val="bottom"/>
            <w:tcBorders>
              <w:right w:val="single" w:sz="8" w:color="2D53A6"/>
            </w:tcBorders>
            <w:shd w:val="clear" w:color="auto" w:fill="2D53A6"/>
          </w:tcPr>
          <w:p>
            <w:pPr>
              <w:spacing w:after="0"/>
              <w:rPr>
                <w:sz w:val="14"/>
                <w:szCs w:val="14"/>
                <w:color w:val="auto"/>
              </w:rPr>
            </w:pPr>
          </w:p>
        </w:tc>
      </w:tr>
      <w:tr>
        <w:trPr>
          <w:trHeight w:val="162"/>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2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color w:val="auto"/>
              </w:rPr>
              <w:t>Compensation</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color w:val="auto"/>
              </w:rPr>
              <w:t>Total</w:t>
            </w:r>
          </w:p>
        </w:tc>
        <w:tc>
          <w:tcPr>
            <w:tcW w:w="12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Total Share-</w:t>
            </w:r>
          </w:p>
        </w:tc>
        <w:tc>
          <w:tcPr>
            <w:tcW w:w="1220" w:type="dxa"/>
            <w:vAlign w:val="bottom"/>
            <w:tcBorders>
              <w:right w:val="single" w:sz="8" w:color="2D53A6"/>
            </w:tcBorders>
            <w:shd w:val="clear" w:color="auto" w:fill="2D53A6"/>
          </w:tcPr>
          <w:p>
            <w:pPr>
              <w:spacing w:after="0"/>
              <w:rPr>
                <w:sz w:val="14"/>
                <w:szCs w:val="14"/>
                <w:color w:val="auto"/>
              </w:rPr>
            </w:pPr>
          </w:p>
        </w:tc>
        <w:tc>
          <w:tcPr>
            <w:tcW w:w="1320" w:type="dxa"/>
            <w:vAlign w:val="bottom"/>
            <w:tcBorders>
              <w:right w:val="single" w:sz="8" w:color="2D53A6"/>
            </w:tcBorders>
            <w:shd w:val="clear" w:color="auto" w:fill="2D53A6"/>
          </w:tcPr>
          <w:p>
            <w:pPr>
              <w:spacing w:after="0"/>
              <w:rPr>
                <w:sz w:val="14"/>
                <w:szCs w:val="14"/>
                <w:color w:val="auto"/>
              </w:rPr>
            </w:pPr>
          </w:p>
        </w:tc>
      </w:tr>
      <w:tr>
        <w:trPr>
          <w:trHeight w:val="159"/>
        </w:trPr>
        <w:tc>
          <w:tcPr>
            <w:tcW w:w="1020" w:type="dxa"/>
            <w:vAlign w:val="bottom"/>
            <w:tcBorders>
              <w:left w:val="single" w:sz="8" w:color="2D53A6"/>
              <w:right w:val="single" w:sz="8" w:color="2D53A6"/>
            </w:tcBorders>
            <w:shd w:val="clear" w:color="auto" w:fill="2D53A6"/>
          </w:tcPr>
          <w:p>
            <w:pPr>
              <w:spacing w:after="0"/>
              <w:rPr>
                <w:sz w:val="13"/>
                <w:szCs w:val="13"/>
                <w:color w:val="auto"/>
              </w:rPr>
            </w:pPr>
          </w:p>
        </w:tc>
        <w:tc>
          <w:tcPr>
            <w:tcW w:w="12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Table Total for</w:t>
            </w:r>
          </w:p>
        </w:tc>
        <w:tc>
          <w:tcPr>
            <w:tcW w:w="134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Actually Paid to</w:t>
            </w:r>
          </w:p>
        </w:tc>
        <w:tc>
          <w:tcPr>
            <w:tcW w:w="13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Table Total for</w:t>
            </w:r>
          </w:p>
        </w:tc>
        <w:tc>
          <w:tcPr>
            <w:tcW w:w="13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Actually Paid to</w:t>
            </w:r>
          </w:p>
        </w:tc>
        <w:tc>
          <w:tcPr>
            <w:tcW w:w="12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Share-holder</w:t>
            </w:r>
          </w:p>
        </w:tc>
        <w:tc>
          <w:tcPr>
            <w:tcW w:w="120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holder</w:t>
            </w:r>
          </w:p>
        </w:tc>
        <w:tc>
          <w:tcPr>
            <w:tcW w:w="12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color w:val="auto"/>
              </w:rPr>
              <w:t>Net</w:t>
            </w:r>
          </w:p>
        </w:tc>
        <w:tc>
          <w:tcPr>
            <w:tcW w:w="1320" w:type="dxa"/>
            <w:vAlign w:val="bottom"/>
            <w:tcBorders>
              <w:right w:val="single" w:sz="8" w:color="2D53A6"/>
            </w:tcBorders>
            <w:shd w:val="clear" w:color="auto" w:fill="2D53A6"/>
          </w:tcPr>
          <w:p>
            <w:pPr>
              <w:jc w:val="center"/>
              <w:ind w:right="49"/>
              <w:spacing w:after="0" w:line="159" w:lineRule="exact"/>
              <w:rPr>
                <w:sz w:val="20"/>
                <w:szCs w:val="20"/>
                <w:color w:val="auto"/>
              </w:rPr>
            </w:pPr>
            <w:r>
              <w:rPr>
                <w:rFonts w:ascii="Arial" w:cs="Arial" w:eastAsia="Arial" w:hAnsi="Arial"/>
                <w:sz w:val="14"/>
                <w:szCs w:val="14"/>
                <w:color w:val="auto"/>
              </w:rPr>
              <w:t>Non-GAAP</w:t>
            </w:r>
          </w:p>
        </w:tc>
      </w:tr>
      <w:tr>
        <w:trPr>
          <w:trHeight w:val="188"/>
        </w:trPr>
        <w:tc>
          <w:tcPr>
            <w:tcW w:w="1020" w:type="dxa"/>
            <w:vAlign w:val="bottom"/>
            <w:tcBorders>
              <w:left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280" w:type="dxa"/>
            <w:vAlign w:val="bottom"/>
            <w:tcBorders>
              <w:right w:val="single" w:sz="8" w:color="2D53A6"/>
            </w:tcBorders>
            <w:shd w:val="clear" w:color="auto" w:fill="2D53A6"/>
          </w:tcPr>
          <w:p>
            <w:pPr>
              <w:jc w:val="center"/>
              <w:spacing w:after="0" w:line="188" w:lineRule="exact"/>
              <w:rPr>
                <w:sz w:val="20"/>
                <w:szCs w:val="20"/>
                <w:color w:val="auto"/>
              </w:rPr>
            </w:pPr>
            <w:r>
              <w:rPr>
                <w:rFonts w:ascii="Arial" w:cs="Arial" w:eastAsia="Arial" w:hAnsi="Arial"/>
                <w:sz w:val="13"/>
                <w:szCs w:val="13"/>
                <w:b w:val="1"/>
                <w:bCs w:val="1"/>
                <w:color w:val="FFFFFF"/>
              </w:rPr>
              <w:t>CEO</w:t>
            </w:r>
            <w:r>
              <w:rPr>
                <w:rFonts w:ascii="Arial" w:cs="Arial" w:eastAsia="Arial" w:hAnsi="Arial"/>
                <w:sz w:val="21"/>
                <w:szCs w:val="21"/>
                <w:b w:val="1"/>
                <w:bCs w:val="1"/>
                <w:color w:val="FFFFFF"/>
                <w:vertAlign w:val="superscript"/>
              </w:rPr>
              <w:t>(1)</w:t>
            </w:r>
          </w:p>
        </w:tc>
        <w:tc>
          <w:tcPr>
            <w:tcW w:w="1340" w:type="dxa"/>
            <w:vAlign w:val="bottom"/>
            <w:tcBorders>
              <w:right w:val="single" w:sz="8" w:color="2D53A6"/>
            </w:tcBorders>
            <w:shd w:val="clear" w:color="auto" w:fill="2D53A6"/>
          </w:tcPr>
          <w:p>
            <w:pPr>
              <w:jc w:val="center"/>
              <w:spacing w:after="0" w:line="188" w:lineRule="exact"/>
              <w:rPr>
                <w:sz w:val="20"/>
                <w:szCs w:val="20"/>
                <w:color w:val="auto"/>
              </w:rPr>
            </w:pPr>
            <w:r>
              <w:rPr>
                <w:rFonts w:ascii="Arial" w:cs="Arial" w:eastAsia="Arial" w:hAnsi="Arial"/>
                <w:sz w:val="13"/>
                <w:szCs w:val="13"/>
                <w:b w:val="1"/>
                <w:bCs w:val="1"/>
                <w:color w:val="FFFFFF"/>
              </w:rPr>
              <w:t>CEO</w:t>
            </w:r>
            <w:r>
              <w:rPr>
                <w:rFonts w:ascii="Arial" w:cs="Arial" w:eastAsia="Arial" w:hAnsi="Arial"/>
                <w:sz w:val="21"/>
                <w:szCs w:val="21"/>
                <w:b w:val="1"/>
                <w:bCs w:val="1"/>
                <w:color w:val="FFFFFF"/>
                <w:vertAlign w:val="superscript"/>
              </w:rPr>
              <w:t>(2)</w:t>
            </w:r>
          </w:p>
        </w:tc>
        <w:tc>
          <w:tcPr>
            <w:tcW w:w="1320" w:type="dxa"/>
            <w:vAlign w:val="bottom"/>
            <w:tcBorders>
              <w:right w:val="single" w:sz="8" w:color="2D53A6"/>
            </w:tcBorders>
            <w:shd w:val="clear" w:color="auto" w:fill="2D53A6"/>
          </w:tcPr>
          <w:p>
            <w:pPr>
              <w:jc w:val="center"/>
              <w:spacing w:after="0" w:line="188" w:lineRule="exact"/>
              <w:rPr>
                <w:sz w:val="20"/>
                <w:szCs w:val="20"/>
                <w:color w:val="auto"/>
              </w:rPr>
            </w:pPr>
            <w:r>
              <w:rPr>
                <w:rFonts w:ascii="Arial" w:cs="Arial" w:eastAsia="Arial" w:hAnsi="Arial"/>
                <w:sz w:val="13"/>
                <w:szCs w:val="13"/>
                <w:b w:val="1"/>
                <w:bCs w:val="1"/>
                <w:color w:val="FFFFFF"/>
              </w:rPr>
              <w:t>Other NEOs</w:t>
            </w:r>
            <w:r>
              <w:rPr>
                <w:rFonts w:ascii="Arial" w:cs="Arial" w:eastAsia="Arial" w:hAnsi="Arial"/>
                <w:sz w:val="21"/>
                <w:szCs w:val="21"/>
                <w:b w:val="1"/>
                <w:bCs w:val="1"/>
                <w:color w:val="FFFFFF"/>
                <w:vertAlign w:val="superscript"/>
              </w:rPr>
              <w:t>(3)</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 NEOs(4)</w:t>
            </w:r>
          </w:p>
        </w:tc>
        <w:tc>
          <w:tcPr>
            <w:tcW w:w="1220" w:type="dxa"/>
            <w:vAlign w:val="bottom"/>
            <w:tcBorders>
              <w:right w:val="single" w:sz="8" w:color="2D53A6"/>
            </w:tcBorders>
            <w:shd w:val="clear" w:color="auto" w:fill="2D53A6"/>
          </w:tcPr>
          <w:p>
            <w:pPr>
              <w:jc w:val="center"/>
              <w:spacing w:after="0" w:line="188" w:lineRule="exact"/>
              <w:rPr>
                <w:sz w:val="20"/>
                <w:szCs w:val="20"/>
                <w:color w:val="auto"/>
              </w:rPr>
            </w:pPr>
            <w:r>
              <w:rPr>
                <w:rFonts w:ascii="Arial" w:cs="Arial" w:eastAsia="Arial" w:hAnsi="Arial"/>
                <w:sz w:val="13"/>
                <w:szCs w:val="13"/>
                <w:b w:val="1"/>
                <w:bCs w:val="1"/>
                <w:color w:val="FFFFFF"/>
              </w:rPr>
              <w:t>Return</w:t>
            </w:r>
            <w:r>
              <w:rPr>
                <w:rFonts w:ascii="Arial" w:cs="Arial" w:eastAsia="Arial" w:hAnsi="Arial"/>
                <w:sz w:val="21"/>
                <w:szCs w:val="21"/>
                <w:b w:val="1"/>
                <w:bCs w:val="1"/>
                <w:color w:val="FFFFFF"/>
                <w:vertAlign w:val="superscript"/>
              </w:rPr>
              <w:t>(5)</w:t>
            </w:r>
          </w:p>
        </w:tc>
        <w:tc>
          <w:tcPr>
            <w:tcW w:w="1200" w:type="dxa"/>
            <w:vAlign w:val="bottom"/>
            <w:tcBorders>
              <w:right w:val="single" w:sz="8" w:color="2D53A6"/>
            </w:tcBorders>
            <w:shd w:val="clear" w:color="auto" w:fill="2D53A6"/>
          </w:tcPr>
          <w:p>
            <w:pPr>
              <w:jc w:val="center"/>
              <w:spacing w:after="0" w:line="188" w:lineRule="exact"/>
              <w:rPr>
                <w:sz w:val="20"/>
                <w:szCs w:val="20"/>
                <w:color w:val="auto"/>
              </w:rPr>
            </w:pPr>
            <w:r>
              <w:rPr>
                <w:rFonts w:ascii="Arial" w:cs="Arial" w:eastAsia="Arial" w:hAnsi="Arial"/>
                <w:sz w:val="13"/>
                <w:szCs w:val="13"/>
                <w:b w:val="1"/>
                <w:bCs w:val="1"/>
                <w:color w:val="FFFFFF"/>
              </w:rPr>
              <w:t>Return</w:t>
            </w:r>
            <w:r>
              <w:rPr>
                <w:rFonts w:ascii="Arial" w:cs="Arial" w:eastAsia="Arial" w:hAnsi="Arial"/>
                <w:sz w:val="21"/>
                <w:szCs w:val="21"/>
                <w:b w:val="1"/>
                <w:bCs w:val="1"/>
                <w:color w:val="FFFFFF"/>
                <w:vertAlign w:val="superscript"/>
              </w:rPr>
              <w:t>(6)</w:t>
            </w:r>
          </w:p>
        </w:tc>
        <w:tc>
          <w:tcPr>
            <w:tcW w:w="1220" w:type="dxa"/>
            <w:vAlign w:val="bottom"/>
            <w:tcBorders>
              <w:right w:val="single" w:sz="8" w:color="2D53A6"/>
            </w:tcBorders>
            <w:shd w:val="clear" w:color="auto" w:fill="2D53A6"/>
          </w:tcPr>
          <w:p>
            <w:pPr>
              <w:jc w:val="center"/>
              <w:spacing w:after="0" w:line="188" w:lineRule="exact"/>
              <w:rPr>
                <w:sz w:val="20"/>
                <w:szCs w:val="20"/>
                <w:color w:val="auto"/>
              </w:rPr>
            </w:pPr>
            <w:r>
              <w:rPr>
                <w:rFonts w:ascii="Arial" w:cs="Arial" w:eastAsia="Arial" w:hAnsi="Arial"/>
                <w:sz w:val="13"/>
                <w:szCs w:val="13"/>
                <w:b w:val="1"/>
                <w:bCs w:val="1"/>
                <w:color w:val="FFFFFF"/>
              </w:rPr>
              <w:t>Income</w:t>
            </w:r>
            <w:r>
              <w:rPr>
                <w:rFonts w:ascii="Arial" w:cs="Arial" w:eastAsia="Arial" w:hAnsi="Arial"/>
                <w:sz w:val="21"/>
                <w:szCs w:val="21"/>
                <w:b w:val="1"/>
                <w:bCs w:val="1"/>
                <w:color w:val="FFFFFF"/>
                <w:vertAlign w:val="superscript"/>
              </w:rPr>
              <w:t>(7)</w:t>
            </w:r>
          </w:p>
        </w:tc>
        <w:tc>
          <w:tcPr>
            <w:tcW w:w="1320" w:type="dxa"/>
            <w:vAlign w:val="bottom"/>
            <w:tcBorders>
              <w:right w:val="single" w:sz="8" w:color="2D53A6"/>
            </w:tcBorders>
            <w:shd w:val="clear" w:color="auto" w:fill="2D53A6"/>
          </w:tcPr>
          <w:p>
            <w:pPr>
              <w:jc w:val="center"/>
              <w:ind w:right="49"/>
              <w:spacing w:after="0"/>
              <w:rPr>
                <w:sz w:val="20"/>
                <w:szCs w:val="20"/>
                <w:color w:val="auto"/>
              </w:rPr>
            </w:pPr>
            <w:r>
              <w:rPr>
                <w:rFonts w:ascii="Arial" w:cs="Arial" w:eastAsia="Arial" w:hAnsi="Arial"/>
                <w:sz w:val="14"/>
                <w:szCs w:val="14"/>
                <w:b w:val="1"/>
                <w:bCs w:val="1"/>
                <w:color w:val="FFFFFF"/>
              </w:rPr>
              <w:t>Pre-tax</w:t>
            </w:r>
          </w:p>
        </w:tc>
      </w:tr>
      <w:tr>
        <w:trPr>
          <w:trHeight w:val="189"/>
        </w:trPr>
        <w:tc>
          <w:tcPr>
            <w:tcW w:w="1020" w:type="dxa"/>
            <w:vAlign w:val="bottom"/>
            <w:tcBorders>
              <w:left w:val="single" w:sz="8" w:color="2D53A6"/>
              <w:right w:val="single" w:sz="8" w:color="2D53A6"/>
            </w:tcBorders>
            <w:shd w:val="clear" w:color="auto" w:fill="2D53A6"/>
          </w:tcPr>
          <w:p>
            <w:pPr>
              <w:spacing w:after="0"/>
              <w:rPr>
                <w:sz w:val="16"/>
                <w:szCs w:val="16"/>
                <w:color w:val="auto"/>
              </w:rPr>
            </w:pPr>
          </w:p>
        </w:tc>
        <w:tc>
          <w:tcPr>
            <w:tcW w:w="12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right w:val="single" w:sz="8" w:color="2D53A6"/>
            </w:tcBorders>
            <w:shd w:val="clear" w:color="auto" w:fill="2D53A6"/>
          </w:tcPr>
          <w:p>
            <w:pPr>
              <w:ind w:left="560"/>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2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($M)</w:t>
            </w:r>
          </w:p>
        </w:tc>
        <w:tc>
          <w:tcPr>
            <w:tcW w:w="1320" w:type="dxa"/>
            <w:vAlign w:val="bottom"/>
            <w:tcBorders>
              <w:right w:val="single" w:sz="8" w:color="2D53A6"/>
            </w:tcBorders>
            <w:shd w:val="clear" w:color="auto" w:fill="2D53A6"/>
          </w:tcPr>
          <w:p>
            <w:pPr>
              <w:jc w:val="center"/>
              <w:ind w:right="49"/>
              <w:spacing w:after="0" w:line="189" w:lineRule="exact"/>
              <w:rPr>
                <w:sz w:val="20"/>
                <w:szCs w:val="20"/>
                <w:color w:val="auto"/>
              </w:rPr>
            </w:pPr>
            <w:r>
              <w:rPr>
                <w:rFonts w:ascii="Arial" w:cs="Arial" w:eastAsia="Arial" w:hAnsi="Arial"/>
                <w:sz w:val="13"/>
                <w:szCs w:val="13"/>
                <w:b w:val="1"/>
                <w:bCs w:val="1"/>
                <w:color w:val="FFFFFF"/>
              </w:rPr>
              <w:t>Income</w:t>
            </w:r>
            <w:r>
              <w:rPr>
                <w:rFonts w:ascii="Arial" w:cs="Arial" w:eastAsia="Arial" w:hAnsi="Arial"/>
                <w:sz w:val="21"/>
                <w:szCs w:val="21"/>
                <w:b w:val="1"/>
                <w:bCs w:val="1"/>
                <w:color w:val="FFFFFF"/>
                <w:vertAlign w:val="superscript"/>
              </w:rPr>
              <w:t>(8)</w:t>
            </w:r>
          </w:p>
        </w:tc>
      </w:tr>
      <w:tr>
        <w:trPr>
          <w:trHeight w:val="216"/>
        </w:trPr>
        <w:tc>
          <w:tcPr>
            <w:tcW w:w="1020" w:type="dxa"/>
            <w:vAlign w:val="bottom"/>
            <w:tcBorders>
              <w:left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t>
            </w:r>
          </w:p>
        </w:tc>
        <w:tc>
          <w:tcPr>
            <w:tcW w:w="12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(b)</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color w:val="auto"/>
                <w:w w:val="97"/>
              </w:rPr>
              <w:t>(c)</w:t>
            </w:r>
          </w:p>
        </w:tc>
        <w:tc>
          <w:tcPr>
            <w:tcW w:w="1320" w:type="dxa"/>
            <w:vAlign w:val="bottom"/>
            <w:tcBorders>
              <w:right w:val="single" w:sz="8" w:color="2D53A6"/>
            </w:tcBorders>
            <w:shd w:val="clear" w:color="auto" w:fill="2D53A6"/>
          </w:tcPr>
          <w:p>
            <w:pPr>
              <w:ind w:left="560"/>
              <w:spacing w:after="0"/>
              <w:rPr>
                <w:sz w:val="20"/>
                <w:szCs w:val="20"/>
                <w:color w:val="auto"/>
              </w:rPr>
            </w:pPr>
            <w:r>
              <w:rPr>
                <w:rFonts w:ascii="Arial" w:cs="Arial" w:eastAsia="Arial" w:hAnsi="Arial"/>
                <w:sz w:val="14"/>
                <w:szCs w:val="14"/>
                <w:b w:val="1"/>
                <w:bCs w:val="1"/>
                <w:color w:val="FFFFFF"/>
              </w:rPr>
              <w:t>(d)</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color w:val="auto"/>
              </w:rPr>
              <w:t>(e)</w:t>
            </w:r>
          </w:p>
        </w:tc>
        <w:tc>
          <w:tcPr>
            <w:tcW w:w="12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w:t>
            </w:r>
          </w:p>
        </w:tc>
        <w:tc>
          <w:tcPr>
            <w:tcW w:w="12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color w:val="auto"/>
              </w:rPr>
              <w:t>(g)</w:t>
            </w:r>
          </w:p>
        </w:tc>
        <w:tc>
          <w:tcPr>
            <w:tcW w:w="12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(h)</w:t>
            </w:r>
          </w:p>
        </w:tc>
        <w:tc>
          <w:tcPr>
            <w:tcW w:w="1320" w:type="dxa"/>
            <w:vAlign w:val="bottom"/>
            <w:tcBorders>
              <w:right w:val="single" w:sz="8" w:color="2D53A6"/>
            </w:tcBorders>
            <w:shd w:val="clear" w:color="auto" w:fill="2D53A6"/>
          </w:tcPr>
          <w:p>
            <w:pPr>
              <w:jc w:val="center"/>
              <w:ind w:right="29"/>
              <w:spacing w:after="0"/>
              <w:rPr>
                <w:sz w:val="20"/>
                <w:szCs w:val="20"/>
                <w:color w:val="auto"/>
              </w:rPr>
            </w:pPr>
            <w:r>
              <w:rPr>
                <w:rFonts w:ascii="Arial" w:cs="Arial" w:eastAsia="Arial" w:hAnsi="Arial"/>
                <w:sz w:val="14"/>
                <w:szCs w:val="14"/>
                <w:b w:val="1"/>
                <w:bCs w:val="1"/>
                <w:color w:val="FFFFFF"/>
              </w:rPr>
              <w:t>(i)</w:t>
            </w:r>
          </w:p>
        </w:tc>
      </w:tr>
      <w:tr>
        <w:trPr>
          <w:trHeight w:val="189"/>
        </w:trPr>
        <w:tc>
          <w:tcPr>
            <w:tcW w:w="1020" w:type="dxa"/>
            <w:vAlign w:val="bottom"/>
            <w:tcBorders>
              <w:left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2025</w:t>
            </w:r>
          </w:p>
        </w:tc>
        <w:tc>
          <w:tcPr>
            <w:tcW w:w="128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4,498,059</w:t>
            </w:r>
          </w:p>
        </w:tc>
        <w:tc>
          <w:tcPr>
            <w:tcW w:w="1340" w:type="dxa"/>
            <w:vAlign w:val="bottom"/>
            <w:tcBorders>
              <w:bottom w:val="single" w:sz="8" w:color="2D53A6"/>
              <w:right w:val="single" w:sz="8" w:color="2D53A6"/>
            </w:tcBorders>
          </w:tcPr>
          <w:p>
            <w:pPr>
              <w:jc w:val="right"/>
              <w:ind w:right="69"/>
              <w:spacing w:after="0"/>
              <w:rPr>
                <w:sz w:val="20"/>
                <w:szCs w:val="20"/>
                <w:color w:val="auto"/>
              </w:rPr>
            </w:pPr>
            <w:r>
              <w:rPr>
                <w:rFonts w:ascii="Arial" w:cs="Arial" w:eastAsia="Arial" w:hAnsi="Arial"/>
                <w:sz w:val="14"/>
                <w:szCs w:val="14"/>
                <w:color w:val="auto"/>
              </w:rPr>
              <w:t>4,461,888</w:t>
            </w:r>
          </w:p>
        </w:tc>
        <w:tc>
          <w:tcPr>
            <w:tcW w:w="1320" w:type="dxa"/>
            <w:vAlign w:val="bottom"/>
            <w:tcBorders>
              <w:bottom w:val="single" w:sz="8" w:color="2D53A6"/>
              <w:right w:val="single" w:sz="8" w:color="2D53A6"/>
            </w:tcBorders>
          </w:tcPr>
          <w:p>
            <w:pPr>
              <w:ind w:left="540"/>
              <w:spacing w:after="0"/>
              <w:rPr>
                <w:sz w:val="20"/>
                <w:szCs w:val="20"/>
                <w:color w:val="auto"/>
              </w:rPr>
            </w:pPr>
            <w:r>
              <w:rPr>
                <w:rFonts w:ascii="Arial" w:cs="Arial" w:eastAsia="Arial" w:hAnsi="Arial"/>
                <w:sz w:val="14"/>
                <w:szCs w:val="14"/>
                <w:color w:val="auto"/>
              </w:rPr>
              <w:t>1,364,226</w:t>
            </w:r>
          </w:p>
        </w:tc>
        <w:tc>
          <w:tcPr>
            <w:tcW w:w="132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1,452,370</w:t>
            </w:r>
          </w:p>
        </w:tc>
        <w:tc>
          <w:tcPr>
            <w:tcW w:w="1220" w:type="dxa"/>
            <w:vAlign w:val="bottom"/>
            <w:tcBorders>
              <w:bottom w:val="single" w:sz="8" w:color="2D53A6"/>
              <w:right w:val="single" w:sz="8" w:color="2D53A6"/>
            </w:tcBorders>
          </w:tcPr>
          <w:p>
            <w:pPr>
              <w:jc w:val="right"/>
              <w:ind w:right="69"/>
              <w:spacing w:after="0"/>
              <w:rPr>
                <w:sz w:val="20"/>
                <w:szCs w:val="20"/>
                <w:color w:val="auto"/>
              </w:rPr>
            </w:pPr>
            <w:r>
              <w:rPr>
                <w:rFonts w:ascii="Arial" w:cs="Arial" w:eastAsia="Arial" w:hAnsi="Arial"/>
                <w:sz w:val="14"/>
                <w:szCs w:val="14"/>
                <w:color w:val="auto"/>
              </w:rPr>
              <w:t>60.62</w:t>
            </w:r>
          </w:p>
        </w:tc>
        <w:tc>
          <w:tcPr>
            <w:tcW w:w="120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138.29</w:t>
            </w:r>
          </w:p>
        </w:tc>
        <w:tc>
          <w:tcPr>
            <w:tcW w:w="122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7.3</w:t>
            </w:r>
          </w:p>
        </w:tc>
        <w:tc>
          <w:tcPr>
            <w:tcW w:w="1320" w:type="dxa"/>
            <w:vAlign w:val="bottom"/>
            <w:tcBorders>
              <w:bottom w:val="single" w:sz="8" w:color="2D53A6"/>
              <w:right w:val="single" w:sz="8" w:color="2D53A6"/>
            </w:tcBorders>
          </w:tcPr>
          <w:p>
            <w:pPr>
              <w:jc w:val="right"/>
              <w:ind w:right="9"/>
              <w:spacing w:after="0"/>
              <w:rPr>
                <w:sz w:val="20"/>
                <w:szCs w:val="20"/>
                <w:color w:val="auto"/>
              </w:rPr>
            </w:pPr>
            <w:r>
              <w:rPr>
                <w:rFonts w:ascii="Arial" w:cs="Arial" w:eastAsia="Arial" w:hAnsi="Arial"/>
                <w:sz w:val="14"/>
                <w:szCs w:val="14"/>
                <w:color w:val="auto"/>
              </w:rPr>
              <w:t>1.6%</w:t>
            </w:r>
          </w:p>
        </w:tc>
      </w:tr>
      <w:tr>
        <w:trPr>
          <w:trHeight w:val="183"/>
        </w:trPr>
        <w:tc>
          <w:tcPr>
            <w:tcW w:w="1020" w:type="dxa"/>
            <w:vAlign w:val="bottom"/>
            <w:tcBorders>
              <w:left w:val="single" w:sz="8" w:color="2D53A6"/>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2024</w:t>
            </w:r>
          </w:p>
        </w:tc>
        <w:tc>
          <w:tcPr>
            <w:tcW w:w="128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4,831,084</w:t>
            </w:r>
          </w:p>
        </w:tc>
        <w:tc>
          <w:tcPr>
            <w:tcW w:w="13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(1,458,139 )</w:t>
            </w:r>
          </w:p>
        </w:tc>
        <w:tc>
          <w:tcPr>
            <w:tcW w:w="1320" w:type="dxa"/>
            <w:vAlign w:val="bottom"/>
            <w:tcBorders>
              <w:bottom w:val="single" w:sz="8" w:color="2D53A6"/>
              <w:right w:val="single" w:sz="8" w:color="2D53A6"/>
            </w:tcBorders>
            <w:shd w:val="clear" w:color="auto" w:fill="E6E6E6"/>
          </w:tcPr>
          <w:p>
            <w:pPr>
              <w:ind w:left="540"/>
              <w:spacing w:after="0"/>
              <w:rPr>
                <w:sz w:val="20"/>
                <w:szCs w:val="20"/>
                <w:color w:val="auto"/>
              </w:rPr>
            </w:pPr>
            <w:r>
              <w:rPr>
                <w:rFonts w:ascii="Arial" w:cs="Arial" w:eastAsia="Arial" w:hAnsi="Arial"/>
                <w:sz w:val="14"/>
                <w:szCs w:val="14"/>
                <w:color w:val="auto"/>
              </w:rPr>
              <w:t>1,286,156</w:t>
            </w:r>
          </w:p>
        </w:tc>
        <w:tc>
          <w:tcPr>
            <w:tcW w:w="13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(143,258 )</w:t>
            </w:r>
          </w:p>
        </w:tc>
        <w:tc>
          <w:tcPr>
            <w:tcW w:w="1220" w:type="dxa"/>
            <w:vAlign w:val="bottom"/>
            <w:tcBorders>
              <w:bottom w:val="single" w:sz="8" w:color="2D53A6"/>
              <w:right w:val="single" w:sz="8" w:color="2D53A6"/>
            </w:tcBorders>
            <w:shd w:val="clear" w:color="auto" w:fill="E6E6E6"/>
          </w:tcPr>
          <w:p>
            <w:pPr>
              <w:jc w:val="right"/>
              <w:ind w:right="69"/>
              <w:spacing w:after="0"/>
              <w:rPr>
                <w:sz w:val="20"/>
                <w:szCs w:val="20"/>
                <w:color w:val="auto"/>
              </w:rPr>
            </w:pPr>
            <w:r>
              <w:rPr>
                <w:rFonts w:ascii="Arial" w:cs="Arial" w:eastAsia="Arial" w:hAnsi="Arial"/>
                <w:sz w:val="14"/>
                <w:szCs w:val="14"/>
                <w:color w:val="auto"/>
              </w:rPr>
              <w:t>120.65</w:t>
            </w:r>
          </w:p>
        </w:tc>
        <w:tc>
          <w:tcPr>
            <w:tcW w:w="120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206.70</w:t>
            </w:r>
          </w:p>
        </w:tc>
        <w:tc>
          <w:tcPr>
            <w:tcW w:w="12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(9.1)</w:t>
            </w:r>
          </w:p>
        </w:tc>
        <w:tc>
          <w:tcPr>
            <w:tcW w:w="13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(0.0)%</w:t>
            </w:r>
          </w:p>
        </w:tc>
      </w:tr>
      <w:tr>
        <w:trPr>
          <w:trHeight w:val="183"/>
        </w:trPr>
        <w:tc>
          <w:tcPr>
            <w:tcW w:w="1020" w:type="dxa"/>
            <w:vAlign w:val="bottom"/>
            <w:tcBorders>
              <w:left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2023</w:t>
            </w:r>
          </w:p>
        </w:tc>
        <w:tc>
          <w:tcPr>
            <w:tcW w:w="128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6,536,607</w:t>
            </w:r>
          </w:p>
        </w:tc>
        <w:tc>
          <w:tcPr>
            <w:tcW w:w="1340" w:type="dxa"/>
            <w:vAlign w:val="bottom"/>
            <w:tcBorders>
              <w:bottom w:val="single" w:sz="8" w:color="2D53A6"/>
              <w:right w:val="single" w:sz="8" w:color="2D53A6"/>
            </w:tcBorders>
          </w:tcPr>
          <w:p>
            <w:pPr>
              <w:jc w:val="right"/>
              <w:ind w:right="69"/>
              <w:spacing w:after="0"/>
              <w:rPr>
                <w:sz w:val="20"/>
                <w:szCs w:val="20"/>
                <w:color w:val="auto"/>
              </w:rPr>
            </w:pPr>
            <w:r>
              <w:rPr>
                <w:rFonts w:ascii="Arial" w:cs="Arial" w:eastAsia="Arial" w:hAnsi="Arial"/>
                <w:sz w:val="14"/>
                <w:szCs w:val="14"/>
                <w:color w:val="auto"/>
              </w:rPr>
              <w:t>3,579,668</w:t>
            </w:r>
          </w:p>
        </w:tc>
        <w:tc>
          <w:tcPr>
            <w:tcW w:w="1320" w:type="dxa"/>
            <w:vAlign w:val="bottom"/>
            <w:tcBorders>
              <w:bottom w:val="single" w:sz="8" w:color="2D53A6"/>
              <w:right w:val="single" w:sz="8" w:color="2D53A6"/>
            </w:tcBorders>
          </w:tcPr>
          <w:p>
            <w:pPr>
              <w:ind w:left="540"/>
              <w:spacing w:after="0"/>
              <w:rPr>
                <w:sz w:val="20"/>
                <w:szCs w:val="20"/>
                <w:color w:val="auto"/>
              </w:rPr>
            </w:pPr>
            <w:r>
              <w:rPr>
                <w:rFonts w:ascii="Arial" w:cs="Arial" w:eastAsia="Arial" w:hAnsi="Arial"/>
                <w:sz w:val="14"/>
                <w:szCs w:val="14"/>
                <w:color w:val="auto"/>
              </w:rPr>
              <w:t>1,727,107</w:t>
            </w:r>
          </w:p>
        </w:tc>
        <w:tc>
          <w:tcPr>
            <w:tcW w:w="132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1,468,471</w:t>
            </w:r>
          </w:p>
        </w:tc>
        <w:tc>
          <w:tcPr>
            <w:tcW w:w="1220" w:type="dxa"/>
            <w:vAlign w:val="bottom"/>
            <w:tcBorders>
              <w:bottom w:val="single" w:sz="8" w:color="2D53A6"/>
              <w:right w:val="single" w:sz="8" w:color="2D53A6"/>
            </w:tcBorders>
          </w:tcPr>
          <w:p>
            <w:pPr>
              <w:jc w:val="right"/>
              <w:ind w:right="69"/>
              <w:spacing w:after="0"/>
              <w:rPr>
                <w:sz w:val="20"/>
                <w:szCs w:val="20"/>
                <w:color w:val="auto"/>
              </w:rPr>
            </w:pPr>
            <w:r>
              <w:rPr>
                <w:rFonts w:ascii="Arial" w:cs="Arial" w:eastAsia="Arial" w:hAnsi="Arial"/>
                <w:sz w:val="14"/>
                <w:szCs w:val="14"/>
                <w:color w:val="auto"/>
              </w:rPr>
              <w:t>159.14</w:t>
            </w:r>
          </w:p>
        </w:tc>
        <w:tc>
          <w:tcPr>
            <w:tcW w:w="120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191.07</w:t>
            </w:r>
          </w:p>
        </w:tc>
        <w:tc>
          <w:tcPr>
            <w:tcW w:w="122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28.2</w:t>
            </w:r>
          </w:p>
        </w:tc>
        <w:tc>
          <w:tcPr>
            <w:tcW w:w="1320" w:type="dxa"/>
            <w:vAlign w:val="bottom"/>
            <w:tcBorders>
              <w:bottom w:val="single" w:sz="8" w:color="2D53A6"/>
              <w:right w:val="single" w:sz="8" w:color="2D53A6"/>
            </w:tcBorders>
          </w:tcPr>
          <w:p>
            <w:pPr>
              <w:jc w:val="right"/>
              <w:ind w:right="9"/>
              <w:spacing w:after="0"/>
              <w:rPr>
                <w:sz w:val="20"/>
                <w:szCs w:val="20"/>
                <w:color w:val="auto"/>
              </w:rPr>
            </w:pPr>
            <w:r>
              <w:rPr>
                <w:rFonts w:ascii="Arial" w:cs="Arial" w:eastAsia="Arial" w:hAnsi="Arial"/>
                <w:sz w:val="14"/>
                <w:szCs w:val="14"/>
                <w:color w:val="auto"/>
              </w:rPr>
              <w:t>16.6%</w:t>
            </w:r>
          </w:p>
        </w:tc>
      </w:tr>
      <w:tr>
        <w:trPr>
          <w:trHeight w:val="183"/>
        </w:trPr>
        <w:tc>
          <w:tcPr>
            <w:tcW w:w="1020" w:type="dxa"/>
            <w:vAlign w:val="bottom"/>
            <w:tcBorders>
              <w:left w:val="single" w:sz="8" w:color="2D53A6"/>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2022</w:t>
            </w:r>
          </w:p>
        </w:tc>
        <w:tc>
          <w:tcPr>
            <w:tcW w:w="128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5,315,286</w:t>
            </w:r>
          </w:p>
        </w:tc>
        <w:tc>
          <w:tcPr>
            <w:tcW w:w="1340" w:type="dxa"/>
            <w:vAlign w:val="bottom"/>
            <w:tcBorders>
              <w:bottom w:val="single" w:sz="8" w:color="2D53A6"/>
              <w:right w:val="single" w:sz="8" w:color="2D53A6"/>
            </w:tcBorders>
            <w:shd w:val="clear" w:color="auto" w:fill="E6E6E6"/>
          </w:tcPr>
          <w:p>
            <w:pPr>
              <w:jc w:val="right"/>
              <w:ind w:right="69"/>
              <w:spacing w:after="0"/>
              <w:rPr>
                <w:sz w:val="20"/>
                <w:szCs w:val="20"/>
                <w:color w:val="auto"/>
              </w:rPr>
            </w:pPr>
            <w:r>
              <w:rPr>
                <w:rFonts w:ascii="Arial" w:cs="Arial" w:eastAsia="Arial" w:hAnsi="Arial"/>
                <w:sz w:val="14"/>
                <w:szCs w:val="14"/>
                <w:color w:val="auto"/>
              </w:rPr>
              <w:t>5,406,262</w:t>
            </w:r>
          </w:p>
        </w:tc>
        <w:tc>
          <w:tcPr>
            <w:tcW w:w="1320" w:type="dxa"/>
            <w:vAlign w:val="bottom"/>
            <w:tcBorders>
              <w:bottom w:val="single" w:sz="8" w:color="2D53A6"/>
              <w:right w:val="single" w:sz="8" w:color="2D53A6"/>
            </w:tcBorders>
            <w:shd w:val="clear" w:color="auto" w:fill="E6E6E6"/>
          </w:tcPr>
          <w:p>
            <w:pPr>
              <w:ind w:left="540"/>
              <w:spacing w:after="0"/>
              <w:rPr>
                <w:sz w:val="20"/>
                <w:szCs w:val="20"/>
                <w:color w:val="auto"/>
              </w:rPr>
            </w:pPr>
            <w:r>
              <w:rPr>
                <w:rFonts w:ascii="Arial" w:cs="Arial" w:eastAsia="Arial" w:hAnsi="Arial"/>
                <w:sz w:val="14"/>
                <w:szCs w:val="14"/>
                <w:color w:val="auto"/>
              </w:rPr>
              <w:t>1,546,037</w:t>
            </w:r>
          </w:p>
        </w:tc>
        <w:tc>
          <w:tcPr>
            <w:tcW w:w="132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1,547,883</w:t>
            </w:r>
          </w:p>
        </w:tc>
        <w:tc>
          <w:tcPr>
            <w:tcW w:w="1220" w:type="dxa"/>
            <w:vAlign w:val="bottom"/>
            <w:tcBorders>
              <w:bottom w:val="single" w:sz="8" w:color="2D53A6"/>
              <w:right w:val="single" w:sz="8" w:color="2D53A6"/>
            </w:tcBorders>
            <w:shd w:val="clear" w:color="auto" w:fill="E6E6E6"/>
          </w:tcPr>
          <w:p>
            <w:pPr>
              <w:jc w:val="right"/>
              <w:ind w:right="69"/>
              <w:spacing w:after="0"/>
              <w:rPr>
                <w:sz w:val="20"/>
                <w:szCs w:val="20"/>
                <w:color w:val="auto"/>
              </w:rPr>
            </w:pPr>
            <w:r>
              <w:rPr>
                <w:rFonts w:ascii="Arial" w:cs="Arial" w:eastAsia="Arial" w:hAnsi="Arial"/>
                <w:sz w:val="14"/>
                <w:szCs w:val="14"/>
                <w:color w:val="auto"/>
              </w:rPr>
              <w:t>144.12</w:t>
            </w:r>
          </w:p>
        </w:tc>
        <w:tc>
          <w:tcPr>
            <w:tcW w:w="120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137.78</w:t>
            </w:r>
          </w:p>
        </w:tc>
        <w:tc>
          <w:tcPr>
            <w:tcW w:w="122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96.8</w:t>
            </w:r>
          </w:p>
        </w:tc>
        <w:tc>
          <w:tcPr>
            <w:tcW w:w="1320" w:type="dxa"/>
            <w:vAlign w:val="bottom"/>
            <w:tcBorders>
              <w:bottom w:val="single" w:sz="8" w:color="2D53A6"/>
              <w:right w:val="single" w:sz="8" w:color="2D53A6"/>
            </w:tcBorders>
            <w:shd w:val="clear" w:color="auto" w:fill="E6E6E6"/>
          </w:tcPr>
          <w:p>
            <w:pPr>
              <w:jc w:val="right"/>
              <w:ind w:right="9"/>
              <w:spacing w:after="0"/>
              <w:rPr>
                <w:sz w:val="20"/>
                <w:szCs w:val="20"/>
                <w:color w:val="auto"/>
              </w:rPr>
            </w:pPr>
            <w:r>
              <w:rPr>
                <w:rFonts w:ascii="Arial" w:cs="Arial" w:eastAsia="Arial" w:hAnsi="Arial"/>
                <w:sz w:val="14"/>
                <w:szCs w:val="14"/>
                <w:color w:val="auto"/>
              </w:rPr>
              <w:t>21.8%</w:t>
            </w:r>
          </w:p>
        </w:tc>
      </w:tr>
      <w:tr>
        <w:trPr>
          <w:trHeight w:val="183"/>
        </w:trPr>
        <w:tc>
          <w:tcPr>
            <w:tcW w:w="1020" w:type="dxa"/>
            <w:vAlign w:val="bottom"/>
            <w:tcBorders>
              <w:left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2021</w:t>
            </w:r>
          </w:p>
        </w:tc>
        <w:tc>
          <w:tcPr>
            <w:tcW w:w="128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4,582,416</w:t>
            </w:r>
          </w:p>
        </w:tc>
        <w:tc>
          <w:tcPr>
            <w:tcW w:w="1340" w:type="dxa"/>
            <w:vAlign w:val="bottom"/>
            <w:tcBorders>
              <w:bottom w:val="single" w:sz="8" w:color="2D53A6"/>
              <w:right w:val="single" w:sz="8" w:color="2D53A6"/>
            </w:tcBorders>
          </w:tcPr>
          <w:p>
            <w:pPr>
              <w:jc w:val="right"/>
              <w:ind w:right="69"/>
              <w:spacing w:after="0"/>
              <w:rPr>
                <w:sz w:val="20"/>
                <w:szCs w:val="20"/>
                <w:color w:val="auto"/>
              </w:rPr>
            </w:pPr>
            <w:r>
              <w:rPr>
                <w:rFonts w:ascii="Arial" w:cs="Arial" w:eastAsia="Arial" w:hAnsi="Arial"/>
                <w:sz w:val="14"/>
                <w:szCs w:val="14"/>
                <w:color w:val="auto"/>
              </w:rPr>
              <w:t>959,803</w:t>
            </w:r>
          </w:p>
        </w:tc>
        <w:tc>
          <w:tcPr>
            <w:tcW w:w="1320" w:type="dxa"/>
            <w:vAlign w:val="bottom"/>
            <w:tcBorders>
              <w:bottom w:val="single" w:sz="8" w:color="2D53A6"/>
              <w:right w:val="single" w:sz="8" w:color="2D53A6"/>
            </w:tcBorders>
          </w:tcPr>
          <w:p>
            <w:pPr>
              <w:ind w:left="540"/>
              <w:spacing w:after="0"/>
              <w:rPr>
                <w:sz w:val="20"/>
                <w:szCs w:val="20"/>
                <w:color w:val="auto"/>
              </w:rPr>
            </w:pPr>
            <w:r>
              <w:rPr>
                <w:rFonts w:ascii="Arial" w:cs="Arial" w:eastAsia="Arial" w:hAnsi="Arial"/>
                <w:sz w:val="14"/>
                <w:szCs w:val="14"/>
                <w:color w:val="auto"/>
              </w:rPr>
              <w:t>1,360,173</w:t>
            </w:r>
          </w:p>
        </w:tc>
        <w:tc>
          <w:tcPr>
            <w:tcW w:w="132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597,988</w:t>
            </w:r>
          </w:p>
        </w:tc>
        <w:tc>
          <w:tcPr>
            <w:tcW w:w="1220" w:type="dxa"/>
            <w:vAlign w:val="bottom"/>
            <w:tcBorders>
              <w:bottom w:val="single" w:sz="8" w:color="2D53A6"/>
              <w:right w:val="single" w:sz="8" w:color="2D53A6"/>
            </w:tcBorders>
          </w:tcPr>
          <w:p>
            <w:pPr>
              <w:jc w:val="right"/>
              <w:ind w:right="69"/>
              <w:spacing w:after="0"/>
              <w:rPr>
                <w:sz w:val="20"/>
                <w:szCs w:val="20"/>
                <w:color w:val="auto"/>
              </w:rPr>
            </w:pPr>
            <w:r>
              <w:rPr>
                <w:rFonts w:ascii="Arial" w:cs="Arial" w:eastAsia="Arial" w:hAnsi="Arial"/>
                <w:sz w:val="14"/>
                <w:szCs w:val="14"/>
                <w:color w:val="auto"/>
              </w:rPr>
              <w:t>170.92</w:t>
            </w:r>
          </w:p>
        </w:tc>
        <w:tc>
          <w:tcPr>
            <w:tcW w:w="120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183.27</w:t>
            </w:r>
          </w:p>
        </w:tc>
        <w:tc>
          <w:tcPr>
            <w:tcW w:w="122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167.3</w:t>
            </w:r>
          </w:p>
        </w:tc>
        <w:tc>
          <w:tcPr>
            <w:tcW w:w="1320" w:type="dxa"/>
            <w:vAlign w:val="bottom"/>
            <w:tcBorders>
              <w:bottom w:val="single" w:sz="8" w:color="2D53A6"/>
              <w:right w:val="single" w:sz="8" w:color="2D53A6"/>
            </w:tcBorders>
          </w:tcPr>
          <w:p>
            <w:pPr>
              <w:jc w:val="right"/>
              <w:ind w:right="9"/>
              <w:spacing w:after="0"/>
              <w:rPr>
                <w:sz w:val="20"/>
                <w:szCs w:val="20"/>
                <w:color w:val="auto"/>
              </w:rPr>
            </w:pPr>
            <w:r>
              <w:rPr>
                <w:rFonts w:ascii="Arial" w:cs="Arial" w:eastAsia="Arial" w:hAnsi="Arial"/>
                <w:sz w:val="14"/>
                <w:szCs w:val="14"/>
                <w:color w:val="auto"/>
              </w:rPr>
              <w:t>19.5%</w:t>
            </w:r>
          </w:p>
        </w:tc>
      </w:tr>
    </w:tbl>
    <w:p>
      <w:pPr>
        <w:spacing w:after="0" w:line="193" w:lineRule="exact"/>
        <w:rPr>
          <w:sz w:val="20"/>
          <w:szCs w:val="20"/>
          <w:color w:val="auto"/>
        </w:rPr>
      </w:pPr>
    </w:p>
    <w:p>
      <w:pPr>
        <w:ind w:left="340" w:right="140" w:hanging="332"/>
        <w:spacing w:after="0" w:line="25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reported in column (b) are the amounts of total compensation reported for Dr. Müller, our Chief Executive Officer (“CEO”) for each corresponding year in the “Total” column of the Summary Compensation Table in each applicable year.</w:t>
      </w:r>
    </w:p>
    <w:p>
      <w:pPr>
        <w:spacing w:after="0" w:line="1" w:lineRule="exact"/>
        <w:rPr>
          <w:rFonts w:ascii="Arial" w:cs="Arial" w:eastAsia="Arial" w:hAnsi="Arial"/>
          <w:sz w:val="14"/>
          <w:szCs w:val="14"/>
          <w:color w:val="auto"/>
        </w:rPr>
      </w:pPr>
    </w:p>
    <w:p>
      <w:pPr>
        <w:jc w:val="both"/>
        <w:ind w:left="340" w:right="4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reported in column (c) are the amount of “compensation actually paid” to Dr. Müller as defined by Item 402(v) of Regulation S-K. The dollar amounts do not reflect the actual amount of compensation earned by or paid to Dr. Müller during the applicable year. The adjustments made to Dr. Müller’s total compensation for each year to determine the CAP are detailed in the CEO Summary Compensation Table Total to CAP Reconciliation table below.</w:t>
      </w:r>
    </w:p>
    <w:p>
      <w:pPr>
        <w:spacing w:after="0" w:line="1" w:lineRule="exact"/>
        <w:rPr>
          <w:rFonts w:ascii="Arial" w:cs="Arial" w:eastAsia="Arial" w:hAnsi="Arial"/>
          <w:sz w:val="14"/>
          <w:szCs w:val="14"/>
          <w:color w:val="auto"/>
        </w:rPr>
      </w:pPr>
    </w:p>
    <w:p>
      <w:pPr>
        <w:ind w:left="340" w:right="34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reported in column (d) represent the average of the amounts reported for the Company’s NEOs as a group (excluding Dr. Müller, our CEO) in the “Total” column of the Summary Compensation Table in each applicable year. The NEOs included for purposes of calculating the average amounts and “compensation actually paid” in 2025 are as follows: Mr. Jeffrey Jones, Mr. Christopher Bohrson, and Mr. Klaus Ilgenfritz. The NEOs included for purposes of calculating the average amounts and “compensation actually paid” in 2024, 2023, 2022 and 2021 are as follows: Mr. Jeffrey Jones, Mr. Christopher Bohrson, Mr. Thomas Kampfer and Mr. Ian Lawee.</w:t>
      </w:r>
    </w:p>
    <w:p>
      <w:pPr>
        <w:spacing w:after="0" w:line="1" w:lineRule="exact"/>
        <w:rPr>
          <w:rFonts w:ascii="Arial" w:cs="Arial" w:eastAsia="Arial" w:hAnsi="Arial"/>
          <w:sz w:val="14"/>
          <w:szCs w:val="14"/>
          <w:color w:val="auto"/>
        </w:rPr>
      </w:pPr>
    </w:p>
    <w:p>
      <w:pPr>
        <w:jc w:val="both"/>
        <w:ind w:left="340" w:right="18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reported in column (e) represent the average amount of “compensation actually paid” to the NEOs as a group (excluding Dr. Müller), as computed in accordance with Item 402(v) of Regulation S-K. The dollar amounts do not reflect the actual average amount of compensation earned by or paid to the NEOs as a group (excluding Dr. Müller) during the applicable year. The adjustments made to the NEO’s total compensation for each year to determine the CAP are detailed in the Average Other NEO Summary Compensation Table Total to CAP Reconciliation table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Cumulative TSR is calculated assuming a $100 investment in Cohu’s common stock, on December 24, 2020.</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weighted peer group TSR, weighted according to the respective companies’ stock market capitalization at the beginning of each period for which a return is indicated. The peer group used for this purpose is the custom Peer Group Index as reported in the Comparative Stock Performance Graph in Cohu’s Annual Report on Form 10-K. For 2025, the peer group was comprised of ACM Research, Inc., Alpha &amp; Omega Semiconductor Limited, Arlo Technologies, Inc., Axcelis Technologies, Inc., Badger Meter, Inc., FormFactor, Inc., Harmonic Inc., Ichor Holdings Ltd., indie Semiconductor, Inc., Kulicke and Soffa Industries, Inc., MACOM Technology Solutions Holdings, Inc., MaxLinear, Inc., Novanta, Inc., OSI Systems, Inc., PAR Technology Corporation, Penguin Solutions, Inc., Photronics, Inc., Power Integrations, Inc., Semtech Corporation, Silicon Laboratories Inc., Ultra Clean Holdings, Inc., Veeco Instruments Inc., and Vishay Precision Group, Inc. In 2024 and 2023 the peer group was made up of Advanced Energy Industries, Inc., Alpha &amp; Omega Semiconductor Limited, Axcelis Technologies, Inc., Badger Meter, Inc., Cirrus Logic, Inc., FormFactor, Inc., Harmonic Inc., Ichor Holdings Ltd., Kulicke and Soffa Industries, Inc., MACOM Technology Solutions Holdings, Inc., MaxLinear, Inc., Novanta, Inc., Onto Innovation, OSI Systems, Inc., Penguin Solutions (formerly SMART Global Holdings), Photronics, Inc., Ultra Clean Holdings, Inc. and Veeco Instruments, Inc. The only change from the custom peer group used in 2022 was the removal of National Instruments Corporation, due to it being acquired by Emerson Electric Co, and therefore the data reported in the 2023 CAP table has been recalculated removing National Instruments Corporation’s shareholder return values. As reported in the 2022 CAP table, the Peer Group Total Shareholder Return rate for 2021 and 2022 when the Peer Group included National Instruments Corporation was 171.53 and 124.23 respectively.</w:t>
      </w:r>
    </w:p>
    <w:p>
      <w:pPr>
        <w:spacing w:after="0" w:line="4"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Cohu’s audited financial statements for the applicable year.</w:t>
      </w:r>
    </w:p>
    <w:p>
      <w:pPr>
        <w:spacing w:after="0" w:line="1" w:lineRule="exact"/>
        <w:rPr>
          <w:rFonts w:ascii="Arial" w:cs="Arial" w:eastAsia="Arial" w:hAnsi="Arial"/>
          <w:sz w:val="14"/>
          <w:szCs w:val="14"/>
          <w:color w:val="auto"/>
        </w:rPr>
      </w:pPr>
    </w:p>
    <w:p>
      <w:pPr>
        <w:ind w:left="340" w:right="20" w:hanging="332"/>
        <w:spacing w:after="0" w:line="246"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While we believe that the Relative Total Stockholder Return (“RTSR”) Percentile used in Cohu’s annual Long-Term Incentive (“LTI”) plan as described in the CD&amp;A is the most important financial measure used to link compensation actually paid to our NEOs, this RTSR is calculated over a three-year period and therefore cannot be used in this table. As Cohu uses other financial and non-financial performance measures for the purpose of evaluating performance for compensation programs, Cohu determined that the non-GAAP pre-tax income as a percentage of sales performance used in the annual Short-Term Incentive (“STI”) plan as described in the CD&amp;A represents the most important performance measure (that is not otherwise required to be disclosed in the table) used to link compensation actually paid to our NEOs, for the most recently completed fiscal year, to company performance.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1160"/>
        <w:spacing w:after="0" w:line="271" w:lineRule="auto"/>
        <w:rPr>
          <w:sz w:val="20"/>
          <w:szCs w:val="20"/>
          <w:color w:val="auto"/>
        </w:rPr>
      </w:pPr>
      <w:r>
        <w:rPr>
          <w:rFonts w:ascii="Arial" w:cs="Arial" w:eastAsia="Arial" w:hAnsi="Arial"/>
          <w:sz w:val="18"/>
          <w:szCs w:val="18"/>
          <w:color w:val="auto"/>
        </w:rPr>
        <w:t>To calculate the CAP, the following amounts were deducted from and added to the Summary Compensation Table (“SCT”) total compensation.</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SCT Total to CAP Reconciliation</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Reported Change in</w:t>
            </w:r>
          </w:p>
        </w:tc>
        <w:tc>
          <w:tcPr>
            <w:tcW w:w="166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spacing w:after="0"/>
              <w:rPr>
                <w:sz w:val="14"/>
                <w:szCs w:val="14"/>
                <w:color w:val="auto"/>
              </w:rPr>
            </w:pPr>
          </w:p>
        </w:tc>
      </w:tr>
      <w:tr>
        <w:trPr>
          <w:trHeight w:val="162"/>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Reported Summary</w:t>
            </w:r>
          </w:p>
        </w:tc>
        <w:tc>
          <w:tcPr>
            <w:tcW w:w="1720" w:type="dxa"/>
            <w:vAlign w:val="bottom"/>
            <w:tcBorders>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the Actuarial</w:t>
            </w:r>
          </w:p>
        </w:tc>
        <w:tc>
          <w:tcPr>
            <w:tcW w:w="166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spacing w:after="0"/>
              <w:rPr>
                <w:sz w:val="14"/>
                <w:szCs w:val="14"/>
                <w:color w:val="auto"/>
              </w:rPr>
            </w:pPr>
          </w:p>
        </w:tc>
      </w:tr>
      <w:tr>
        <w:trPr>
          <w:trHeight w:val="159"/>
        </w:trPr>
        <w:tc>
          <w:tcPr>
            <w:tcW w:w="1140" w:type="dxa"/>
            <w:vAlign w:val="bottom"/>
            <w:tcBorders>
              <w:left w:val="single" w:sz="8" w:color="2D53A6"/>
              <w:right w:val="single" w:sz="8" w:color="2D53A6"/>
            </w:tcBorders>
            <w:shd w:val="clear" w:color="auto" w:fill="2D53A6"/>
          </w:tcPr>
          <w:p>
            <w:pPr>
              <w:spacing w:after="0"/>
              <w:rPr>
                <w:sz w:val="13"/>
                <w:szCs w:val="13"/>
                <w:color w:val="auto"/>
              </w:rPr>
            </w:pPr>
          </w:p>
        </w:tc>
        <w:tc>
          <w:tcPr>
            <w:tcW w:w="17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Compensation</w:t>
            </w:r>
          </w:p>
        </w:tc>
        <w:tc>
          <w:tcPr>
            <w:tcW w:w="17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Reported Value of</w:t>
            </w:r>
          </w:p>
        </w:tc>
        <w:tc>
          <w:tcPr>
            <w:tcW w:w="16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Equity Award</w:t>
            </w:r>
          </w:p>
        </w:tc>
        <w:tc>
          <w:tcPr>
            <w:tcW w:w="166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Present Value of</w:t>
            </w:r>
          </w:p>
        </w:tc>
        <w:tc>
          <w:tcPr>
            <w:tcW w:w="1660" w:type="dxa"/>
            <w:vAlign w:val="bottom"/>
            <w:tcBorders>
              <w:right w:val="single" w:sz="8" w:color="2D53A6"/>
            </w:tcBorders>
            <w:shd w:val="clear" w:color="auto" w:fill="2D53A6"/>
          </w:tcPr>
          <w:p>
            <w:pPr>
              <w:spacing w:after="0"/>
              <w:rPr>
                <w:sz w:val="13"/>
                <w:szCs w:val="13"/>
                <w:color w:val="auto"/>
              </w:rPr>
            </w:pPr>
          </w:p>
        </w:tc>
        <w:tc>
          <w:tcPr>
            <w:tcW w:w="1660" w:type="dxa"/>
            <w:vAlign w:val="bottom"/>
            <w:tcBorders>
              <w:right w:val="single" w:sz="8" w:color="2D53A6"/>
            </w:tcBorders>
            <w:shd w:val="clear" w:color="auto" w:fill="2D53A6"/>
          </w:tcPr>
          <w:p>
            <w:pPr>
              <w:spacing w:after="0"/>
              <w:rPr>
                <w:sz w:val="13"/>
                <w:szCs w:val="13"/>
                <w:color w:val="auto"/>
              </w:rPr>
            </w:pPr>
          </w:p>
        </w:tc>
      </w:tr>
      <w:tr>
        <w:trPr>
          <w:trHeight w:val="174"/>
        </w:trPr>
        <w:tc>
          <w:tcPr>
            <w:tcW w:w="1140" w:type="dxa"/>
            <w:vAlign w:val="bottom"/>
            <w:tcBorders>
              <w:left w:val="single" w:sz="8" w:color="2D53A6"/>
              <w:right w:val="single" w:sz="8" w:color="2D53A6"/>
            </w:tcBorders>
            <w:shd w:val="clear" w:color="auto" w:fill="2D53A6"/>
          </w:tcPr>
          <w:p>
            <w:pPr>
              <w:ind w:left="420"/>
              <w:spacing w:after="0"/>
              <w:rPr>
                <w:sz w:val="20"/>
                <w:szCs w:val="20"/>
                <w:color w:val="auto"/>
              </w:rPr>
            </w:pPr>
            <w:r>
              <w:rPr>
                <w:rFonts w:ascii="Arial" w:cs="Arial" w:eastAsia="Arial" w:hAnsi="Arial"/>
                <w:sz w:val="14"/>
                <w:szCs w:val="14"/>
                <w:b w:val="1"/>
                <w:bCs w:val="1"/>
                <w:color w:val="FFFFFF"/>
              </w:rPr>
              <w:t>Year</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Table Total for CEO</w:t>
            </w:r>
          </w:p>
        </w:tc>
        <w:tc>
          <w:tcPr>
            <w:tcW w:w="1720" w:type="dxa"/>
            <w:vAlign w:val="bottom"/>
            <w:tcBorders>
              <w:right w:val="single" w:sz="8" w:color="2D53A6"/>
            </w:tcBorders>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Equity Awards</w:t>
            </w:r>
            <w:r>
              <w:rPr>
                <w:rFonts w:ascii="Arial" w:cs="Arial" w:eastAsia="Arial" w:hAnsi="Arial"/>
                <w:sz w:val="20"/>
                <w:szCs w:val="20"/>
                <w:b w:val="1"/>
                <w:bCs w:val="1"/>
                <w:color w:val="FFFFFF"/>
                <w:vertAlign w:val="superscript"/>
              </w:rPr>
              <w:t>(1)</w:t>
            </w:r>
          </w:p>
        </w:tc>
        <w:tc>
          <w:tcPr>
            <w:tcW w:w="1680" w:type="dxa"/>
            <w:vAlign w:val="bottom"/>
            <w:tcBorders>
              <w:right w:val="single" w:sz="8" w:color="2D53A6"/>
            </w:tcBorders>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Adjustments</w:t>
            </w:r>
            <w:r>
              <w:rPr>
                <w:rFonts w:ascii="Arial" w:cs="Arial" w:eastAsia="Arial" w:hAnsi="Arial"/>
                <w:sz w:val="20"/>
                <w:szCs w:val="20"/>
                <w:b w:val="1"/>
                <w:bCs w:val="1"/>
                <w:color w:val="FFFFFF"/>
                <w:vertAlign w:val="superscript"/>
              </w:rPr>
              <w:t>(2)</w:t>
            </w:r>
          </w:p>
        </w:tc>
        <w:tc>
          <w:tcPr>
            <w:tcW w:w="1660" w:type="dxa"/>
            <w:vAlign w:val="bottom"/>
            <w:tcBorders>
              <w:right w:val="single" w:sz="8" w:color="2D53A6"/>
            </w:tcBorders>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Pension Benefits</w:t>
            </w:r>
            <w:r>
              <w:rPr>
                <w:rFonts w:ascii="Arial" w:cs="Arial" w:eastAsia="Arial" w:hAnsi="Arial"/>
                <w:sz w:val="20"/>
                <w:szCs w:val="20"/>
                <w:b w:val="1"/>
                <w:bCs w:val="1"/>
                <w:color w:val="FFFFFF"/>
                <w:vertAlign w:val="superscript"/>
              </w:rPr>
              <w:t>(3)</w:t>
            </w:r>
          </w:p>
        </w:tc>
        <w:tc>
          <w:tcPr>
            <w:tcW w:w="1660" w:type="dxa"/>
            <w:vAlign w:val="bottom"/>
            <w:tcBorders>
              <w:right w:val="single" w:sz="8" w:color="2D53A6"/>
            </w:tcBorders>
            <w:shd w:val="clear" w:color="auto" w:fill="2D53A6"/>
          </w:tcPr>
          <w:p>
            <w:pPr>
              <w:ind w:left="180"/>
              <w:spacing w:after="0" w:line="175" w:lineRule="exact"/>
              <w:rPr>
                <w:sz w:val="20"/>
                <w:szCs w:val="20"/>
                <w:color w:val="auto"/>
              </w:rPr>
            </w:pPr>
            <w:r>
              <w:rPr>
                <w:rFonts w:ascii="Arial" w:cs="Arial" w:eastAsia="Arial" w:hAnsi="Arial"/>
                <w:sz w:val="13"/>
                <w:szCs w:val="13"/>
                <w:b w:val="1"/>
                <w:bCs w:val="1"/>
                <w:color w:val="FFFFFF"/>
              </w:rPr>
              <w:t>Pension Benefits</w:t>
            </w:r>
            <w:r>
              <w:rPr>
                <w:rFonts w:ascii="Arial" w:cs="Arial" w:eastAsia="Arial" w:hAnsi="Arial"/>
                <w:sz w:val="20"/>
                <w:szCs w:val="20"/>
                <w:b w:val="1"/>
                <w:bCs w:val="1"/>
                <w:color w:val="FFFFFF"/>
                <w:vertAlign w:val="superscript"/>
              </w:rPr>
              <w:t>(3)</w:t>
            </w:r>
          </w:p>
        </w:tc>
        <w:tc>
          <w:tcPr>
            <w:tcW w:w="1660" w:type="dxa"/>
            <w:vAlign w:val="bottom"/>
            <w:tcBorders>
              <w:right w:val="single" w:sz="8" w:color="2D53A6"/>
            </w:tcBorders>
            <w:shd w:val="clear" w:color="auto" w:fill="2D53A6"/>
          </w:tcPr>
          <w:p>
            <w:pPr>
              <w:jc w:val="right"/>
              <w:ind w:right="348"/>
              <w:spacing w:after="0"/>
              <w:rPr>
                <w:sz w:val="20"/>
                <w:szCs w:val="20"/>
                <w:color w:val="auto"/>
              </w:rPr>
            </w:pPr>
            <w:r>
              <w:rPr>
                <w:rFonts w:ascii="Arial" w:cs="Arial" w:eastAsia="Arial" w:hAnsi="Arial"/>
                <w:sz w:val="14"/>
                <w:szCs w:val="14"/>
                <w:b w:val="1"/>
                <w:bCs w:val="1"/>
                <w:color w:val="FFFFFF"/>
              </w:rPr>
              <w:t>CAP to CEO</w:t>
            </w:r>
          </w:p>
        </w:tc>
      </w:tr>
      <w:tr>
        <w:trPr>
          <w:trHeight w:val="176"/>
        </w:trPr>
        <w:tc>
          <w:tcPr>
            <w:tcW w:w="1140" w:type="dxa"/>
            <w:vAlign w:val="bottom"/>
            <w:tcBorders>
              <w:left w:val="single" w:sz="8" w:color="2D53A6"/>
              <w:right w:val="single" w:sz="8" w:color="2D53A6"/>
            </w:tcBorders>
            <w:shd w:val="clear" w:color="auto" w:fill="2D53A6"/>
          </w:tcPr>
          <w:p>
            <w:pPr>
              <w:spacing w:after="0"/>
              <w:rPr>
                <w:sz w:val="15"/>
                <w:szCs w:val="15"/>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right w:val="single" w:sz="8" w:color="2D53A6"/>
            </w:tcBorders>
            <w:shd w:val="clear" w:color="auto" w:fill="2D53A6"/>
          </w:tcPr>
          <w:p>
            <w:pPr>
              <w:ind w:left="740"/>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right w:val="single" w:sz="8" w:color="2D53A6"/>
            </w:tcBorders>
            <w:shd w:val="clear" w:color="auto" w:fill="2D53A6"/>
          </w:tcPr>
          <w:p>
            <w:pPr>
              <w:jc w:val="right"/>
              <w:ind w:right="668"/>
              <w:spacing w:after="0"/>
              <w:rPr>
                <w:sz w:val="20"/>
                <w:szCs w:val="20"/>
                <w:color w:val="auto"/>
              </w:rPr>
            </w:pPr>
            <w:r>
              <w:rPr>
                <w:rFonts w:ascii="Arial" w:cs="Arial" w:eastAsia="Arial" w:hAnsi="Arial"/>
                <w:sz w:val="14"/>
                <w:szCs w:val="14"/>
                <w:b w:val="1"/>
                <w:bCs w:val="1"/>
                <w:color w:val="FFFFFF"/>
              </w:rPr>
              <w:t>($)</w:t>
            </w:r>
          </w:p>
        </w:tc>
      </w:tr>
      <w:tr>
        <w:trPr>
          <w:trHeight w:val="162"/>
        </w:trPr>
        <w:tc>
          <w:tcPr>
            <w:tcW w:w="1140" w:type="dxa"/>
            <w:vAlign w:val="bottom"/>
            <w:tcBorders>
              <w:left w:val="single" w:sz="8" w:color="2D53A6"/>
              <w:bottom w:val="single" w:sz="8" w:color="2D53A6"/>
              <w:right w:val="single" w:sz="8" w:color="2D53A6"/>
            </w:tcBorders>
          </w:tcPr>
          <w:p>
            <w:pPr>
              <w:ind w:left="420"/>
              <w:spacing w:after="0"/>
              <w:rPr>
                <w:sz w:val="20"/>
                <w:szCs w:val="20"/>
                <w:color w:val="auto"/>
              </w:rPr>
            </w:pPr>
            <w:r>
              <w:rPr>
                <w:rFonts w:ascii="Arial" w:cs="Arial" w:eastAsia="Arial" w:hAnsi="Arial"/>
                <w:sz w:val="14"/>
                <w:szCs w:val="14"/>
                <w:color w:val="auto"/>
              </w:rPr>
              <w:t>2025</w:t>
            </w:r>
          </w:p>
        </w:tc>
        <w:tc>
          <w:tcPr>
            <w:tcW w:w="172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4,498,059</w:t>
            </w:r>
          </w:p>
        </w:tc>
        <w:tc>
          <w:tcPr>
            <w:tcW w:w="1720" w:type="dxa"/>
            <w:vAlign w:val="bottom"/>
            <w:tcBorders>
              <w:bottom w:val="single" w:sz="8" w:color="2D53A6"/>
              <w:right w:val="single" w:sz="8" w:color="2D53A6"/>
            </w:tcBorders>
          </w:tcPr>
          <w:p>
            <w:pPr>
              <w:jc w:val="right"/>
              <w:ind w:right="9"/>
              <w:spacing w:after="0"/>
              <w:rPr>
                <w:sz w:val="20"/>
                <w:szCs w:val="20"/>
                <w:color w:val="auto"/>
              </w:rPr>
            </w:pPr>
            <w:r>
              <w:rPr>
                <w:rFonts w:ascii="Arial" w:cs="Arial" w:eastAsia="Arial" w:hAnsi="Arial"/>
                <w:sz w:val="14"/>
                <w:szCs w:val="14"/>
                <w:color w:val="auto"/>
              </w:rPr>
              <w:t>(3,508,493)</w:t>
            </w:r>
          </w:p>
        </w:tc>
        <w:tc>
          <w:tcPr>
            <w:tcW w:w="1680" w:type="dxa"/>
            <w:vAlign w:val="bottom"/>
            <w:tcBorders>
              <w:bottom w:val="single" w:sz="8" w:color="2D53A6"/>
              <w:right w:val="single" w:sz="8" w:color="2D53A6"/>
            </w:tcBorders>
          </w:tcPr>
          <w:p>
            <w:pPr>
              <w:jc w:val="right"/>
              <w:ind w:right="29"/>
              <w:spacing w:after="0"/>
              <w:rPr>
                <w:sz w:val="20"/>
                <w:szCs w:val="20"/>
                <w:color w:val="auto"/>
              </w:rPr>
            </w:pPr>
            <w:r>
              <w:rPr>
                <w:rFonts w:ascii="Arial" w:cs="Arial" w:eastAsia="Arial" w:hAnsi="Arial"/>
                <w:sz w:val="14"/>
                <w:szCs w:val="14"/>
                <w:color w:val="auto"/>
              </w:rPr>
              <w:t>3,472,322</w:t>
            </w:r>
          </w:p>
        </w:tc>
        <w:tc>
          <w:tcPr>
            <w:tcW w:w="1660" w:type="dxa"/>
            <w:vAlign w:val="bottom"/>
            <w:tcBorders>
              <w:bottom w:val="single" w:sz="8" w:color="2D53A6"/>
              <w:right w:val="single" w:sz="8" w:color="2D53A6"/>
            </w:tcBorders>
          </w:tcPr>
          <w:p>
            <w:pPr>
              <w:ind w:left="1320"/>
              <w:spacing w:after="0"/>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ind w:left="1320"/>
              <w:spacing w:after="0"/>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4,461,888</w:t>
            </w:r>
          </w:p>
        </w:tc>
      </w:tr>
      <w:tr>
        <w:trPr>
          <w:trHeight w:val="156"/>
        </w:trPr>
        <w:tc>
          <w:tcPr>
            <w:tcW w:w="1140" w:type="dxa"/>
            <w:vAlign w:val="bottom"/>
            <w:tcBorders>
              <w:left w:val="single" w:sz="8" w:color="2D53A6"/>
              <w:bottom w:val="single" w:sz="8" w:color="2D53A6"/>
              <w:right w:val="single" w:sz="8" w:color="2D53A6"/>
            </w:tcBorders>
            <w:shd w:val="clear" w:color="auto" w:fill="E6E6E6"/>
          </w:tcPr>
          <w:p>
            <w:pPr>
              <w:ind w:left="420"/>
              <w:spacing w:after="0" w:line="155" w:lineRule="exact"/>
              <w:rPr>
                <w:sz w:val="20"/>
                <w:szCs w:val="20"/>
                <w:color w:val="auto"/>
              </w:rPr>
            </w:pPr>
            <w:r>
              <w:rPr>
                <w:rFonts w:ascii="Arial" w:cs="Arial" w:eastAsia="Arial" w:hAnsi="Arial"/>
                <w:sz w:val="14"/>
                <w:szCs w:val="14"/>
                <w:color w:val="auto"/>
              </w:rPr>
              <w:t>2024</w:t>
            </w:r>
          </w:p>
        </w:tc>
        <w:tc>
          <w:tcPr>
            <w:tcW w:w="172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4,831,084</w:t>
            </w:r>
          </w:p>
        </w:tc>
        <w:tc>
          <w:tcPr>
            <w:tcW w:w="172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(4,091,920)</w:t>
            </w:r>
          </w:p>
        </w:tc>
        <w:tc>
          <w:tcPr>
            <w:tcW w:w="168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(2,197,303)</w:t>
            </w:r>
          </w:p>
        </w:tc>
        <w:tc>
          <w:tcPr>
            <w:tcW w:w="1660" w:type="dxa"/>
            <w:vAlign w:val="bottom"/>
            <w:tcBorders>
              <w:bottom w:val="single" w:sz="8" w:color="2D53A6"/>
              <w:right w:val="single" w:sz="8" w:color="2D53A6"/>
            </w:tcBorders>
            <w:shd w:val="clear" w:color="auto" w:fill="E6E6E6"/>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shd w:val="clear" w:color="auto" w:fill="E6E6E6"/>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(1,458,139)</w:t>
            </w:r>
          </w:p>
        </w:tc>
      </w:tr>
      <w:tr>
        <w:trPr>
          <w:trHeight w:val="155"/>
        </w:trPr>
        <w:tc>
          <w:tcPr>
            <w:tcW w:w="1140" w:type="dxa"/>
            <w:vAlign w:val="bottom"/>
            <w:tcBorders>
              <w:left w:val="single" w:sz="8" w:color="2D53A6"/>
              <w:bottom w:val="single" w:sz="8" w:color="2D53A6"/>
              <w:right w:val="single" w:sz="8" w:color="2D53A6"/>
            </w:tcBorders>
          </w:tcPr>
          <w:p>
            <w:pPr>
              <w:ind w:left="420"/>
              <w:spacing w:after="0" w:line="155" w:lineRule="exact"/>
              <w:rPr>
                <w:sz w:val="20"/>
                <w:szCs w:val="20"/>
                <w:color w:val="auto"/>
              </w:rPr>
            </w:pPr>
            <w:r>
              <w:rPr>
                <w:rFonts w:ascii="Arial" w:cs="Arial" w:eastAsia="Arial" w:hAnsi="Arial"/>
                <w:sz w:val="14"/>
                <w:szCs w:val="14"/>
                <w:color w:val="auto"/>
              </w:rPr>
              <w:t>2023</w:t>
            </w:r>
          </w:p>
        </w:tc>
        <w:tc>
          <w:tcPr>
            <w:tcW w:w="172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6,536,607</w:t>
            </w:r>
          </w:p>
        </w:tc>
        <w:tc>
          <w:tcPr>
            <w:tcW w:w="172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(5,051,219)</w:t>
            </w:r>
          </w:p>
        </w:tc>
        <w:tc>
          <w:tcPr>
            <w:tcW w:w="1680" w:type="dxa"/>
            <w:vAlign w:val="bottom"/>
            <w:tcBorders>
              <w:bottom w:val="single" w:sz="8" w:color="2D53A6"/>
              <w:right w:val="single" w:sz="8" w:color="2D53A6"/>
            </w:tcBorders>
          </w:tcPr>
          <w:p>
            <w:pPr>
              <w:jc w:val="right"/>
              <w:ind w:right="29"/>
              <w:spacing w:after="0" w:line="155" w:lineRule="exact"/>
              <w:rPr>
                <w:sz w:val="20"/>
                <w:szCs w:val="20"/>
                <w:color w:val="auto"/>
              </w:rPr>
            </w:pPr>
            <w:r>
              <w:rPr>
                <w:rFonts w:ascii="Arial" w:cs="Arial" w:eastAsia="Arial" w:hAnsi="Arial"/>
                <w:sz w:val="14"/>
                <w:szCs w:val="14"/>
                <w:color w:val="auto"/>
              </w:rPr>
              <w:t>2,094,280</w:t>
            </w:r>
          </w:p>
        </w:tc>
        <w:tc>
          <w:tcPr>
            <w:tcW w:w="1660" w:type="dxa"/>
            <w:vAlign w:val="bottom"/>
            <w:tcBorders>
              <w:bottom w:val="single" w:sz="8" w:color="2D53A6"/>
              <w:right w:val="single" w:sz="8" w:color="2D53A6"/>
            </w:tcBorders>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3,579,668</w:t>
            </w:r>
          </w:p>
        </w:tc>
      </w:tr>
      <w:tr>
        <w:trPr>
          <w:trHeight w:val="156"/>
        </w:trPr>
        <w:tc>
          <w:tcPr>
            <w:tcW w:w="1140" w:type="dxa"/>
            <w:vAlign w:val="bottom"/>
            <w:tcBorders>
              <w:left w:val="single" w:sz="8" w:color="2D53A6"/>
              <w:bottom w:val="single" w:sz="8" w:color="2D53A6"/>
              <w:right w:val="single" w:sz="8" w:color="2D53A6"/>
            </w:tcBorders>
            <w:shd w:val="clear" w:color="auto" w:fill="E6E6E6"/>
          </w:tcPr>
          <w:p>
            <w:pPr>
              <w:ind w:left="420"/>
              <w:spacing w:after="0" w:line="155" w:lineRule="exact"/>
              <w:rPr>
                <w:sz w:val="20"/>
                <w:szCs w:val="20"/>
                <w:color w:val="auto"/>
              </w:rPr>
            </w:pPr>
            <w:r>
              <w:rPr>
                <w:rFonts w:ascii="Arial" w:cs="Arial" w:eastAsia="Arial" w:hAnsi="Arial"/>
                <w:sz w:val="14"/>
                <w:szCs w:val="14"/>
                <w:color w:val="auto"/>
              </w:rPr>
              <w:t>2022</w:t>
            </w:r>
          </w:p>
        </w:tc>
        <w:tc>
          <w:tcPr>
            <w:tcW w:w="172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5,315,286</w:t>
            </w:r>
          </w:p>
        </w:tc>
        <w:tc>
          <w:tcPr>
            <w:tcW w:w="172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(3,321,901)</w:t>
            </w:r>
          </w:p>
        </w:tc>
        <w:tc>
          <w:tcPr>
            <w:tcW w:w="1680" w:type="dxa"/>
            <w:vAlign w:val="bottom"/>
            <w:tcBorders>
              <w:bottom w:val="single" w:sz="8" w:color="2D53A6"/>
              <w:right w:val="single" w:sz="8" w:color="2D53A6"/>
            </w:tcBorders>
            <w:shd w:val="clear" w:color="auto" w:fill="E6E6E6"/>
          </w:tcPr>
          <w:p>
            <w:pPr>
              <w:jc w:val="right"/>
              <w:ind w:right="29"/>
              <w:spacing w:after="0" w:line="155" w:lineRule="exact"/>
              <w:rPr>
                <w:sz w:val="20"/>
                <w:szCs w:val="20"/>
                <w:color w:val="auto"/>
              </w:rPr>
            </w:pPr>
            <w:r>
              <w:rPr>
                <w:rFonts w:ascii="Arial" w:cs="Arial" w:eastAsia="Arial" w:hAnsi="Arial"/>
                <w:sz w:val="14"/>
                <w:szCs w:val="14"/>
                <w:color w:val="auto"/>
              </w:rPr>
              <w:t>3,412,877</w:t>
            </w:r>
          </w:p>
        </w:tc>
        <w:tc>
          <w:tcPr>
            <w:tcW w:w="1660" w:type="dxa"/>
            <w:vAlign w:val="bottom"/>
            <w:tcBorders>
              <w:bottom w:val="single" w:sz="8" w:color="2D53A6"/>
              <w:right w:val="single" w:sz="8" w:color="2D53A6"/>
            </w:tcBorders>
            <w:shd w:val="clear" w:color="auto" w:fill="E6E6E6"/>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shd w:val="clear" w:color="auto" w:fill="E6E6E6"/>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5,406,262</w:t>
            </w:r>
          </w:p>
        </w:tc>
      </w:tr>
      <w:tr>
        <w:trPr>
          <w:trHeight w:val="155"/>
        </w:trPr>
        <w:tc>
          <w:tcPr>
            <w:tcW w:w="1140" w:type="dxa"/>
            <w:vAlign w:val="bottom"/>
            <w:tcBorders>
              <w:left w:val="single" w:sz="8" w:color="2D53A6"/>
              <w:bottom w:val="single" w:sz="8" w:color="2D53A6"/>
              <w:right w:val="single" w:sz="8" w:color="2D53A6"/>
            </w:tcBorders>
          </w:tcPr>
          <w:p>
            <w:pPr>
              <w:ind w:left="420"/>
              <w:spacing w:after="0" w:line="155" w:lineRule="exact"/>
              <w:rPr>
                <w:sz w:val="20"/>
                <w:szCs w:val="20"/>
                <w:color w:val="auto"/>
              </w:rPr>
            </w:pPr>
            <w:r>
              <w:rPr>
                <w:rFonts w:ascii="Arial" w:cs="Arial" w:eastAsia="Arial" w:hAnsi="Arial"/>
                <w:sz w:val="14"/>
                <w:szCs w:val="14"/>
                <w:color w:val="auto"/>
              </w:rPr>
              <w:t>2021</w:t>
            </w:r>
          </w:p>
        </w:tc>
        <w:tc>
          <w:tcPr>
            <w:tcW w:w="172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4,582,416</w:t>
            </w:r>
          </w:p>
        </w:tc>
        <w:tc>
          <w:tcPr>
            <w:tcW w:w="172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(2,891,579)</w:t>
            </w:r>
          </w:p>
        </w:tc>
        <w:tc>
          <w:tcPr>
            <w:tcW w:w="168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(731,034)</w:t>
            </w:r>
          </w:p>
        </w:tc>
        <w:tc>
          <w:tcPr>
            <w:tcW w:w="1660" w:type="dxa"/>
            <w:vAlign w:val="bottom"/>
            <w:tcBorders>
              <w:bottom w:val="single" w:sz="8" w:color="2D53A6"/>
              <w:right w:val="single" w:sz="8" w:color="2D53A6"/>
            </w:tcBorders>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959,803</w:t>
            </w:r>
          </w:p>
        </w:tc>
      </w:tr>
    </w:tbl>
    <w:p>
      <w:pPr>
        <w:spacing w:after="0" w:line="19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grant date fair value of equity awards represents the amounts reported in the “Stock Awards” column in the SCT for each applicable year.</w:t>
      </w:r>
    </w:p>
    <w:p>
      <w:pPr>
        <w:spacing w:after="0" w:line="15"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detailed in the Equity Component of CAP Reconciliation tables that follow.</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Neither the CEO nor any other NEO has Pension Benefits.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Equity Component of CAP Reconciliation</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440" w:type="dxa"/>
            <w:vAlign w:val="bottom"/>
            <w:tcBorders>
              <w:right w:val="single" w:sz="8" w:color="2D53A6"/>
            </w:tcBorders>
            <w:shd w:val="clear" w:color="auto" w:fill="2D53A6"/>
          </w:tcPr>
          <w:p>
            <w:pPr>
              <w:spacing w:after="0"/>
              <w:rPr>
                <w:sz w:val="14"/>
                <w:szCs w:val="14"/>
                <w:color w:val="auto"/>
              </w:rPr>
            </w:pPr>
          </w:p>
        </w:tc>
        <w:tc>
          <w:tcPr>
            <w:tcW w:w="1460" w:type="dxa"/>
            <w:vAlign w:val="bottom"/>
            <w:tcBorders>
              <w:right w:val="single" w:sz="8" w:color="2D53A6"/>
            </w:tcBorders>
            <w:shd w:val="clear" w:color="auto" w:fill="2D53A6"/>
          </w:tcPr>
          <w:p>
            <w:pPr>
              <w:spacing w:after="0"/>
              <w:rPr>
                <w:sz w:val="14"/>
                <w:szCs w:val="14"/>
                <w:color w:val="auto"/>
              </w:rPr>
            </w:pPr>
          </w:p>
        </w:tc>
        <w:tc>
          <w:tcPr>
            <w:tcW w:w="1440" w:type="dxa"/>
            <w:vAlign w:val="bottom"/>
            <w:tcBorders>
              <w:right w:val="single" w:sz="8" w:color="2D53A6"/>
            </w:tcBorders>
            <w:shd w:val="clear" w:color="auto" w:fill="2D53A6"/>
          </w:tcPr>
          <w:p>
            <w:pPr>
              <w:spacing w:after="0"/>
              <w:rPr>
                <w:sz w:val="14"/>
                <w:szCs w:val="14"/>
                <w:color w:val="auto"/>
              </w:rPr>
            </w:pP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440" w:type="dxa"/>
            <w:vAlign w:val="bottom"/>
            <w:tcBorders>
              <w:right w:val="single" w:sz="8" w:color="2D53A6"/>
            </w:tcBorders>
            <w:shd w:val="clear" w:color="auto" w:fill="2D53A6"/>
          </w:tcPr>
          <w:p>
            <w:pPr>
              <w:spacing w:after="0"/>
              <w:rPr>
                <w:sz w:val="14"/>
                <w:szCs w:val="14"/>
                <w:color w:val="auto"/>
              </w:rPr>
            </w:pPr>
          </w:p>
        </w:tc>
        <w:tc>
          <w:tcPr>
            <w:tcW w:w="1460" w:type="dxa"/>
            <w:vAlign w:val="bottom"/>
            <w:tcBorders>
              <w:right w:val="single" w:sz="8" w:color="2D53A6"/>
            </w:tcBorders>
            <w:shd w:val="clear" w:color="auto" w:fill="2D53A6"/>
          </w:tcPr>
          <w:p>
            <w:pPr>
              <w:spacing w:after="0"/>
              <w:rPr>
                <w:sz w:val="14"/>
                <w:szCs w:val="14"/>
                <w:color w:val="auto"/>
              </w:rPr>
            </w:pPr>
          </w:p>
        </w:tc>
        <w:tc>
          <w:tcPr>
            <w:tcW w:w="1440" w:type="dxa"/>
            <w:vAlign w:val="bottom"/>
            <w:tcBorders>
              <w:right w:val="single" w:sz="8" w:color="2D53A6"/>
            </w:tcBorders>
            <w:shd w:val="clear" w:color="auto" w:fill="2D53A6"/>
          </w:tcPr>
          <w:p>
            <w:pPr>
              <w:spacing w:after="0"/>
              <w:rPr>
                <w:sz w:val="14"/>
                <w:szCs w:val="14"/>
                <w:color w:val="auto"/>
              </w:rPr>
            </w:pP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Dividends or</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440" w:type="dxa"/>
            <w:vAlign w:val="bottom"/>
            <w:tcBorders>
              <w:right w:val="single" w:sz="8" w:color="2D53A6"/>
            </w:tcBorders>
            <w:shd w:val="clear" w:color="auto" w:fill="2D53A6"/>
          </w:tcPr>
          <w:p>
            <w:pPr>
              <w:spacing w:after="0"/>
              <w:rPr>
                <w:sz w:val="14"/>
                <w:szCs w:val="14"/>
                <w:color w:val="auto"/>
              </w:rPr>
            </w:pPr>
          </w:p>
        </w:tc>
        <w:tc>
          <w:tcPr>
            <w:tcW w:w="1460" w:type="dxa"/>
            <w:vAlign w:val="bottom"/>
            <w:tcBorders>
              <w:right w:val="single" w:sz="8" w:color="2D53A6"/>
            </w:tcBorders>
            <w:shd w:val="clear" w:color="auto" w:fill="2D53A6"/>
          </w:tcPr>
          <w:p>
            <w:pPr>
              <w:spacing w:after="0"/>
              <w:rPr>
                <w:sz w:val="14"/>
                <w:szCs w:val="14"/>
                <w:color w:val="auto"/>
              </w:rPr>
            </w:pP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at the</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 Earnings</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440" w:type="dxa"/>
            <w:vAlign w:val="bottom"/>
            <w:tcBorders>
              <w:right w:val="single" w:sz="8" w:color="2D53A6"/>
            </w:tcBorders>
            <w:shd w:val="clear" w:color="auto" w:fill="2D53A6"/>
          </w:tcPr>
          <w:p>
            <w:pPr>
              <w:spacing w:after="0"/>
              <w:rPr>
                <w:sz w:val="14"/>
                <w:szCs w:val="14"/>
                <w:color w:val="auto"/>
              </w:rPr>
            </w:pP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over Year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End of the Prior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Paid on Stock</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Year over Year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of Equity</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or Option</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Vesting Date of</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that</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not</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Granted</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Failed to Meet</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Otherwise</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Year End Fair</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Outstanding</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Granted and</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in Prior Years</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Vesting</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Reflected in Fair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Total Equity</w:t>
            </w:r>
          </w:p>
        </w:tc>
      </w:tr>
      <w:tr>
        <w:trPr>
          <w:trHeight w:val="162"/>
        </w:trPr>
        <w:tc>
          <w:tcPr>
            <w:tcW w:w="102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and Unvested</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Vested in the</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that Vested in</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Conditions in</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or Total</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w:t>
            </w:r>
          </w:p>
        </w:tc>
      </w:tr>
      <w:tr>
        <w:trPr>
          <w:trHeight w:val="171"/>
        </w:trPr>
        <w:tc>
          <w:tcPr>
            <w:tcW w:w="1020" w:type="dxa"/>
            <w:vAlign w:val="bottom"/>
            <w:tcBorders>
              <w:left w:val="single" w:sz="8" w:color="2D53A6"/>
              <w:right w:val="single" w:sz="8" w:color="2D53A6"/>
            </w:tcBorders>
            <w:shd w:val="clear" w:color="auto" w:fill="2D53A6"/>
          </w:tcPr>
          <w:p>
            <w:pPr>
              <w:ind w:left="360"/>
              <w:spacing w:after="0"/>
              <w:rPr>
                <w:sz w:val="20"/>
                <w:szCs w:val="20"/>
                <w:color w:val="auto"/>
              </w:rPr>
            </w:pPr>
            <w:r>
              <w:rPr>
                <w:rFonts w:ascii="Arial" w:cs="Arial" w:eastAsia="Arial" w:hAnsi="Arial"/>
                <w:sz w:val="14"/>
                <w:szCs w:val="14"/>
                <w:b w:val="1"/>
                <w:bCs w:val="1"/>
                <w:color w:val="FFFFFF"/>
              </w:rPr>
              <w:t>Year</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the Year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the Year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Adjustments</w:t>
            </w:r>
          </w:p>
        </w:tc>
      </w:tr>
      <w:tr>
        <w:trPr>
          <w:trHeight w:val="176"/>
        </w:trPr>
        <w:tc>
          <w:tcPr>
            <w:tcW w:w="1020" w:type="dxa"/>
            <w:vAlign w:val="bottom"/>
            <w:tcBorders>
              <w:left w:val="single" w:sz="8" w:color="2D53A6"/>
              <w:right w:val="single" w:sz="8" w:color="2D53A6"/>
            </w:tcBorders>
            <w:shd w:val="clear" w:color="auto" w:fill="2D53A6"/>
          </w:tcPr>
          <w:p>
            <w:pPr>
              <w:spacing w:after="0"/>
              <w:rPr>
                <w:sz w:val="15"/>
                <w:szCs w:val="15"/>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1020" w:type="dxa"/>
            <w:vAlign w:val="bottom"/>
            <w:tcBorders>
              <w:left w:val="single" w:sz="8" w:color="2D53A6"/>
              <w:bottom w:val="single" w:sz="8" w:color="2D53A6"/>
              <w:right w:val="single" w:sz="8" w:color="2D53A6"/>
            </w:tcBorders>
          </w:tcPr>
          <w:p>
            <w:pPr>
              <w:ind w:left="360"/>
              <w:spacing w:after="0"/>
              <w:rPr>
                <w:sz w:val="20"/>
                <w:szCs w:val="20"/>
                <w:color w:val="auto"/>
              </w:rPr>
            </w:pPr>
            <w:r>
              <w:rPr>
                <w:rFonts w:ascii="Arial" w:cs="Arial" w:eastAsia="Arial" w:hAnsi="Arial"/>
                <w:sz w:val="14"/>
                <w:szCs w:val="14"/>
                <w:color w:val="auto"/>
              </w:rPr>
              <w:t>2025</w:t>
            </w:r>
          </w:p>
        </w:tc>
        <w:tc>
          <w:tcPr>
            <w:tcW w:w="150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5,465,854</w:t>
            </w:r>
          </w:p>
        </w:tc>
        <w:tc>
          <w:tcPr>
            <w:tcW w:w="150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(1,455,751)</w:t>
            </w:r>
          </w:p>
        </w:tc>
        <w:tc>
          <w:tcPr>
            <w:tcW w:w="144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(537,781)</w:t>
            </w:r>
          </w:p>
        </w:tc>
        <w:tc>
          <w:tcPr>
            <w:tcW w:w="144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3,472,322</w:t>
            </w:r>
          </w:p>
        </w:tc>
      </w:tr>
      <w:tr>
        <w:trPr>
          <w:trHeight w:val="156"/>
        </w:trPr>
        <w:tc>
          <w:tcPr>
            <w:tcW w:w="1020" w:type="dxa"/>
            <w:vAlign w:val="bottom"/>
            <w:tcBorders>
              <w:left w:val="single" w:sz="8" w:color="2D53A6"/>
              <w:bottom w:val="single" w:sz="8" w:color="2D53A6"/>
              <w:right w:val="single" w:sz="8" w:color="2D53A6"/>
            </w:tcBorders>
            <w:shd w:val="clear" w:color="auto" w:fill="E6E6E6"/>
          </w:tcPr>
          <w:p>
            <w:pPr>
              <w:ind w:left="360"/>
              <w:spacing w:after="0" w:line="155" w:lineRule="exact"/>
              <w:rPr>
                <w:sz w:val="20"/>
                <w:szCs w:val="20"/>
                <w:color w:val="auto"/>
              </w:rPr>
            </w:pPr>
            <w:r>
              <w:rPr>
                <w:rFonts w:ascii="Arial" w:cs="Arial" w:eastAsia="Arial" w:hAnsi="Arial"/>
                <w:sz w:val="14"/>
                <w:szCs w:val="14"/>
                <w:color w:val="auto"/>
              </w:rPr>
              <w:t>2024</w:t>
            </w:r>
          </w:p>
        </w:tc>
        <w:tc>
          <w:tcPr>
            <w:tcW w:w="150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2,376,980</w:t>
            </w:r>
          </w:p>
        </w:tc>
        <w:tc>
          <w:tcPr>
            <w:tcW w:w="15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(4,371,968)</w:t>
            </w:r>
          </w:p>
        </w:tc>
        <w:tc>
          <w:tcPr>
            <w:tcW w:w="14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(202,315)</w:t>
            </w:r>
          </w:p>
        </w:tc>
        <w:tc>
          <w:tcPr>
            <w:tcW w:w="144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(2,197,303)</w:t>
            </w:r>
          </w:p>
        </w:tc>
      </w:tr>
      <w:tr>
        <w:trPr>
          <w:trHeight w:val="155"/>
        </w:trPr>
        <w:tc>
          <w:tcPr>
            <w:tcW w:w="1020" w:type="dxa"/>
            <w:vAlign w:val="bottom"/>
            <w:tcBorders>
              <w:left w:val="single" w:sz="8" w:color="2D53A6"/>
              <w:bottom w:val="single" w:sz="8" w:color="2D53A6"/>
              <w:right w:val="single" w:sz="8" w:color="2D53A6"/>
            </w:tcBorders>
          </w:tcPr>
          <w:p>
            <w:pPr>
              <w:ind w:left="360"/>
              <w:spacing w:after="0" w:line="155" w:lineRule="exact"/>
              <w:rPr>
                <w:sz w:val="20"/>
                <w:szCs w:val="20"/>
                <w:color w:val="auto"/>
              </w:rPr>
            </w:pPr>
            <w:r>
              <w:rPr>
                <w:rFonts w:ascii="Arial" w:cs="Arial" w:eastAsia="Arial" w:hAnsi="Arial"/>
                <w:sz w:val="14"/>
                <w:szCs w:val="14"/>
                <w:color w:val="auto"/>
              </w:rPr>
              <w:t>2023</w:t>
            </w:r>
          </w:p>
        </w:tc>
        <w:tc>
          <w:tcPr>
            <w:tcW w:w="150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1,557,302</w:t>
            </w:r>
          </w:p>
        </w:tc>
        <w:tc>
          <w:tcPr>
            <w:tcW w:w="150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252,541</w:t>
            </w:r>
          </w:p>
        </w:tc>
        <w:tc>
          <w:tcPr>
            <w:tcW w:w="144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284,437</w:t>
            </w:r>
          </w:p>
        </w:tc>
        <w:tc>
          <w:tcPr>
            <w:tcW w:w="144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2,094,280</w:t>
            </w:r>
          </w:p>
        </w:tc>
      </w:tr>
      <w:tr>
        <w:trPr>
          <w:trHeight w:val="155"/>
        </w:trPr>
        <w:tc>
          <w:tcPr>
            <w:tcW w:w="1020" w:type="dxa"/>
            <w:vAlign w:val="bottom"/>
            <w:tcBorders>
              <w:left w:val="single" w:sz="8" w:color="2D53A6"/>
              <w:bottom w:val="single" w:sz="8" w:color="2D53A6"/>
              <w:right w:val="single" w:sz="8" w:color="2D53A6"/>
            </w:tcBorders>
            <w:shd w:val="clear" w:color="auto" w:fill="E6E6E6"/>
          </w:tcPr>
          <w:p>
            <w:pPr>
              <w:ind w:left="360"/>
              <w:spacing w:after="0" w:line="155" w:lineRule="exact"/>
              <w:rPr>
                <w:sz w:val="20"/>
                <w:szCs w:val="20"/>
                <w:color w:val="auto"/>
              </w:rPr>
            </w:pPr>
            <w:r>
              <w:rPr>
                <w:rFonts w:ascii="Arial" w:cs="Arial" w:eastAsia="Arial" w:hAnsi="Arial"/>
                <w:sz w:val="14"/>
                <w:szCs w:val="14"/>
                <w:color w:val="auto"/>
              </w:rPr>
              <w:t>2022</w:t>
            </w:r>
          </w:p>
        </w:tc>
        <w:tc>
          <w:tcPr>
            <w:tcW w:w="150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4,186,241</w:t>
            </w:r>
          </w:p>
        </w:tc>
        <w:tc>
          <w:tcPr>
            <w:tcW w:w="15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(287,392)</w:t>
            </w:r>
          </w:p>
        </w:tc>
        <w:tc>
          <w:tcPr>
            <w:tcW w:w="14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63,290</w:t>
            </w:r>
          </w:p>
        </w:tc>
        <w:tc>
          <w:tcPr>
            <w:tcW w:w="144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(549,262)</w:t>
            </w:r>
          </w:p>
        </w:tc>
        <w:tc>
          <w:tcPr>
            <w:tcW w:w="144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3,412,877</w:t>
            </w:r>
          </w:p>
        </w:tc>
      </w:tr>
      <w:tr>
        <w:trPr>
          <w:trHeight w:val="155"/>
        </w:trPr>
        <w:tc>
          <w:tcPr>
            <w:tcW w:w="1020" w:type="dxa"/>
            <w:vAlign w:val="bottom"/>
            <w:tcBorders>
              <w:left w:val="single" w:sz="8" w:color="2D53A6"/>
              <w:bottom w:val="single" w:sz="8" w:color="2D53A6"/>
              <w:right w:val="single" w:sz="8" w:color="2D53A6"/>
            </w:tcBorders>
          </w:tcPr>
          <w:p>
            <w:pPr>
              <w:ind w:left="360"/>
              <w:spacing w:after="0" w:line="155" w:lineRule="exact"/>
              <w:rPr>
                <w:sz w:val="20"/>
                <w:szCs w:val="20"/>
                <w:color w:val="auto"/>
              </w:rPr>
            </w:pPr>
            <w:r>
              <w:rPr>
                <w:rFonts w:ascii="Arial" w:cs="Arial" w:eastAsia="Arial" w:hAnsi="Arial"/>
                <w:sz w:val="14"/>
                <w:szCs w:val="14"/>
                <w:color w:val="auto"/>
              </w:rPr>
              <w:t>2021</w:t>
            </w:r>
          </w:p>
        </w:tc>
        <w:tc>
          <w:tcPr>
            <w:tcW w:w="150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2,406,454</w:t>
            </w:r>
          </w:p>
        </w:tc>
        <w:tc>
          <w:tcPr>
            <w:tcW w:w="15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(3,329,004)</w:t>
            </w:r>
          </w:p>
        </w:tc>
        <w:tc>
          <w:tcPr>
            <w:tcW w:w="144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191,516</w:t>
            </w:r>
          </w:p>
        </w:tc>
        <w:tc>
          <w:tcPr>
            <w:tcW w:w="144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(731,034)</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Average Other NEOs SCT Total to CAP Reconciliation</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 Reported</w:t>
            </w:r>
          </w:p>
        </w:tc>
        <w:tc>
          <w:tcPr>
            <w:tcW w:w="1720" w:type="dxa"/>
            <w:vAlign w:val="bottom"/>
            <w:tcBorders>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 Reported</w:t>
            </w:r>
          </w:p>
        </w:tc>
        <w:tc>
          <w:tcPr>
            <w:tcW w:w="166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spacing w:after="0"/>
              <w:rPr>
                <w:sz w:val="14"/>
                <w:szCs w:val="14"/>
                <w:color w:val="auto"/>
              </w:rPr>
            </w:pPr>
          </w:p>
        </w:tc>
      </w:tr>
      <w:tr>
        <w:trPr>
          <w:trHeight w:val="162"/>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Summary</w:t>
            </w:r>
          </w:p>
        </w:tc>
        <w:tc>
          <w:tcPr>
            <w:tcW w:w="1720" w:type="dxa"/>
            <w:vAlign w:val="bottom"/>
            <w:tcBorders>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the</w:t>
            </w:r>
          </w:p>
        </w:tc>
        <w:tc>
          <w:tcPr>
            <w:tcW w:w="166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spacing w:after="0"/>
              <w:rPr>
                <w:sz w:val="14"/>
                <w:szCs w:val="14"/>
                <w:color w:val="auto"/>
              </w:rPr>
            </w:pPr>
          </w:p>
        </w:tc>
      </w:tr>
      <w:tr>
        <w:trPr>
          <w:trHeight w:val="162"/>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 Reported</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 Equity</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Actuarial Present</w:t>
            </w:r>
          </w:p>
        </w:tc>
        <w:tc>
          <w:tcPr>
            <w:tcW w:w="166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spacing w:after="0"/>
              <w:rPr>
                <w:sz w:val="14"/>
                <w:szCs w:val="14"/>
                <w:color w:val="auto"/>
              </w:rPr>
            </w:pPr>
          </w:p>
        </w:tc>
      </w:tr>
      <w:tr>
        <w:trPr>
          <w:trHeight w:val="159"/>
        </w:trPr>
        <w:tc>
          <w:tcPr>
            <w:tcW w:w="1140" w:type="dxa"/>
            <w:vAlign w:val="bottom"/>
            <w:tcBorders>
              <w:left w:val="single" w:sz="8" w:color="2D53A6"/>
              <w:right w:val="single" w:sz="8" w:color="2D53A6"/>
            </w:tcBorders>
            <w:shd w:val="clear" w:color="auto" w:fill="2D53A6"/>
          </w:tcPr>
          <w:p>
            <w:pPr>
              <w:spacing w:after="0"/>
              <w:rPr>
                <w:sz w:val="13"/>
                <w:szCs w:val="13"/>
                <w:color w:val="auto"/>
              </w:rPr>
            </w:pPr>
          </w:p>
        </w:tc>
        <w:tc>
          <w:tcPr>
            <w:tcW w:w="17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w w:val="99"/>
              </w:rPr>
              <w:t>Table Total for</w:t>
            </w:r>
          </w:p>
        </w:tc>
        <w:tc>
          <w:tcPr>
            <w:tcW w:w="17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Value of Equity</w:t>
            </w:r>
          </w:p>
        </w:tc>
        <w:tc>
          <w:tcPr>
            <w:tcW w:w="16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Award</w:t>
            </w:r>
          </w:p>
        </w:tc>
        <w:tc>
          <w:tcPr>
            <w:tcW w:w="166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Value of Pension</w:t>
            </w:r>
          </w:p>
        </w:tc>
        <w:tc>
          <w:tcPr>
            <w:tcW w:w="166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Average Pension</w:t>
            </w:r>
          </w:p>
        </w:tc>
        <w:tc>
          <w:tcPr>
            <w:tcW w:w="166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Average CAP to</w:t>
            </w:r>
          </w:p>
        </w:tc>
      </w:tr>
      <w:tr>
        <w:trPr>
          <w:trHeight w:val="174"/>
        </w:trPr>
        <w:tc>
          <w:tcPr>
            <w:tcW w:w="1140" w:type="dxa"/>
            <w:vAlign w:val="bottom"/>
            <w:tcBorders>
              <w:left w:val="single" w:sz="8" w:color="2D53A6"/>
              <w:right w:val="single" w:sz="8" w:color="2D53A6"/>
            </w:tcBorders>
            <w:shd w:val="clear" w:color="auto" w:fill="2D53A6"/>
          </w:tcPr>
          <w:p>
            <w:pPr>
              <w:ind w:left="420"/>
              <w:spacing w:after="0"/>
              <w:rPr>
                <w:sz w:val="20"/>
                <w:szCs w:val="20"/>
                <w:color w:val="auto"/>
              </w:rPr>
            </w:pPr>
            <w:r>
              <w:rPr>
                <w:rFonts w:ascii="Arial" w:cs="Arial" w:eastAsia="Arial" w:hAnsi="Arial"/>
                <w:sz w:val="14"/>
                <w:szCs w:val="14"/>
                <w:b w:val="1"/>
                <w:bCs w:val="1"/>
                <w:color w:val="FFFFFF"/>
              </w:rPr>
              <w:t>Year</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 NEOs</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1680" w:type="dxa"/>
            <w:vAlign w:val="bottom"/>
            <w:tcBorders>
              <w:right w:val="single" w:sz="8" w:color="2D53A6"/>
            </w:tcBorders>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Adjustments</w:t>
            </w:r>
            <w:r>
              <w:rPr>
                <w:rFonts w:ascii="Arial" w:cs="Arial" w:eastAsia="Arial" w:hAnsi="Arial"/>
                <w:sz w:val="20"/>
                <w:szCs w:val="20"/>
                <w:b w:val="1"/>
                <w:bCs w:val="1"/>
                <w:color w:val="FFFFFF"/>
                <w:vertAlign w:val="superscript"/>
              </w:rPr>
              <w:t>(1)</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Benefits</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Benefits</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 NEOs</w:t>
            </w:r>
          </w:p>
        </w:tc>
      </w:tr>
      <w:tr>
        <w:trPr>
          <w:trHeight w:val="175"/>
        </w:trPr>
        <w:tc>
          <w:tcPr>
            <w:tcW w:w="1140" w:type="dxa"/>
            <w:vAlign w:val="bottom"/>
            <w:tcBorders>
              <w:left w:val="single" w:sz="8" w:color="2D53A6"/>
              <w:right w:val="single" w:sz="8" w:color="2D53A6"/>
            </w:tcBorders>
            <w:shd w:val="clear" w:color="auto" w:fill="2D53A6"/>
          </w:tcPr>
          <w:p>
            <w:pPr>
              <w:spacing w:after="0"/>
              <w:rPr>
                <w:sz w:val="15"/>
                <w:szCs w:val="15"/>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1140" w:type="dxa"/>
            <w:vAlign w:val="bottom"/>
            <w:tcBorders>
              <w:left w:val="single" w:sz="8" w:color="2D53A6"/>
              <w:bottom w:val="single" w:sz="8" w:color="2D53A6"/>
              <w:right w:val="single" w:sz="8" w:color="2D53A6"/>
            </w:tcBorders>
          </w:tcPr>
          <w:p>
            <w:pPr>
              <w:ind w:left="420"/>
              <w:spacing w:after="0"/>
              <w:rPr>
                <w:sz w:val="20"/>
                <w:szCs w:val="20"/>
                <w:color w:val="auto"/>
              </w:rPr>
            </w:pPr>
            <w:r>
              <w:rPr>
                <w:rFonts w:ascii="Arial" w:cs="Arial" w:eastAsia="Arial" w:hAnsi="Arial"/>
                <w:sz w:val="14"/>
                <w:szCs w:val="14"/>
                <w:color w:val="auto"/>
              </w:rPr>
              <w:t>2025</w:t>
            </w:r>
          </w:p>
        </w:tc>
        <w:tc>
          <w:tcPr>
            <w:tcW w:w="172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1,364,226</w:t>
            </w:r>
          </w:p>
        </w:tc>
        <w:tc>
          <w:tcPr>
            <w:tcW w:w="172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(716,935)</w:t>
            </w:r>
          </w:p>
        </w:tc>
        <w:tc>
          <w:tcPr>
            <w:tcW w:w="1680" w:type="dxa"/>
            <w:vAlign w:val="bottom"/>
            <w:tcBorders>
              <w:bottom w:val="single" w:sz="8" w:color="2D53A6"/>
              <w:right w:val="single" w:sz="8" w:color="2D53A6"/>
            </w:tcBorders>
          </w:tcPr>
          <w:p>
            <w:pPr>
              <w:jc w:val="right"/>
              <w:ind w:right="29"/>
              <w:spacing w:after="0"/>
              <w:rPr>
                <w:sz w:val="20"/>
                <w:szCs w:val="20"/>
                <w:color w:val="auto"/>
              </w:rPr>
            </w:pPr>
            <w:r>
              <w:rPr>
                <w:rFonts w:ascii="Arial" w:cs="Arial" w:eastAsia="Arial" w:hAnsi="Arial"/>
                <w:sz w:val="14"/>
                <w:szCs w:val="14"/>
                <w:color w:val="auto"/>
              </w:rPr>
              <w:t>805,079</w:t>
            </w:r>
          </w:p>
        </w:tc>
        <w:tc>
          <w:tcPr>
            <w:tcW w:w="1660" w:type="dxa"/>
            <w:vAlign w:val="bottom"/>
            <w:tcBorders>
              <w:bottom w:val="single" w:sz="8" w:color="2D53A6"/>
              <w:right w:val="single" w:sz="8" w:color="2D53A6"/>
            </w:tcBorders>
          </w:tcPr>
          <w:p>
            <w:pPr>
              <w:ind w:left="1320"/>
              <w:spacing w:after="0"/>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ind w:left="1320"/>
              <w:spacing w:after="0"/>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1,452,370</w:t>
            </w:r>
          </w:p>
        </w:tc>
      </w:tr>
      <w:tr>
        <w:trPr>
          <w:trHeight w:val="156"/>
        </w:trPr>
        <w:tc>
          <w:tcPr>
            <w:tcW w:w="1140" w:type="dxa"/>
            <w:vAlign w:val="bottom"/>
            <w:tcBorders>
              <w:left w:val="single" w:sz="8" w:color="2D53A6"/>
              <w:bottom w:val="single" w:sz="8" w:color="2D53A6"/>
              <w:right w:val="single" w:sz="8" w:color="2D53A6"/>
            </w:tcBorders>
            <w:shd w:val="clear" w:color="auto" w:fill="E6E6E6"/>
          </w:tcPr>
          <w:p>
            <w:pPr>
              <w:ind w:left="420"/>
              <w:spacing w:after="0" w:line="155" w:lineRule="exact"/>
              <w:rPr>
                <w:sz w:val="20"/>
                <w:szCs w:val="20"/>
                <w:color w:val="auto"/>
              </w:rPr>
            </w:pPr>
            <w:r>
              <w:rPr>
                <w:rFonts w:ascii="Arial" w:cs="Arial" w:eastAsia="Arial" w:hAnsi="Arial"/>
                <w:sz w:val="14"/>
                <w:szCs w:val="14"/>
                <w:color w:val="auto"/>
              </w:rPr>
              <w:t>2024</w:t>
            </w:r>
          </w:p>
        </w:tc>
        <w:tc>
          <w:tcPr>
            <w:tcW w:w="172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1,286,156</w:t>
            </w:r>
          </w:p>
        </w:tc>
        <w:tc>
          <w:tcPr>
            <w:tcW w:w="172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(861,091)</w:t>
            </w:r>
          </w:p>
        </w:tc>
        <w:tc>
          <w:tcPr>
            <w:tcW w:w="168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(568,323)</w:t>
            </w:r>
          </w:p>
        </w:tc>
        <w:tc>
          <w:tcPr>
            <w:tcW w:w="1660" w:type="dxa"/>
            <w:vAlign w:val="bottom"/>
            <w:tcBorders>
              <w:bottom w:val="single" w:sz="8" w:color="2D53A6"/>
              <w:right w:val="single" w:sz="8" w:color="2D53A6"/>
            </w:tcBorders>
            <w:shd w:val="clear" w:color="auto" w:fill="E6E6E6"/>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shd w:val="clear" w:color="auto" w:fill="E6E6E6"/>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(143,258)</w:t>
            </w:r>
          </w:p>
        </w:tc>
      </w:tr>
      <w:tr>
        <w:trPr>
          <w:trHeight w:val="155"/>
        </w:trPr>
        <w:tc>
          <w:tcPr>
            <w:tcW w:w="1140" w:type="dxa"/>
            <w:vAlign w:val="bottom"/>
            <w:tcBorders>
              <w:left w:val="single" w:sz="8" w:color="2D53A6"/>
              <w:bottom w:val="single" w:sz="8" w:color="2D53A6"/>
              <w:right w:val="single" w:sz="8" w:color="2D53A6"/>
            </w:tcBorders>
          </w:tcPr>
          <w:p>
            <w:pPr>
              <w:ind w:left="420"/>
              <w:spacing w:after="0" w:line="155" w:lineRule="exact"/>
              <w:rPr>
                <w:sz w:val="20"/>
                <w:szCs w:val="20"/>
                <w:color w:val="auto"/>
              </w:rPr>
            </w:pPr>
            <w:r>
              <w:rPr>
                <w:rFonts w:ascii="Arial" w:cs="Arial" w:eastAsia="Arial" w:hAnsi="Arial"/>
                <w:sz w:val="14"/>
                <w:szCs w:val="14"/>
                <w:color w:val="auto"/>
              </w:rPr>
              <w:t>2023</w:t>
            </w:r>
          </w:p>
        </w:tc>
        <w:tc>
          <w:tcPr>
            <w:tcW w:w="172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1,727,107</w:t>
            </w:r>
          </w:p>
        </w:tc>
        <w:tc>
          <w:tcPr>
            <w:tcW w:w="172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(1,054,404)</w:t>
            </w:r>
          </w:p>
        </w:tc>
        <w:tc>
          <w:tcPr>
            <w:tcW w:w="1680" w:type="dxa"/>
            <w:vAlign w:val="bottom"/>
            <w:tcBorders>
              <w:bottom w:val="single" w:sz="8" w:color="2D53A6"/>
              <w:right w:val="single" w:sz="8" w:color="2D53A6"/>
            </w:tcBorders>
          </w:tcPr>
          <w:p>
            <w:pPr>
              <w:jc w:val="right"/>
              <w:ind w:right="29"/>
              <w:spacing w:after="0" w:line="155" w:lineRule="exact"/>
              <w:rPr>
                <w:sz w:val="20"/>
                <w:szCs w:val="20"/>
                <w:color w:val="auto"/>
              </w:rPr>
            </w:pPr>
            <w:r>
              <w:rPr>
                <w:rFonts w:ascii="Arial" w:cs="Arial" w:eastAsia="Arial" w:hAnsi="Arial"/>
                <w:sz w:val="14"/>
                <w:szCs w:val="14"/>
                <w:color w:val="auto"/>
              </w:rPr>
              <w:t>795,768</w:t>
            </w:r>
          </w:p>
        </w:tc>
        <w:tc>
          <w:tcPr>
            <w:tcW w:w="1660" w:type="dxa"/>
            <w:vAlign w:val="bottom"/>
            <w:tcBorders>
              <w:bottom w:val="single" w:sz="8" w:color="2D53A6"/>
              <w:right w:val="single" w:sz="8" w:color="2D53A6"/>
            </w:tcBorders>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1,468,471</w:t>
            </w:r>
          </w:p>
        </w:tc>
      </w:tr>
      <w:tr>
        <w:trPr>
          <w:trHeight w:val="155"/>
        </w:trPr>
        <w:tc>
          <w:tcPr>
            <w:tcW w:w="1140" w:type="dxa"/>
            <w:vAlign w:val="bottom"/>
            <w:tcBorders>
              <w:left w:val="single" w:sz="8" w:color="2D53A6"/>
              <w:bottom w:val="single" w:sz="8" w:color="2D53A6"/>
              <w:right w:val="single" w:sz="8" w:color="2D53A6"/>
            </w:tcBorders>
            <w:shd w:val="clear" w:color="auto" w:fill="E6E6E6"/>
          </w:tcPr>
          <w:p>
            <w:pPr>
              <w:ind w:left="420"/>
              <w:spacing w:after="0" w:line="155" w:lineRule="exact"/>
              <w:rPr>
                <w:sz w:val="20"/>
                <w:szCs w:val="20"/>
                <w:color w:val="auto"/>
              </w:rPr>
            </w:pPr>
            <w:r>
              <w:rPr>
                <w:rFonts w:ascii="Arial" w:cs="Arial" w:eastAsia="Arial" w:hAnsi="Arial"/>
                <w:sz w:val="14"/>
                <w:szCs w:val="14"/>
                <w:color w:val="auto"/>
              </w:rPr>
              <w:t>2022</w:t>
            </w:r>
          </w:p>
        </w:tc>
        <w:tc>
          <w:tcPr>
            <w:tcW w:w="172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1,546,037</w:t>
            </w:r>
          </w:p>
        </w:tc>
        <w:tc>
          <w:tcPr>
            <w:tcW w:w="172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(693,436)</w:t>
            </w:r>
          </w:p>
        </w:tc>
        <w:tc>
          <w:tcPr>
            <w:tcW w:w="1680" w:type="dxa"/>
            <w:vAlign w:val="bottom"/>
            <w:tcBorders>
              <w:bottom w:val="single" w:sz="8" w:color="2D53A6"/>
              <w:right w:val="single" w:sz="8" w:color="2D53A6"/>
            </w:tcBorders>
            <w:shd w:val="clear" w:color="auto" w:fill="E6E6E6"/>
          </w:tcPr>
          <w:p>
            <w:pPr>
              <w:jc w:val="right"/>
              <w:ind w:right="29"/>
              <w:spacing w:after="0" w:line="155" w:lineRule="exact"/>
              <w:rPr>
                <w:sz w:val="20"/>
                <w:szCs w:val="20"/>
                <w:color w:val="auto"/>
              </w:rPr>
            </w:pPr>
            <w:r>
              <w:rPr>
                <w:rFonts w:ascii="Arial" w:cs="Arial" w:eastAsia="Arial" w:hAnsi="Arial"/>
                <w:sz w:val="14"/>
                <w:szCs w:val="14"/>
                <w:color w:val="auto"/>
              </w:rPr>
              <w:t>695,282</w:t>
            </w:r>
          </w:p>
        </w:tc>
        <w:tc>
          <w:tcPr>
            <w:tcW w:w="1660" w:type="dxa"/>
            <w:vAlign w:val="bottom"/>
            <w:tcBorders>
              <w:bottom w:val="single" w:sz="8" w:color="2D53A6"/>
              <w:right w:val="single" w:sz="8" w:color="2D53A6"/>
            </w:tcBorders>
            <w:shd w:val="clear" w:color="auto" w:fill="E6E6E6"/>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shd w:val="clear" w:color="auto" w:fill="E6E6E6"/>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1,547,883</w:t>
            </w:r>
          </w:p>
        </w:tc>
      </w:tr>
      <w:tr>
        <w:trPr>
          <w:trHeight w:val="155"/>
        </w:trPr>
        <w:tc>
          <w:tcPr>
            <w:tcW w:w="1140" w:type="dxa"/>
            <w:vAlign w:val="bottom"/>
            <w:tcBorders>
              <w:left w:val="single" w:sz="8" w:color="2D53A6"/>
              <w:bottom w:val="single" w:sz="8" w:color="2D53A6"/>
              <w:right w:val="single" w:sz="8" w:color="2D53A6"/>
            </w:tcBorders>
          </w:tcPr>
          <w:p>
            <w:pPr>
              <w:ind w:left="420"/>
              <w:spacing w:after="0" w:line="155" w:lineRule="exact"/>
              <w:rPr>
                <w:sz w:val="20"/>
                <w:szCs w:val="20"/>
                <w:color w:val="auto"/>
              </w:rPr>
            </w:pPr>
            <w:r>
              <w:rPr>
                <w:rFonts w:ascii="Arial" w:cs="Arial" w:eastAsia="Arial" w:hAnsi="Arial"/>
                <w:sz w:val="14"/>
                <w:szCs w:val="14"/>
                <w:color w:val="auto"/>
              </w:rPr>
              <w:t>2021</w:t>
            </w:r>
          </w:p>
        </w:tc>
        <w:tc>
          <w:tcPr>
            <w:tcW w:w="172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1,360,173</w:t>
            </w:r>
          </w:p>
        </w:tc>
        <w:tc>
          <w:tcPr>
            <w:tcW w:w="172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(610,078)</w:t>
            </w:r>
          </w:p>
        </w:tc>
        <w:tc>
          <w:tcPr>
            <w:tcW w:w="168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(152,107)</w:t>
            </w:r>
          </w:p>
        </w:tc>
        <w:tc>
          <w:tcPr>
            <w:tcW w:w="1660" w:type="dxa"/>
            <w:vAlign w:val="bottom"/>
            <w:tcBorders>
              <w:bottom w:val="single" w:sz="8" w:color="2D53A6"/>
              <w:right w:val="single" w:sz="8" w:color="2D53A6"/>
            </w:tcBorders>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ind w:left="132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597,988</w:t>
            </w:r>
          </w:p>
        </w:tc>
      </w:tr>
    </w:tbl>
    <w:p>
      <w:pPr>
        <w:spacing w:after="0" w:line="19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deducted or added in calculating the equity award adjustments are detailed in the Equity Component of CAP Reconciliation tables that follow.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NEO Equity Component of CAP Reconciliation</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at the</w:t>
            </w:r>
          </w:p>
        </w:tc>
        <w:tc>
          <w:tcPr>
            <w:tcW w:w="1660" w:type="dxa"/>
            <w:vAlign w:val="bottom"/>
            <w:tcBorders>
              <w:right w:val="single" w:sz="8" w:color="2D53A6"/>
            </w:tcBorders>
            <w:shd w:val="clear" w:color="auto" w:fill="2D53A6"/>
          </w:tcPr>
          <w:p>
            <w:pPr>
              <w:spacing w:after="0"/>
              <w:rPr>
                <w:sz w:val="14"/>
                <w:szCs w:val="14"/>
                <w:color w:val="auto"/>
              </w:rPr>
            </w:pPr>
          </w:p>
        </w:tc>
      </w:tr>
      <w:tr>
        <w:trPr>
          <w:trHeight w:val="162"/>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End of the Prior</w:t>
            </w:r>
          </w:p>
        </w:tc>
        <w:tc>
          <w:tcPr>
            <w:tcW w:w="1660" w:type="dxa"/>
            <w:vAlign w:val="bottom"/>
            <w:tcBorders>
              <w:right w:val="single" w:sz="8" w:color="2D53A6"/>
            </w:tcBorders>
            <w:shd w:val="clear" w:color="auto" w:fill="2D53A6"/>
          </w:tcPr>
          <w:p>
            <w:pPr>
              <w:spacing w:after="0"/>
              <w:rPr>
                <w:sz w:val="14"/>
                <w:szCs w:val="14"/>
                <w:color w:val="auto"/>
              </w:rPr>
            </w:pPr>
          </w:p>
        </w:tc>
      </w:tr>
      <w:tr>
        <w:trPr>
          <w:trHeight w:val="162"/>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Year over Year</w:t>
            </w:r>
          </w:p>
        </w:tc>
        <w:tc>
          <w:tcPr>
            <w:tcW w:w="168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Year over Year</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of Equity</w:t>
            </w:r>
          </w:p>
        </w:tc>
        <w:tc>
          <w:tcPr>
            <w:tcW w:w="1660" w:type="dxa"/>
            <w:vAlign w:val="bottom"/>
            <w:tcBorders>
              <w:right w:val="single" w:sz="8" w:color="2D53A6"/>
            </w:tcBorders>
            <w:shd w:val="clear" w:color="auto" w:fill="2D53A6"/>
          </w:tcPr>
          <w:p>
            <w:pPr>
              <w:spacing w:after="0"/>
              <w:rPr>
                <w:sz w:val="14"/>
                <w:szCs w:val="14"/>
                <w:color w:val="auto"/>
              </w:rPr>
            </w:pPr>
          </w:p>
        </w:tc>
      </w:tr>
      <w:tr>
        <w:trPr>
          <w:trHeight w:val="162"/>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that</w:t>
            </w:r>
          </w:p>
        </w:tc>
        <w:tc>
          <w:tcPr>
            <w:tcW w:w="1660" w:type="dxa"/>
            <w:vAlign w:val="bottom"/>
            <w:tcBorders>
              <w:right w:val="single" w:sz="8" w:color="2D53A6"/>
            </w:tcBorders>
            <w:shd w:val="clear" w:color="auto" w:fill="2D53A6"/>
          </w:tcPr>
          <w:p>
            <w:pPr>
              <w:spacing w:after="0"/>
              <w:rPr>
                <w:sz w:val="14"/>
                <w:szCs w:val="14"/>
                <w:color w:val="auto"/>
              </w:rPr>
            </w:pPr>
          </w:p>
        </w:tc>
      </w:tr>
      <w:tr>
        <w:trPr>
          <w:trHeight w:val="162"/>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Vesting Date of</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Failed to Meet</w:t>
            </w:r>
          </w:p>
        </w:tc>
        <w:tc>
          <w:tcPr>
            <w:tcW w:w="1660" w:type="dxa"/>
            <w:vAlign w:val="bottom"/>
            <w:tcBorders>
              <w:right w:val="single" w:sz="8" w:color="2D53A6"/>
            </w:tcBorders>
            <w:shd w:val="clear" w:color="auto" w:fill="2D53A6"/>
          </w:tcPr>
          <w:p>
            <w:pPr>
              <w:spacing w:after="0"/>
              <w:rPr>
                <w:sz w:val="14"/>
                <w:szCs w:val="14"/>
                <w:color w:val="auto"/>
              </w:rPr>
            </w:pPr>
          </w:p>
        </w:tc>
      </w:tr>
      <w:tr>
        <w:trPr>
          <w:trHeight w:val="162"/>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End Fair</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Outstanding and</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Granted</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Vesting</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Total Equity</w:t>
            </w:r>
          </w:p>
        </w:tc>
      </w:tr>
      <w:tr>
        <w:trPr>
          <w:trHeight w:val="162"/>
        </w:trPr>
        <w:tc>
          <w:tcPr>
            <w:tcW w:w="1140" w:type="dxa"/>
            <w:vAlign w:val="bottom"/>
            <w:tcBorders>
              <w:left w:val="single" w:sz="8" w:color="2D53A6"/>
              <w:right w:val="single" w:sz="8" w:color="2D53A6"/>
            </w:tcBorders>
            <w:shd w:val="clear" w:color="auto" w:fill="2D53A6"/>
          </w:tcPr>
          <w:p>
            <w:pPr>
              <w:spacing w:after="0"/>
              <w:rPr>
                <w:sz w:val="14"/>
                <w:szCs w:val="14"/>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Unvested Equity</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Granted and</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in Prior Years that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Conditions in the</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Award</w:t>
            </w:r>
          </w:p>
        </w:tc>
      </w:tr>
      <w:tr>
        <w:trPr>
          <w:trHeight w:val="171"/>
        </w:trPr>
        <w:tc>
          <w:tcPr>
            <w:tcW w:w="1140" w:type="dxa"/>
            <w:vAlign w:val="bottom"/>
            <w:tcBorders>
              <w:left w:val="single" w:sz="8" w:color="2D53A6"/>
              <w:right w:val="single" w:sz="8" w:color="2D53A6"/>
            </w:tcBorders>
            <w:shd w:val="clear" w:color="auto" w:fill="2D53A6"/>
          </w:tcPr>
          <w:p>
            <w:pPr>
              <w:ind w:left="420"/>
              <w:spacing w:after="0"/>
              <w:rPr>
                <w:sz w:val="20"/>
                <w:szCs w:val="20"/>
                <w:color w:val="auto"/>
              </w:rPr>
            </w:pPr>
            <w:r>
              <w:rPr>
                <w:rFonts w:ascii="Arial" w:cs="Arial" w:eastAsia="Arial" w:hAnsi="Arial"/>
                <w:sz w:val="14"/>
                <w:szCs w:val="14"/>
                <w:b w:val="1"/>
                <w:bCs w:val="1"/>
                <w:color w:val="FFFFFF"/>
              </w:rPr>
              <w:t>Year</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Vested in the Year</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Vested in the Year</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Adjustments</w:t>
            </w:r>
          </w:p>
        </w:tc>
      </w:tr>
      <w:tr>
        <w:trPr>
          <w:trHeight w:val="176"/>
        </w:trPr>
        <w:tc>
          <w:tcPr>
            <w:tcW w:w="1140" w:type="dxa"/>
            <w:vAlign w:val="bottom"/>
            <w:tcBorders>
              <w:left w:val="single" w:sz="8" w:color="2D53A6"/>
              <w:right w:val="single" w:sz="8" w:color="2D53A6"/>
            </w:tcBorders>
            <w:shd w:val="clear" w:color="auto" w:fill="2D53A6"/>
          </w:tcPr>
          <w:p>
            <w:pPr>
              <w:spacing w:after="0"/>
              <w:rPr>
                <w:sz w:val="15"/>
                <w:szCs w:val="15"/>
                <w:color w:val="auto"/>
              </w:rPr>
            </w:pP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1140" w:type="dxa"/>
            <w:vAlign w:val="bottom"/>
            <w:tcBorders>
              <w:left w:val="single" w:sz="8" w:color="2D53A6"/>
              <w:bottom w:val="single" w:sz="8" w:color="2D53A6"/>
              <w:right w:val="single" w:sz="8" w:color="2D53A6"/>
            </w:tcBorders>
          </w:tcPr>
          <w:p>
            <w:pPr>
              <w:ind w:left="420"/>
              <w:spacing w:after="0"/>
              <w:rPr>
                <w:sz w:val="20"/>
                <w:szCs w:val="20"/>
                <w:color w:val="auto"/>
              </w:rPr>
            </w:pPr>
            <w:r>
              <w:rPr>
                <w:rFonts w:ascii="Arial" w:cs="Arial" w:eastAsia="Arial" w:hAnsi="Arial"/>
                <w:sz w:val="14"/>
                <w:szCs w:val="14"/>
                <w:color w:val="auto"/>
              </w:rPr>
              <w:t>2025</w:t>
            </w:r>
          </w:p>
        </w:tc>
        <w:tc>
          <w:tcPr>
            <w:tcW w:w="172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1,271,554</w:t>
            </w:r>
          </w:p>
        </w:tc>
        <w:tc>
          <w:tcPr>
            <w:tcW w:w="172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(341,642)</w:t>
            </w:r>
          </w:p>
        </w:tc>
        <w:tc>
          <w:tcPr>
            <w:tcW w:w="168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(124,833)</w:t>
            </w:r>
          </w:p>
        </w:tc>
        <w:tc>
          <w:tcPr>
            <w:tcW w:w="16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805,079</w:t>
            </w:r>
          </w:p>
        </w:tc>
      </w:tr>
      <w:tr>
        <w:trPr>
          <w:trHeight w:val="156"/>
        </w:trPr>
        <w:tc>
          <w:tcPr>
            <w:tcW w:w="1140" w:type="dxa"/>
            <w:vAlign w:val="bottom"/>
            <w:tcBorders>
              <w:left w:val="single" w:sz="8" w:color="2D53A6"/>
              <w:bottom w:val="single" w:sz="8" w:color="2D53A6"/>
              <w:right w:val="single" w:sz="8" w:color="2D53A6"/>
            </w:tcBorders>
            <w:shd w:val="clear" w:color="auto" w:fill="E6E6E6"/>
          </w:tcPr>
          <w:p>
            <w:pPr>
              <w:ind w:left="420"/>
              <w:spacing w:after="0" w:line="155" w:lineRule="exact"/>
              <w:rPr>
                <w:sz w:val="20"/>
                <w:szCs w:val="20"/>
                <w:color w:val="auto"/>
              </w:rPr>
            </w:pPr>
            <w:r>
              <w:rPr>
                <w:rFonts w:ascii="Arial" w:cs="Arial" w:eastAsia="Arial" w:hAnsi="Arial"/>
                <w:sz w:val="14"/>
                <w:szCs w:val="14"/>
                <w:color w:val="auto"/>
              </w:rPr>
              <w:t>2024</w:t>
            </w:r>
          </w:p>
        </w:tc>
        <w:tc>
          <w:tcPr>
            <w:tcW w:w="172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518,278</w:t>
            </w:r>
          </w:p>
        </w:tc>
        <w:tc>
          <w:tcPr>
            <w:tcW w:w="172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(1,039,301)</w:t>
            </w:r>
          </w:p>
        </w:tc>
        <w:tc>
          <w:tcPr>
            <w:tcW w:w="168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(47,300)</w:t>
            </w:r>
          </w:p>
        </w:tc>
        <w:tc>
          <w:tcPr>
            <w:tcW w:w="16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(568,323)</w:t>
            </w:r>
          </w:p>
        </w:tc>
      </w:tr>
      <w:tr>
        <w:trPr>
          <w:trHeight w:val="156"/>
        </w:trPr>
        <w:tc>
          <w:tcPr>
            <w:tcW w:w="1140" w:type="dxa"/>
            <w:vAlign w:val="bottom"/>
            <w:tcBorders>
              <w:left w:val="single" w:sz="8" w:color="2D53A6"/>
              <w:bottom w:val="single" w:sz="8" w:color="2D53A6"/>
              <w:right w:val="single" w:sz="8" w:color="2D53A6"/>
            </w:tcBorders>
          </w:tcPr>
          <w:p>
            <w:pPr>
              <w:ind w:left="420"/>
              <w:spacing w:after="0" w:line="155" w:lineRule="exact"/>
              <w:rPr>
                <w:sz w:val="20"/>
                <w:szCs w:val="20"/>
                <w:color w:val="auto"/>
              </w:rPr>
            </w:pPr>
            <w:r>
              <w:rPr>
                <w:rFonts w:ascii="Arial" w:cs="Arial" w:eastAsia="Arial" w:hAnsi="Arial"/>
                <w:sz w:val="14"/>
                <w:szCs w:val="14"/>
                <w:color w:val="auto"/>
              </w:rPr>
              <w:t>2023</w:t>
            </w:r>
          </w:p>
        </w:tc>
        <w:tc>
          <w:tcPr>
            <w:tcW w:w="172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391,724</w:t>
            </w:r>
          </w:p>
        </w:tc>
        <w:tc>
          <w:tcPr>
            <w:tcW w:w="1720" w:type="dxa"/>
            <w:vAlign w:val="bottom"/>
            <w:tcBorders>
              <w:bottom w:val="single" w:sz="8" w:color="2D53A6"/>
              <w:right w:val="single" w:sz="8" w:color="2D53A6"/>
            </w:tcBorders>
          </w:tcPr>
          <w:p>
            <w:pPr>
              <w:jc w:val="right"/>
              <w:ind w:right="68"/>
              <w:spacing w:after="0" w:line="155" w:lineRule="exact"/>
              <w:rPr>
                <w:sz w:val="20"/>
                <w:szCs w:val="20"/>
                <w:color w:val="auto"/>
              </w:rPr>
            </w:pPr>
            <w:r>
              <w:rPr>
                <w:rFonts w:ascii="Arial" w:cs="Arial" w:eastAsia="Arial" w:hAnsi="Arial"/>
                <w:sz w:val="14"/>
                <w:szCs w:val="14"/>
                <w:color w:val="auto"/>
              </w:rPr>
              <w:t>46,783</w:t>
            </w:r>
          </w:p>
        </w:tc>
        <w:tc>
          <w:tcPr>
            <w:tcW w:w="168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357,261</w:t>
            </w:r>
          </w:p>
        </w:tc>
        <w:tc>
          <w:tcPr>
            <w:tcW w:w="16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795,768</w:t>
            </w:r>
          </w:p>
        </w:tc>
      </w:tr>
      <w:tr>
        <w:trPr>
          <w:trHeight w:val="155"/>
        </w:trPr>
        <w:tc>
          <w:tcPr>
            <w:tcW w:w="1140" w:type="dxa"/>
            <w:vAlign w:val="bottom"/>
            <w:tcBorders>
              <w:left w:val="single" w:sz="8" w:color="2D53A6"/>
              <w:bottom w:val="single" w:sz="8" w:color="2D53A6"/>
              <w:right w:val="single" w:sz="8" w:color="2D53A6"/>
            </w:tcBorders>
            <w:shd w:val="clear" w:color="auto" w:fill="E6E6E6"/>
          </w:tcPr>
          <w:p>
            <w:pPr>
              <w:ind w:left="420"/>
              <w:spacing w:after="0" w:line="155" w:lineRule="exact"/>
              <w:rPr>
                <w:sz w:val="20"/>
                <w:szCs w:val="20"/>
                <w:color w:val="auto"/>
              </w:rPr>
            </w:pPr>
            <w:r>
              <w:rPr>
                <w:rFonts w:ascii="Arial" w:cs="Arial" w:eastAsia="Arial" w:hAnsi="Arial"/>
                <w:sz w:val="14"/>
                <w:szCs w:val="14"/>
                <w:color w:val="auto"/>
              </w:rPr>
              <w:t>2022</w:t>
            </w:r>
          </w:p>
        </w:tc>
        <w:tc>
          <w:tcPr>
            <w:tcW w:w="172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873,864</w:t>
            </w:r>
          </w:p>
        </w:tc>
        <w:tc>
          <w:tcPr>
            <w:tcW w:w="172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(61,393)</w:t>
            </w:r>
          </w:p>
        </w:tc>
        <w:tc>
          <w:tcPr>
            <w:tcW w:w="168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(1,846)</w:t>
            </w:r>
          </w:p>
        </w:tc>
        <w:tc>
          <w:tcPr>
            <w:tcW w:w="166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(115,343)</w:t>
            </w:r>
          </w:p>
        </w:tc>
        <w:tc>
          <w:tcPr>
            <w:tcW w:w="16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695,282</w:t>
            </w:r>
          </w:p>
        </w:tc>
      </w:tr>
      <w:tr>
        <w:trPr>
          <w:trHeight w:val="156"/>
        </w:trPr>
        <w:tc>
          <w:tcPr>
            <w:tcW w:w="1140" w:type="dxa"/>
            <w:vAlign w:val="bottom"/>
            <w:tcBorders>
              <w:left w:val="single" w:sz="8" w:color="2D53A6"/>
              <w:bottom w:val="single" w:sz="8" w:color="2D53A6"/>
              <w:right w:val="single" w:sz="8" w:color="2D53A6"/>
            </w:tcBorders>
          </w:tcPr>
          <w:p>
            <w:pPr>
              <w:ind w:left="420"/>
              <w:spacing w:after="0" w:line="155" w:lineRule="exact"/>
              <w:rPr>
                <w:sz w:val="20"/>
                <w:szCs w:val="20"/>
                <w:color w:val="auto"/>
              </w:rPr>
            </w:pPr>
            <w:r>
              <w:rPr>
                <w:rFonts w:ascii="Arial" w:cs="Arial" w:eastAsia="Arial" w:hAnsi="Arial"/>
                <w:sz w:val="14"/>
                <w:szCs w:val="14"/>
                <w:color w:val="auto"/>
              </w:rPr>
              <w:t>2021</w:t>
            </w:r>
          </w:p>
        </w:tc>
        <w:tc>
          <w:tcPr>
            <w:tcW w:w="172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507,725</w:t>
            </w:r>
          </w:p>
        </w:tc>
        <w:tc>
          <w:tcPr>
            <w:tcW w:w="172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(695,566)</w:t>
            </w:r>
          </w:p>
        </w:tc>
        <w:tc>
          <w:tcPr>
            <w:tcW w:w="168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35,734</w:t>
            </w:r>
          </w:p>
        </w:tc>
        <w:tc>
          <w:tcPr>
            <w:tcW w:w="16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(152,107)</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Tabular List of Financial Performance Measures</w:t>
      </w:r>
    </w:p>
    <w:p>
      <w:pPr>
        <w:spacing w:after="0" w:line="20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As described in greater detail in the CD&amp;A, Cohu’s executive compensation program reflects a variable pay-for-performance philosophy. The metrics used for both our long-term and short-term incentive programs are selected to incentivize our NEOs to increase the value of our enterprise to our stockholders. We use three financial performance measures to determine the compensation of our CEO and all other NEOs as discussed in the CD&amp;A above. The most important financial performance measures used by Cohu to link executive compensation actually paid to the NEOs for the most recently completed fiscal year are:</w:t>
      </w:r>
    </w:p>
    <w:p>
      <w:pPr>
        <w:spacing w:after="0" w:line="163" w:lineRule="exact"/>
        <w:rPr>
          <w:sz w:val="20"/>
          <w:szCs w:val="20"/>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Relative Total Stockholder Return (RTSR) of Cohu stock versus the Russel 2000 Index</w:t>
      </w:r>
    </w:p>
    <w:p>
      <w:pPr>
        <w:spacing w:after="0" w:line="13" w:lineRule="exact"/>
        <w:rPr>
          <w:rFonts w:ascii="Arial" w:cs="Arial" w:eastAsia="Arial" w:hAnsi="Arial"/>
          <w:sz w:val="18"/>
          <w:szCs w:val="18"/>
          <w:color w:val="auto"/>
        </w:rPr>
      </w:pPr>
    </w:p>
    <w:p>
      <w:pPr>
        <w:ind w:left="760" w:hanging="320"/>
        <w:spacing w:after="0" w:line="234"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Non-GAAP Pretax Income</w:t>
      </w: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Both one-year and four-year Rolling Sales Growth</w:t>
      </w:r>
    </w:p>
    <w:p>
      <w:pPr>
        <w:spacing w:after="0" w:line="18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Non-GAAP Pretax Income and the Four-year Rolling Sales metrics are used to determine the Short-Term Incentive Program and the RTSR versus the Russel 2000 Index is used in the to determine the Long-Term Incentive Program earned Performance Share Units. These two programs determine a significant proportion of our CEO and other NEO’s annual compensation earned.</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Relationship of Financial Performance Measures to Compensation Actually Paid</w:t>
      </w:r>
    </w:p>
    <w:p>
      <w:pPr>
        <w:spacing w:after="0" w:line="202"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These financial performance measures are not all reflected in the Pay versus Performance table above and as Cohu generally seeks to incentivize long-term performance, we do not specifically align performance measures with compensation actually paid (as computed in accordance with Item 402(v) of Regulation S-K) for a particular year. As the table and subsequent charts show, the required equity adjustments to determine CAP results in yearly swings in CAP levels that are heavily influenced by timing of past equity awards and stock price fluctuations rather than actual company or executive performance in any given year. We are providing the following required descriptions of the relationships between information presented in the Pay versus Performance table.</w:t>
      </w:r>
    </w:p>
    <w:p>
      <w:pPr>
        <w:spacing w:after="0" w:line="16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selected our Comparative Stock Performance Graph custom Peer Group Index for the Cumulative TSR metric as it is comprised from companies within our industry and we believe reflects an appropriate comparison group for executive compensation. As discussed above, due to one of the Peer Group companies being acquired in 2025, we are illustrating both the historical Peer Group Index Cumulative TSR and the current Peer Group Index Cumulative TSR. Cohu’s Cumulative TSR (calculated assuming a $100 investment in Cohu’s common stock, on December 24, 2020) has outperformed our current peer group for two of the five years being compared. There does not appear to be a direct correlation between the performance of Cumulative TSR to CAP as discussed above.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146050</wp:posOffset>
            </wp:positionV>
            <wp:extent cx="5126355" cy="2957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26355"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Cohu does not use GAAP Net Income in determining compensation paid to any of our CEO and other NEOs. This data is reported to comply with the requirements of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100965</wp:posOffset>
            </wp:positionV>
            <wp:extent cx="5177790" cy="27863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7779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Cohu uses its results in non-GAAP pretax income to determine 50% of the compensation earned under the 2025 STI plan as discussed in the Short-Term Incentive Plan section of the CD&amp;A. We selected this metric as we feel it has the most direct impact on compensation levels earned by our CEO and other NEOs. Cohu’s non-GAAP pretax income performance exceeded the target level of 15% in three of the four years presented below. While there is a general directional relationship of CAP to the performance of non-GAAP pretax income, the amplitude of CAP does not appear to have a direct correlation to the level of non-GAAP pretax income for the reasons discussed above.</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146050</wp:posOffset>
            </wp:positionV>
            <wp:extent cx="5117465" cy="2451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1746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CEO Pay Ratio</w:t>
      </w:r>
    </w:p>
    <w:p>
      <w:pPr>
        <w:spacing w:after="0" w:line="202"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As required by Item 402(u) of Regulation S-K, we are providing the following information about the relationship of the annual total compensation of our employees and the annual total compensation of Dr. Luis Müller, our CEO.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2025, our last completed fiscal year:</w:t>
      </w:r>
    </w:p>
    <w:p>
      <w:pPr>
        <w:spacing w:after="0" w:line="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$26,620; and</w:t>
      </w:r>
    </w:p>
    <w:p>
      <w:pPr>
        <w:ind w:left="660" w:right="42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presented elsewhere in this Proxy Statement, was $4,498,059.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565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10"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b w:val="1"/>
          <w:bCs w:val="1"/>
          <w:color w:val="FFFFFF"/>
        </w:rPr>
        <w:t>Based on this information, for 2025 the ratio of the annual total compensation of Dr. Müller, our CEO, to the median of the annual total compensation of all our employees was 169 to 1.</w:t>
      </w:r>
    </w:p>
    <w:p>
      <w:pPr>
        <w:spacing w:after="0" w:line="26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71"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To identify the median compensated employee in 2025, we determined that, as of November 1, 2025, our employee population consisted of approximately 2,800 individuals globally, with 15% of these individuals located in the Americas (primarily in the U.S.), 10% located in Europe (primarily in Germany and Switzerland), and 75% located in Asia (primarily in Malaysia and the Philippines).</w:t>
      </w:r>
    </w:p>
    <w:p>
      <w:pPr>
        <w:spacing w:after="0" w:line="15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selected November 1, 2025, which is within the last three months of 2025, as the date upon which we would identify the “median employee” to allow sufficient time to identify the median employee given the global scope of our operations. We excluded equity compensation as a factor in identifying the median employee as less than 10% of our employee population receives equity grants as part of their compensation. Additionally, we used forecasted 2025 compensation (actual compensation paid January through October 2025 plus estimated compensation for November through December 2025) based on salary or wages, overtime pay, monthly allowances, statutory bonuses, and incentive pay received. Due to the geographical distribution of our employee populations, we also excluded social program contributions and other benefits as these vary greatly from country to country.</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Using this methodology, we determined that the “median employee” was a full-time, salaried employee located in the Philippines. The median employee’s actual annual total compensation for the 12-month period ending December 31, 2025, was $26,620. This amount includes all wages, overtime pay, statutory and variable incentive payments, allowances and localized personal benefits converted to U.S. Dollars.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Grants of Plan-Based Awards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following table shows all plan-based awards granted to our NEOs during fiscal year 2025, which ended on December 27, 2025. The stock awards identified in the table below are also reported in the “Outstanding Equity Awards on December 27, 2025” table included herein. Cohu did not grant any stock options to NEOs under the 2005 Plan in fiscal year 2025.</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940" w:type="dxa"/>
            <w:vAlign w:val="bottom"/>
            <w:tcBorders>
              <w:left w:val="single" w:sz="8" w:color="2D53A6"/>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c>
          <w:tcPr>
            <w:tcW w:w="1160" w:type="dxa"/>
            <w:vAlign w:val="bottom"/>
            <w:tcBorders>
              <w:right w:val="single" w:sz="8" w:color="2D53A6"/>
            </w:tcBorders>
            <w:shd w:val="clear" w:color="auto" w:fill="2D53A6"/>
          </w:tcPr>
          <w:p>
            <w:pPr>
              <w:spacing w:after="0"/>
              <w:rPr>
                <w:sz w:val="14"/>
                <w:szCs w:val="14"/>
                <w:color w:val="auto"/>
              </w:rPr>
            </w:pPr>
          </w:p>
        </w:tc>
        <w:tc>
          <w:tcPr>
            <w:tcW w:w="100" w:type="dxa"/>
            <w:vAlign w:val="bottom"/>
            <w:shd w:val="clear" w:color="auto" w:fill="2D53A6"/>
          </w:tcPr>
          <w:p>
            <w:pPr>
              <w:spacing w:after="0"/>
              <w:rPr>
                <w:sz w:val="14"/>
                <w:szCs w:val="14"/>
                <w:color w:val="auto"/>
              </w:rPr>
            </w:pPr>
          </w:p>
        </w:tc>
        <w:tc>
          <w:tcPr>
            <w:tcW w:w="780" w:type="dxa"/>
            <w:vAlign w:val="bottom"/>
            <w:tcBorders>
              <w:right w:val="single" w:sz="8" w:color="2D53A6"/>
            </w:tcBorders>
            <w:shd w:val="clear" w:color="auto" w:fill="2D53A6"/>
          </w:tcPr>
          <w:p>
            <w:pPr>
              <w:spacing w:after="0"/>
              <w:rPr>
                <w:sz w:val="14"/>
                <w:szCs w:val="14"/>
                <w:color w:val="auto"/>
              </w:rPr>
            </w:pPr>
          </w:p>
        </w:tc>
        <w:tc>
          <w:tcPr>
            <w:tcW w:w="880" w:type="dxa"/>
            <w:vAlign w:val="bottom"/>
            <w:tcBorders>
              <w:right w:val="single" w:sz="8" w:color="2D53A6"/>
            </w:tcBorders>
            <w:shd w:val="clear" w:color="auto" w:fill="2D53A6"/>
          </w:tcPr>
          <w:p>
            <w:pPr>
              <w:spacing w:after="0"/>
              <w:rPr>
                <w:sz w:val="14"/>
                <w:szCs w:val="14"/>
                <w:color w:val="auto"/>
              </w:rPr>
            </w:pPr>
          </w:p>
        </w:tc>
        <w:tc>
          <w:tcPr>
            <w:tcW w:w="980" w:type="dxa"/>
            <w:vAlign w:val="bottom"/>
            <w:tcBorders>
              <w:right w:val="single" w:sz="8" w:color="2D53A6"/>
            </w:tcBorders>
            <w:shd w:val="clear" w:color="auto" w:fill="2D53A6"/>
          </w:tcPr>
          <w:p>
            <w:pPr>
              <w:spacing w:after="0"/>
              <w:rPr>
                <w:sz w:val="14"/>
                <w:szCs w:val="14"/>
                <w:color w:val="auto"/>
              </w:rPr>
            </w:pPr>
          </w:p>
        </w:tc>
        <w:tc>
          <w:tcPr>
            <w:tcW w:w="880" w:type="dxa"/>
            <w:vAlign w:val="bottom"/>
            <w:tcBorders>
              <w:right w:val="single" w:sz="8" w:color="2D53A6"/>
            </w:tcBorders>
            <w:shd w:val="clear" w:color="auto" w:fill="2D53A6"/>
          </w:tcPr>
          <w:p>
            <w:pPr>
              <w:spacing w:after="0"/>
              <w:rPr>
                <w:sz w:val="14"/>
                <w:szCs w:val="14"/>
                <w:color w:val="auto"/>
              </w:rPr>
            </w:pPr>
          </w:p>
        </w:tc>
        <w:tc>
          <w:tcPr>
            <w:tcW w:w="880" w:type="dxa"/>
            <w:vAlign w:val="bottom"/>
            <w:tcBorders>
              <w:right w:val="single" w:sz="8" w:color="2D53A6"/>
            </w:tcBorders>
            <w:shd w:val="clear" w:color="auto" w:fill="2D53A6"/>
          </w:tcPr>
          <w:p>
            <w:pPr>
              <w:spacing w:after="0"/>
              <w:rPr>
                <w:sz w:val="14"/>
                <w:szCs w:val="14"/>
                <w:color w:val="auto"/>
              </w:rPr>
            </w:pPr>
          </w:p>
        </w:tc>
        <w:tc>
          <w:tcPr>
            <w:tcW w:w="880" w:type="dxa"/>
            <w:vAlign w:val="bottom"/>
            <w:tcBorders>
              <w:right w:val="single" w:sz="8" w:color="2D53A6"/>
            </w:tcBorders>
            <w:shd w:val="clear" w:color="auto" w:fill="2D53A6"/>
          </w:tcPr>
          <w:p>
            <w:pPr>
              <w:spacing w:after="0"/>
              <w:rPr>
                <w:sz w:val="14"/>
                <w:szCs w:val="14"/>
                <w:color w:val="auto"/>
              </w:rPr>
            </w:pPr>
          </w:p>
        </w:tc>
        <w:tc>
          <w:tcPr>
            <w:tcW w:w="9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All Other</w:t>
            </w:r>
          </w:p>
        </w:tc>
        <w:tc>
          <w:tcPr>
            <w:tcW w:w="100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2D53A6"/>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c>
          <w:tcPr>
            <w:tcW w:w="1160" w:type="dxa"/>
            <w:vAlign w:val="bottom"/>
            <w:tcBorders>
              <w:right w:val="single" w:sz="8" w:color="2D53A6"/>
            </w:tcBorders>
            <w:shd w:val="clear" w:color="auto" w:fill="2D53A6"/>
          </w:tcPr>
          <w:p>
            <w:pPr>
              <w:spacing w:after="0"/>
              <w:rPr>
                <w:sz w:val="14"/>
                <w:szCs w:val="14"/>
                <w:color w:val="auto"/>
              </w:rPr>
            </w:pPr>
          </w:p>
        </w:tc>
        <w:tc>
          <w:tcPr>
            <w:tcW w:w="100" w:type="dxa"/>
            <w:vAlign w:val="bottom"/>
            <w:shd w:val="clear" w:color="auto" w:fill="2D53A6"/>
          </w:tcPr>
          <w:p>
            <w:pPr>
              <w:spacing w:after="0"/>
              <w:rPr>
                <w:sz w:val="14"/>
                <w:szCs w:val="14"/>
                <w:color w:val="auto"/>
              </w:rPr>
            </w:pPr>
          </w:p>
        </w:tc>
        <w:tc>
          <w:tcPr>
            <w:tcW w:w="780" w:type="dxa"/>
            <w:vAlign w:val="bottom"/>
            <w:tcBorders>
              <w:right w:val="single" w:sz="8" w:color="2D53A6"/>
            </w:tcBorders>
            <w:shd w:val="clear" w:color="auto" w:fill="2D53A6"/>
          </w:tcPr>
          <w:p>
            <w:pPr>
              <w:spacing w:after="0"/>
              <w:rPr>
                <w:sz w:val="14"/>
                <w:szCs w:val="14"/>
                <w:color w:val="auto"/>
              </w:rPr>
            </w:pPr>
          </w:p>
        </w:tc>
        <w:tc>
          <w:tcPr>
            <w:tcW w:w="880" w:type="dxa"/>
            <w:vAlign w:val="bottom"/>
            <w:tcBorders>
              <w:right w:val="single" w:sz="8" w:color="2D53A6"/>
            </w:tcBorders>
            <w:shd w:val="clear" w:color="auto" w:fill="2D53A6"/>
          </w:tcPr>
          <w:p>
            <w:pPr>
              <w:spacing w:after="0"/>
              <w:rPr>
                <w:sz w:val="14"/>
                <w:szCs w:val="14"/>
                <w:color w:val="auto"/>
              </w:rPr>
            </w:pPr>
          </w:p>
        </w:tc>
        <w:tc>
          <w:tcPr>
            <w:tcW w:w="980" w:type="dxa"/>
            <w:vAlign w:val="bottom"/>
            <w:tcBorders>
              <w:right w:val="single" w:sz="8" w:color="2D53A6"/>
            </w:tcBorders>
            <w:shd w:val="clear" w:color="auto" w:fill="2D53A6"/>
          </w:tcPr>
          <w:p>
            <w:pPr>
              <w:spacing w:after="0"/>
              <w:rPr>
                <w:sz w:val="14"/>
                <w:szCs w:val="14"/>
                <w:color w:val="auto"/>
              </w:rPr>
            </w:pPr>
          </w:p>
        </w:tc>
        <w:tc>
          <w:tcPr>
            <w:tcW w:w="2640" w:type="dxa"/>
            <w:vAlign w:val="bottom"/>
            <w:tcBorders>
              <w:right w:val="single" w:sz="8" w:color="2D53A6"/>
            </w:tcBorders>
            <w:gridSpan w:val="3"/>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9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0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148"/>
        </w:trPr>
        <w:tc>
          <w:tcPr>
            <w:tcW w:w="940" w:type="dxa"/>
            <w:vAlign w:val="bottom"/>
            <w:tcBorders>
              <w:left w:val="single" w:sz="8" w:color="2D53A6"/>
              <w:right w:val="single" w:sz="8" w:color="2D53A6"/>
            </w:tcBorders>
            <w:shd w:val="clear" w:color="auto" w:fill="2D53A6"/>
          </w:tcPr>
          <w:p>
            <w:pPr>
              <w:spacing w:after="0"/>
              <w:rPr>
                <w:sz w:val="12"/>
                <w:szCs w:val="12"/>
                <w:color w:val="auto"/>
              </w:rPr>
            </w:pPr>
          </w:p>
        </w:tc>
        <w:tc>
          <w:tcPr>
            <w:tcW w:w="1780" w:type="dxa"/>
            <w:vAlign w:val="bottom"/>
            <w:tcBorders>
              <w:right w:val="single" w:sz="8" w:color="2D53A6"/>
            </w:tcBorders>
            <w:shd w:val="clear" w:color="auto" w:fill="2D53A6"/>
          </w:tcPr>
          <w:p>
            <w:pPr>
              <w:spacing w:after="0"/>
              <w:rPr>
                <w:sz w:val="12"/>
                <w:szCs w:val="12"/>
                <w:color w:val="auto"/>
              </w:rPr>
            </w:pPr>
          </w:p>
        </w:tc>
        <w:tc>
          <w:tcPr>
            <w:tcW w:w="1160" w:type="dxa"/>
            <w:vAlign w:val="bottom"/>
            <w:tcBorders>
              <w:right w:val="single" w:sz="8" w:color="2D53A6"/>
            </w:tcBorders>
            <w:shd w:val="clear" w:color="auto" w:fill="2D53A6"/>
          </w:tcPr>
          <w:p>
            <w:pPr>
              <w:spacing w:after="0"/>
              <w:rPr>
                <w:sz w:val="12"/>
                <w:szCs w:val="12"/>
                <w:color w:val="auto"/>
              </w:rPr>
            </w:pPr>
          </w:p>
        </w:tc>
        <w:tc>
          <w:tcPr>
            <w:tcW w:w="100" w:type="dxa"/>
            <w:vAlign w:val="bottom"/>
            <w:shd w:val="clear" w:color="auto" w:fill="2D53A6"/>
          </w:tcPr>
          <w:p>
            <w:pPr>
              <w:spacing w:after="0"/>
              <w:rPr>
                <w:sz w:val="12"/>
                <w:szCs w:val="12"/>
                <w:color w:val="auto"/>
              </w:rPr>
            </w:pPr>
          </w:p>
        </w:tc>
        <w:tc>
          <w:tcPr>
            <w:tcW w:w="780" w:type="dxa"/>
            <w:vAlign w:val="bottom"/>
            <w:tcBorders>
              <w:right w:val="single" w:sz="8" w:color="2D53A6"/>
            </w:tcBorders>
            <w:shd w:val="clear" w:color="auto" w:fill="2D53A6"/>
          </w:tcPr>
          <w:p>
            <w:pPr>
              <w:spacing w:after="0"/>
              <w:rPr>
                <w:sz w:val="12"/>
                <w:szCs w:val="12"/>
                <w:color w:val="auto"/>
              </w:rPr>
            </w:pPr>
          </w:p>
        </w:tc>
        <w:tc>
          <w:tcPr>
            <w:tcW w:w="880" w:type="dxa"/>
            <w:vAlign w:val="bottom"/>
            <w:tcBorders>
              <w:right w:val="single" w:sz="8" w:color="2D53A6"/>
            </w:tcBorders>
            <w:shd w:val="clear" w:color="auto" w:fill="2D53A6"/>
          </w:tcPr>
          <w:p>
            <w:pPr>
              <w:spacing w:after="0"/>
              <w:rPr>
                <w:sz w:val="12"/>
                <w:szCs w:val="12"/>
                <w:color w:val="auto"/>
              </w:rPr>
            </w:pPr>
          </w:p>
        </w:tc>
        <w:tc>
          <w:tcPr>
            <w:tcW w:w="980" w:type="dxa"/>
            <w:vAlign w:val="bottom"/>
            <w:tcBorders>
              <w:right w:val="single" w:sz="8" w:color="2D53A6"/>
            </w:tcBorders>
            <w:shd w:val="clear" w:color="auto" w:fill="2D53A6"/>
          </w:tcPr>
          <w:p>
            <w:pPr>
              <w:spacing w:after="0"/>
              <w:rPr>
                <w:sz w:val="12"/>
                <w:szCs w:val="12"/>
                <w:color w:val="auto"/>
              </w:rPr>
            </w:pPr>
          </w:p>
        </w:tc>
        <w:tc>
          <w:tcPr>
            <w:tcW w:w="2640" w:type="dxa"/>
            <w:vAlign w:val="bottom"/>
            <w:tcBorders>
              <w:right w:val="single" w:sz="8" w:color="2D53A6"/>
            </w:tcBorders>
            <w:gridSpan w:val="3"/>
            <w:vMerge w:val="continue"/>
            <w:shd w:val="clear" w:color="auto" w:fill="2D53A6"/>
          </w:tcPr>
          <w:p>
            <w:pPr>
              <w:spacing w:after="0"/>
              <w:rPr>
                <w:sz w:val="12"/>
                <w:szCs w:val="12"/>
                <w:color w:val="auto"/>
              </w:rPr>
            </w:pPr>
          </w:p>
        </w:tc>
        <w:tc>
          <w:tcPr>
            <w:tcW w:w="980" w:type="dxa"/>
            <w:vAlign w:val="bottom"/>
            <w:tcBorders>
              <w:right w:val="single" w:sz="8" w:color="2D53A6"/>
            </w:tcBorders>
            <w:shd w:val="clear" w:color="auto" w:fill="2D53A6"/>
          </w:tcPr>
          <w:p>
            <w:pPr>
              <w:jc w:val="center"/>
              <w:spacing w:after="0" w:line="149" w:lineRule="exact"/>
              <w:rPr>
                <w:sz w:val="20"/>
                <w:szCs w:val="20"/>
                <w:color w:val="auto"/>
              </w:rPr>
            </w:pPr>
            <w:r>
              <w:rPr>
                <w:rFonts w:ascii="Arial" w:cs="Arial" w:eastAsia="Arial" w:hAnsi="Arial"/>
                <w:sz w:val="14"/>
                <w:szCs w:val="14"/>
                <w:b w:val="1"/>
                <w:bCs w:val="1"/>
                <w:color w:val="FFFFFF"/>
              </w:rPr>
              <w:t>Awards:</w:t>
            </w:r>
          </w:p>
        </w:tc>
        <w:tc>
          <w:tcPr>
            <w:tcW w:w="1000" w:type="dxa"/>
            <w:vAlign w:val="bottom"/>
            <w:tcBorders>
              <w:right w:val="single" w:sz="8" w:color="2D53A6"/>
            </w:tcBorders>
            <w:shd w:val="clear" w:color="auto" w:fill="2D53A6"/>
          </w:tcPr>
          <w:p>
            <w:pPr>
              <w:jc w:val="center"/>
              <w:spacing w:after="0" w:line="149" w:lineRule="exact"/>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159"/>
        </w:trPr>
        <w:tc>
          <w:tcPr>
            <w:tcW w:w="940" w:type="dxa"/>
            <w:vAlign w:val="bottom"/>
            <w:tcBorders>
              <w:left w:val="single" w:sz="8" w:color="2D53A6"/>
              <w:right w:val="single" w:sz="8" w:color="2D53A6"/>
            </w:tcBorders>
            <w:shd w:val="clear" w:color="auto" w:fill="2D53A6"/>
          </w:tcPr>
          <w:p>
            <w:pPr>
              <w:spacing w:after="0"/>
              <w:rPr>
                <w:sz w:val="13"/>
                <w:szCs w:val="13"/>
                <w:color w:val="auto"/>
              </w:rPr>
            </w:pPr>
          </w:p>
        </w:tc>
        <w:tc>
          <w:tcPr>
            <w:tcW w:w="1780" w:type="dxa"/>
            <w:vAlign w:val="bottom"/>
            <w:tcBorders>
              <w:right w:val="single" w:sz="8" w:color="2D53A6"/>
            </w:tcBorders>
            <w:shd w:val="clear" w:color="auto" w:fill="2D53A6"/>
          </w:tcPr>
          <w:p>
            <w:pPr>
              <w:spacing w:after="0"/>
              <w:rPr>
                <w:sz w:val="13"/>
                <w:szCs w:val="13"/>
                <w:color w:val="auto"/>
              </w:rPr>
            </w:pPr>
          </w:p>
        </w:tc>
        <w:tc>
          <w:tcPr>
            <w:tcW w:w="1160" w:type="dxa"/>
            <w:vAlign w:val="bottom"/>
            <w:tcBorders>
              <w:right w:val="single" w:sz="8" w:color="2D53A6"/>
            </w:tcBorders>
            <w:shd w:val="clear" w:color="auto" w:fill="2D53A6"/>
          </w:tcPr>
          <w:p>
            <w:pPr>
              <w:spacing w:after="0"/>
              <w:rPr>
                <w:sz w:val="13"/>
                <w:szCs w:val="13"/>
                <w:color w:val="auto"/>
              </w:rPr>
            </w:pPr>
          </w:p>
        </w:tc>
        <w:tc>
          <w:tcPr>
            <w:tcW w:w="100" w:type="dxa"/>
            <w:vAlign w:val="bottom"/>
            <w:shd w:val="clear" w:color="auto" w:fill="2D53A6"/>
          </w:tcPr>
          <w:p>
            <w:pPr>
              <w:spacing w:after="0"/>
              <w:rPr>
                <w:sz w:val="13"/>
                <w:szCs w:val="13"/>
                <w:color w:val="auto"/>
              </w:rPr>
            </w:pPr>
          </w:p>
        </w:tc>
        <w:tc>
          <w:tcPr>
            <w:tcW w:w="2640" w:type="dxa"/>
            <w:vAlign w:val="bottom"/>
            <w:tcBorders>
              <w:right w:val="single" w:sz="8" w:color="2D53A6"/>
            </w:tcBorders>
            <w:gridSpan w:val="3"/>
            <w:shd w:val="clear" w:color="auto" w:fill="2D53A6"/>
          </w:tcPr>
          <w:p>
            <w:pPr>
              <w:jc w:val="right"/>
              <w:ind w:right="188"/>
              <w:spacing w:after="0" w:line="159" w:lineRule="exact"/>
              <w:rPr>
                <w:sz w:val="20"/>
                <w:szCs w:val="20"/>
                <w:color w:val="auto"/>
              </w:rPr>
            </w:pPr>
            <w:r>
              <w:rPr>
                <w:rFonts w:ascii="Arial" w:cs="Arial" w:eastAsia="Arial" w:hAnsi="Arial"/>
                <w:sz w:val="14"/>
                <w:szCs w:val="14"/>
                <w:b w:val="1"/>
                <w:bCs w:val="1"/>
                <w:color w:val="FFFFFF"/>
              </w:rPr>
              <w:t>Estimated Future Payouts Under</w:t>
            </w:r>
          </w:p>
        </w:tc>
        <w:tc>
          <w:tcPr>
            <w:tcW w:w="2640" w:type="dxa"/>
            <w:vAlign w:val="bottom"/>
            <w:tcBorders>
              <w:right w:val="single" w:sz="8" w:color="2D53A6"/>
            </w:tcBorders>
            <w:gridSpan w:val="3"/>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Under Equity Incentive Plan</w:t>
            </w:r>
          </w:p>
        </w:tc>
        <w:tc>
          <w:tcPr>
            <w:tcW w:w="9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Number</w:t>
            </w:r>
          </w:p>
        </w:tc>
        <w:tc>
          <w:tcPr>
            <w:tcW w:w="100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88"/>
        </w:trPr>
        <w:tc>
          <w:tcPr>
            <w:tcW w:w="940" w:type="dxa"/>
            <w:vAlign w:val="bottom"/>
            <w:tcBorders>
              <w:left w:val="single" w:sz="8" w:color="2D53A6"/>
              <w:right w:val="single" w:sz="8" w:color="2D53A6"/>
            </w:tcBorders>
            <w:shd w:val="clear" w:color="auto" w:fill="2D53A6"/>
          </w:tcPr>
          <w:p>
            <w:pPr>
              <w:ind w:left="40"/>
              <w:spacing w:after="0"/>
              <w:rPr>
                <w:sz w:val="20"/>
                <w:szCs w:val="20"/>
                <w:color w:val="auto"/>
              </w:rPr>
            </w:pPr>
            <w:r>
              <w:rPr>
                <w:rFonts w:ascii="Arial" w:cs="Arial" w:eastAsia="Arial" w:hAnsi="Arial"/>
                <w:sz w:val="14"/>
                <w:szCs w:val="14"/>
                <w:b w:val="1"/>
                <w:bCs w:val="1"/>
                <w:color w:val="FFFFFF"/>
              </w:rPr>
              <w:t>Named</w:t>
            </w:r>
          </w:p>
        </w:tc>
        <w:tc>
          <w:tcPr>
            <w:tcW w:w="1780" w:type="dxa"/>
            <w:vAlign w:val="bottom"/>
            <w:tcBorders>
              <w:right w:val="single" w:sz="8" w:color="2D53A6"/>
            </w:tcBorders>
            <w:shd w:val="clear" w:color="auto" w:fill="2D53A6"/>
          </w:tcPr>
          <w:p>
            <w:pPr>
              <w:spacing w:after="0"/>
              <w:rPr>
                <w:sz w:val="16"/>
                <w:szCs w:val="16"/>
                <w:color w:val="auto"/>
              </w:rPr>
            </w:pPr>
          </w:p>
        </w:tc>
        <w:tc>
          <w:tcPr>
            <w:tcW w:w="1160" w:type="dxa"/>
            <w:vAlign w:val="bottom"/>
            <w:tcBorders>
              <w:right w:val="single" w:sz="8" w:color="2D53A6"/>
            </w:tcBorders>
            <w:shd w:val="clear" w:color="auto" w:fill="2D53A6"/>
          </w:tcPr>
          <w:p>
            <w:pPr>
              <w:jc w:val="right"/>
              <w:ind w:right="388"/>
              <w:spacing w:after="0"/>
              <w:rPr>
                <w:sz w:val="20"/>
                <w:szCs w:val="20"/>
                <w:color w:val="auto"/>
              </w:rPr>
            </w:pPr>
            <w:r>
              <w:rPr>
                <w:rFonts w:ascii="Arial" w:cs="Arial" w:eastAsia="Arial" w:hAnsi="Arial"/>
                <w:sz w:val="14"/>
                <w:szCs w:val="14"/>
                <w:b w:val="1"/>
                <w:bCs w:val="1"/>
                <w:color w:val="FFFFFF"/>
              </w:rPr>
              <w:t>Grant</w:t>
            </w:r>
          </w:p>
        </w:tc>
        <w:tc>
          <w:tcPr>
            <w:tcW w:w="100" w:type="dxa"/>
            <w:vAlign w:val="bottom"/>
            <w:shd w:val="clear" w:color="auto" w:fill="2D53A6"/>
          </w:tcPr>
          <w:p>
            <w:pPr>
              <w:spacing w:after="0"/>
              <w:rPr>
                <w:sz w:val="16"/>
                <w:szCs w:val="16"/>
                <w:color w:val="auto"/>
              </w:rPr>
            </w:pPr>
          </w:p>
        </w:tc>
        <w:tc>
          <w:tcPr>
            <w:tcW w:w="2640" w:type="dxa"/>
            <w:vAlign w:val="bottom"/>
            <w:tcBorders>
              <w:right w:val="single" w:sz="8" w:color="2D53A6"/>
            </w:tcBorders>
            <w:gridSpan w:val="3"/>
            <w:shd w:val="clear" w:color="auto" w:fill="2D53A6"/>
          </w:tcPr>
          <w:p>
            <w:pPr>
              <w:jc w:val="right"/>
              <w:ind w:right="68"/>
              <w:spacing w:after="0" w:line="188" w:lineRule="exact"/>
              <w:rPr>
                <w:sz w:val="20"/>
                <w:szCs w:val="20"/>
                <w:color w:val="auto"/>
              </w:rPr>
            </w:pPr>
            <w:r>
              <w:rPr>
                <w:rFonts w:ascii="Arial" w:cs="Arial" w:eastAsia="Arial" w:hAnsi="Arial"/>
                <w:sz w:val="13"/>
                <w:szCs w:val="13"/>
                <w:b w:val="1"/>
                <w:bCs w:val="1"/>
                <w:color w:val="FFFFFF"/>
              </w:rPr>
              <w:t>Non-Equity Incentive Plan Awards</w:t>
            </w:r>
            <w:r>
              <w:rPr>
                <w:rFonts w:ascii="Arial" w:cs="Arial" w:eastAsia="Arial" w:hAnsi="Arial"/>
                <w:sz w:val="21"/>
                <w:szCs w:val="21"/>
                <w:b w:val="1"/>
                <w:bCs w:val="1"/>
                <w:color w:val="FFFFFF"/>
                <w:vertAlign w:val="superscript"/>
              </w:rPr>
              <w:t>(1)</w:t>
            </w:r>
          </w:p>
        </w:tc>
        <w:tc>
          <w:tcPr>
            <w:tcW w:w="880" w:type="dxa"/>
            <w:vAlign w:val="bottom"/>
            <w:tcBorders>
              <w:right w:val="single" w:sz="8" w:color="2D53A6"/>
            </w:tcBorders>
            <w:shd w:val="clear" w:color="auto" w:fill="2D53A6"/>
          </w:tcPr>
          <w:p>
            <w:pPr>
              <w:spacing w:after="0"/>
              <w:rPr>
                <w:sz w:val="16"/>
                <w:szCs w:val="16"/>
                <w:color w:val="auto"/>
              </w:rPr>
            </w:pPr>
          </w:p>
        </w:tc>
        <w:tc>
          <w:tcPr>
            <w:tcW w:w="880" w:type="dxa"/>
            <w:vAlign w:val="bottom"/>
            <w:tcBorders>
              <w:right w:val="single" w:sz="8" w:color="2D53A6"/>
            </w:tcBorders>
            <w:shd w:val="clear" w:color="auto" w:fill="2D53A6"/>
          </w:tcPr>
          <w:p>
            <w:pPr>
              <w:jc w:val="center"/>
              <w:spacing w:after="0" w:line="188"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21"/>
                <w:szCs w:val="21"/>
                <w:b w:val="1"/>
                <w:bCs w:val="1"/>
                <w:color w:val="FFFFFF"/>
                <w:vertAlign w:val="superscript"/>
              </w:rPr>
              <w:t>(2)</w:t>
            </w:r>
          </w:p>
        </w:tc>
        <w:tc>
          <w:tcPr>
            <w:tcW w:w="880" w:type="dxa"/>
            <w:vAlign w:val="bottom"/>
            <w:tcBorders>
              <w:right w:val="single" w:sz="8" w:color="2D53A6"/>
            </w:tcBorders>
            <w:shd w:val="clear" w:color="auto" w:fill="2D53A6"/>
          </w:tcPr>
          <w:p>
            <w:pPr>
              <w:spacing w:after="0"/>
              <w:rPr>
                <w:sz w:val="16"/>
                <w:szCs w:val="16"/>
                <w:color w:val="auto"/>
              </w:rPr>
            </w:pPr>
          </w:p>
        </w:tc>
        <w:tc>
          <w:tcPr>
            <w:tcW w:w="9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of</w:t>
            </w:r>
          </w:p>
        </w:tc>
        <w:tc>
          <w:tcPr>
            <w:tcW w:w="10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Stock and</w:t>
            </w:r>
          </w:p>
        </w:tc>
        <w:tc>
          <w:tcPr>
            <w:tcW w:w="0" w:type="dxa"/>
            <w:vAlign w:val="bottom"/>
          </w:tcPr>
          <w:p>
            <w:pPr>
              <w:spacing w:after="0"/>
              <w:rPr>
                <w:sz w:val="1"/>
                <w:szCs w:val="1"/>
                <w:color w:val="auto"/>
              </w:rPr>
            </w:pPr>
          </w:p>
        </w:tc>
      </w:tr>
      <w:tr>
        <w:trPr>
          <w:trHeight w:val="180"/>
        </w:trPr>
        <w:tc>
          <w:tcPr>
            <w:tcW w:w="940" w:type="dxa"/>
            <w:vAlign w:val="bottom"/>
            <w:tcBorders>
              <w:left w:val="single" w:sz="8" w:color="2D53A6"/>
              <w:right w:val="single" w:sz="8" w:color="2D53A6"/>
            </w:tcBorders>
            <w:shd w:val="clear" w:color="auto" w:fill="2D53A6"/>
          </w:tcPr>
          <w:p>
            <w:pPr>
              <w:ind w:left="40"/>
              <w:spacing w:after="0"/>
              <w:rPr>
                <w:sz w:val="20"/>
                <w:szCs w:val="20"/>
                <w:color w:val="auto"/>
              </w:rPr>
            </w:pPr>
            <w:r>
              <w:rPr>
                <w:rFonts w:ascii="Arial" w:cs="Arial" w:eastAsia="Arial" w:hAnsi="Arial"/>
                <w:sz w:val="14"/>
                <w:szCs w:val="14"/>
                <w:b w:val="1"/>
                <w:bCs w:val="1"/>
                <w:color w:val="FFFFFF"/>
              </w:rPr>
              <w:t>Executive</w:t>
            </w:r>
          </w:p>
        </w:tc>
        <w:tc>
          <w:tcPr>
            <w:tcW w:w="1780" w:type="dxa"/>
            <w:vAlign w:val="bottom"/>
            <w:tcBorders>
              <w:right w:val="single" w:sz="8" w:color="2D53A6"/>
            </w:tcBorders>
            <w:shd w:val="clear" w:color="auto" w:fill="2D53A6"/>
          </w:tcPr>
          <w:p>
            <w:pPr>
              <w:ind w:left="420"/>
              <w:spacing w:after="0"/>
              <w:rPr>
                <w:sz w:val="20"/>
                <w:szCs w:val="20"/>
                <w:color w:val="auto"/>
              </w:rPr>
            </w:pPr>
            <w:r>
              <w:rPr>
                <w:rFonts w:ascii="Arial" w:cs="Arial" w:eastAsia="Arial" w:hAnsi="Arial"/>
                <w:sz w:val="14"/>
                <w:szCs w:val="14"/>
                <w:b w:val="1"/>
                <w:bCs w:val="1"/>
                <w:color w:val="FFFFFF"/>
              </w:rPr>
              <w:t>Award Type</w:t>
            </w:r>
          </w:p>
        </w:tc>
        <w:tc>
          <w:tcPr>
            <w:tcW w:w="1160" w:type="dxa"/>
            <w:vAlign w:val="bottom"/>
            <w:tcBorders>
              <w:right w:val="single" w:sz="8" w:color="2D53A6"/>
            </w:tcBorders>
            <w:shd w:val="clear" w:color="auto" w:fill="2D53A6"/>
          </w:tcPr>
          <w:p>
            <w:pPr>
              <w:jc w:val="right"/>
              <w:ind w:right="408"/>
              <w:spacing w:after="0"/>
              <w:rPr>
                <w:sz w:val="20"/>
                <w:szCs w:val="20"/>
                <w:color w:val="auto"/>
              </w:rPr>
            </w:pPr>
            <w:r>
              <w:rPr>
                <w:rFonts w:ascii="Arial" w:cs="Arial" w:eastAsia="Arial" w:hAnsi="Arial"/>
                <w:sz w:val="14"/>
                <w:szCs w:val="14"/>
                <w:b w:val="1"/>
                <w:bCs w:val="1"/>
                <w:color w:val="FFFFFF"/>
              </w:rPr>
              <w:t>Date</w:t>
            </w:r>
          </w:p>
        </w:tc>
        <w:tc>
          <w:tcPr>
            <w:tcW w:w="100" w:type="dxa"/>
            <w:vAlign w:val="bottom"/>
            <w:shd w:val="clear" w:color="auto" w:fill="2D53A6"/>
          </w:tcPr>
          <w:p>
            <w:pPr>
              <w:spacing w:after="0"/>
              <w:rPr>
                <w:sz w:val="15"/>
                <w:szCs w:val="15"/>
                <w:color w:val="auto"/>
              </w:rPr>
            </w:pPr>
          </w:p>
        </w:tc>
        <w:tc>
          <w:tcPr>
            <w:tcW w:w="780" w:type="dxa"/>
            <w:vAlign w:val="bottom"/>
            <w:tcBorders>
              <w:right w:val="single" w:sz="8" w:color="2D53A6"/>
            </w:tcBorders>
            <w:vMerge w:val="restart"/>
            <w:shd w:val="clear" w:color="auto" w:fill="2D53A6"/>
          </w:tcPr>
          <w:p>
            <w:pPr>
              <w:jc w:val="center"/>
              <w:ind w:right="68"/>
              <w:spacing w:after="0"/>
              <w:rPr>
                <w:sz w:val="20"/>
                <w:szCs w:val="20"/>
                <w:color w:val="auto"/>
              </w:rPr>
            </w:pPr>
            <w:r>
              <w:rPr>
                <w:rFonts w:ascii="Arial" w:cs="Arial" w:eastAsia="Arial" w:hAnsi="Arial"/>
                <w:sz w:val="14"/>
                <w:szCs w:val="14"/>
                <w:b w:val="1"/>
                <w:bCs w:val="1"/>
                <w:color w:val="FFFFFF"/>
              </w:rPr>
              <w:t>Thres-</w:t>
            </w:r>
          </w:p>
        </w:tc>
        <w:tc>
          <w:tcPr>
            <w:tcW w:w="880" w:type="dxa"/>
            <w:vAlign w:val="bottom"/>
            <w:tcBorders>
              <w:right w:val="single" w:sz="8" w:color="2D53A6"/>
            </w:tcBorders>
            <w:shd w:val="clear" w:color="auto" w:fill="2D53A6"/>
          </w:tcPr>
          <w:p>
            <w:pPr>
              <w:spacing w:after="0"/>
              <w:rPr>
                <w:sz w:val="15"/>
                <w:szCs w:val="15"/>
                <w:color w:val="auto"/>
              </w:rPr>
            </w:pPr>
          </w:p>
        </w:tc>
        <w:tc>
          <w:tcPr>
            <w:tcW w:w="980" w:type="dxa"/>
            <w:vAlign w:val="bottom"/>
            <w:tcBorders>
              <w:right w:val="single" w:sz="8" w:color="2D53A6"/>
            </w:tcBorders>
            <w:shd w:val="clear" w:color="auto" w:fill="2D53A6"/>
          </w:tcPr>
          <w:p>
            <w:pPr>
              <w:spacing w:after="0"/>
              <w:rPr>
                <w:sz w:val="15"/>
                <w:szCs w:val="15"/>
                <w:color w:val="auto"/>
              </w:rPr>
            </w:pPr>
          </w:p>
        </w:tc>
        <w:tc>
          <w:tcPr>
            <w:tcW w:w="8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Thres-</w:t>
            </w:r>
          </w:p>
        </w:tc>
        <w:tc>
          <w:tcPr>
            <w:tcW w:w="880" w:type="dxa"/>
            <w:vAlign w:val="bottom"/>
            <w:tcBorders>
              <w:right w:val="single" w:sz="8" w:color="2D53A6"/>
            </w:tcBorders>
            <w:shd w:val="clear" w:color="auto" w:fill="2D53A6"/>
          </w:tcPr>
          <w:p>
            <w:pPr>
              <w:spacing w:after="0"/>
              <w:rPr>
                <w:sz w:val="15"/>
                <w:szCs w:val="15"/>
                <w:color w:val="auto"/>
              </w:rPr>
            </w:pPr>
          </w:p>
        </w:tc>
        <w:tc>
          <w:tcPr>
            <w:tcW w:w="8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Maxi-</w:t>
            </w:r>
          </w:p>
        </w:tc>
        <w:tc>
          <w:tcPr>
            <w:tcW w:w="9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Shares</w:t>
            </w:r>
          </w:p>
        </w:tc>
        <w:tc>
          <w:tcPr>
            <w:tcW w:w="10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81"/>
        </w:trPr>
        <w:tc>
          <w:tcPr>
            <w:tcW w:w="940" w:type="dxa"/>
            <w:vAlign w:val="bottom"/>
            <w:tcBorders>
              <w:left w:val="single" w:sz="8" w:color="2D53A6"/>
              <w:right w:val="single" w:sz="8" w:color="2D53A6"/>
            </w:tcBorders>
            <w:vMerge w:val="restart"/>
            <w:shd w:val="clear" w:color="auto" w:fill="2D53A6"/>
          </w:tcPr>
          <w:p>
            <w:pPr>
              <w:ind w:left="40"/>
              <w:spacing w:after="0" w:line="159" w:lineRule="exact"/>
              <w:rPr>
                <w:sz w:val="20"/>
                <w:szCs w:val="20"/>
                <w:color w:val="auto"/>
              </w:rPr>
            </w:pPr>
            <w:r>
              <w:rPr>
                <w:rFonts w:ascii="Arial" w:cs="Arial" w:eastAsia="Arial" w:hAnsi="Arial"/>
                <w:sz w:val="14"/>
                <w:szCs w:val="14"/>
                <w:b w:val="1"/>
                <w:bCs w:val="1"/>
                <w:color w:val="FFFFFF"/>
              </w:rPr>
              <w:t>Officer</w:t>
            </w:r>
          </w:p>
        </w:tc>
        <w:tc>
          <w:tcPr>
            <w:tcW w:w="1780" w:type="dxa"/>
            <w:vAlign w:val="bottom"/>
            <w:tcBorders>
              <w:right w:val="single" w:sz="8" w:color="2D53A6"/>
            </w:tcBorders>
            <w:shd w:val="clear" w:color="auto" w:fill="2D53A6"/>
          </w:tcPr>
          <w:p>
            <w:pPr>
              <w:spacing w:after="0"/>
              <w:rPr>
                <w:sz w:val="7"/>
                <w:szCs w:val="7"/>
                <w:color w:val="auto"/>
              </w:rPr>
            </w:pPr>
          </w:p>
        </w:tc>
        <w:tc>
          <w:tcPr>
            <w:tcW w:w="1160" w:type="dxa"/>
            <w:vAlign w:val="bottom"/>
            <w:tcBorders>
              <w:right w:val="single" w:sz="8" w:color="2D53A6"/>
            </w:tcBorders>
            <w:shd w:val="clear" w:color="auto" w:fill="2D53A6"/>
          </w:tcPr>
          <w:p>
            <w:pPr>
              <w:spacing w:after="0"/>
              <w:rPr>
                <w:sz w:val="7"/>
                <w:szCs w:val="7"/>
                <w:color w:val="auto"/>
              </w:rPr>
            </w:pPr>
          </w:p>
        </w:tc>
        <w:tc>
          <w:tcPr>
            <w:tcW w:w="100" w:type="dxa"/>
            <w:vAlign w:val="bottom"/>
            <w:shd w:val="clear" w:color="auto" w:fill="2D53A6"/>
          </w:tcPr>
          <w:p>
            <w:pPr>
              <w:spacing w:after="0"/>
              <w:rPr>
                <w:sz w:val="7"/>
                <w:szCs w:val="7"/>
                <w:color w:val="auto"/>
              </w:rPr>
            </w:pPr>
          </w:p>
        </w:tc>
        <w:tc>
          <w:tcPr>
            <w:tcW w:w="780" w:type="dxa"/>
            <w:vAlign w:val="bottom"/>
            <w:tcBorders>
              <w:right w:val="single" w:sz="8" w:color="2D53A6"/>
            </w:tcBorders>
            <w:vMerge w:val="continue"/>
            <w:shd w:val="clear" w:color="auto" w:fill="2D53A6"/>
          </w:tcPr>
          <w:p>
            <w:pPr>
              <w:spacing w:after="0"/>
              <w:rPr>
                <w:sz w:val="7"/>
                <w:szCs w:val="7"/>
                <w:color w:val="auto"/>
              </w:rPr>
            </w:pPr>
          </w:p>
        </w:tc>
        <w:tc>
          <w:tcPr>
            <w:tcW w:w="880" w:type="dxa"/>
            <w:vAlign w:val="bottom"/>
            <w:tcBorders>
              <w:right w:val="single" w:sz="8" w:color="2D53A6"/>
            </w:tcBorders>
            <w:vMerge w:val="restart"/>
            <w:shd w:val="clear" w:color="auto" w:fill="2D53A6"/>
          </w:tcPr>
          <w:p>
            <w:pPr>
              <w:jc w:val="right"/>
              <w:ind w:right="168"/>
              <w:spacing w:after="0" w:line="159" w:lineRule="exact"/>
              <w:rPr>
                <w:sz w:val="20"/>
                <w:szCs w:val="20"/>
                <w:color w:val="auto"/>
              </w:rPr>
            </w:pPr>
            <w:r>
              <w:rPr>
                <w:rFonts w:ascii="Arial" w:cs="Arial" w:eastAsia="Arial" w:hAnsi="Arial"/>
                <w:sz w:val="14"/>
                <w:szCs w:val="14"/>
                <w:b w:val="1"/>
                <w:bCs w:val="1"/>
                <w:color w:val="FFFFFF"/>
              </w:rPr>
              <w:t>Target</w:t>
            </w:r>
          </w:p>
        </w:tc>
        <w:tc>
          <w:tcPr>
            <w:tcW w:w="980" w:type="dxa"/>
            <w:vAlign w:val="bottom"/>
            <w:tcBorders>
              <w:right w:val="single" w:sz="8" w:color="2D53A6"/>
            </w:tcBorders>
            <w:vMerge w:val="restart"/>
            <w:shd w:val="clear" w:color="auto" w:fill="2D53A6"/>
          </w:tcPr>
          <w:p>
            <w:pPr>
              <w:jc w:val="right"/>
              <w:ind w:right="248"/>
              <w:spacing w:after="0" w:line="159" w:lineRule="exact"/>
              <w:rPr>
                <w:sz w:val="20"/>
                <w:szCs w:val="20"/>
                <w:color w:val="auto"/>
              </w:rPr>
            </w:pPr>
            <w:r>
              <w:rPr>
                <w:rFonts w:ascii="Arial" w:cs="Arial" w:eastAsia="Arial" w:hAnsi="Arial"/>
                <w:sz w:val="14"/>
                <w:szCs w:val="14"/>
                <w:b w:val="1"/>
                <w:bCs w:val="1"/>
                <w:color w:val="FFFFFF"/>
              </w:rPr>
              <w:t>Maxi-</w:t>
            </w:r>
          </w:p>
        </w:tc>
        <w:tc>
          <w:tcPr>
            <w:tcW w:w="880" w:type="dxa"/>
            <w:vAlign w:val="bottom"/>
            <w:tcBorders>
              <w:right w:val="single" w:sz="8" w:color="2D53A6"/>
            </w:tcBorders>
            <w:vMerge w:val="continue"/>
            <w:shd w:val="clear" w:color="auto" w:fill="2D53A6"/>
          </w:tcPr>
          <w:p>
            <w:pPr>
              <w:spacing w:after="0"/>
              <w:rPr>
                <w:sz w:val="7"/>
                <w:szCs w:val="7"/>
                <w:color w:val="auto"/>
              </w:rPr>
            </w:pPr>
          </w:p>
        </w:tc>
        <w:tc>
          <w:tcPr>
            <w:tcW w:w="88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Target</w:t>
            </w:r>
          </w:p>
        </w:tc>
        <w:tc>
          <w:tcPr>
            <w:tcW w:w="880" w:type="dxa"/>
            <w:vAlign w:val="bottom"/>
            <w:tcBorders>
              <w:right w:val="single" w:sz="8" w:color="2D53A6"/>
            </w:tcBorders>
            <w:vMerge w:val="continue"/>
            <w:shd w:val="clear" w:color="auto" w:fill="2D53A6"/>
          </w:tcPr>
          <w:p>
            <w:pPr>
              <w:spacing w:after="0"/>
              <w:rPr>
                <w:sz w:val="7"/>
                <w:szCs w:val="7"/>
                <w:color w:val="auto"/>
              </w:rPr>
            </w:pPr>
          </w:p>
        </w:tc>
        <w:tc>
          <w:tcPr>
            <w:tcW w:w="98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of Stock</w:t>
            </w:r>
          </w:p>
        </w:tc>
        <w:tc>
          <w:tcPr>
            <w:tcW w:w="100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78"/>
        </w:trPr>
        <w:tc>
          <w:tcPr>
            <w:tcW w:w="940" w:type="dxa"/>
            <w:vAlign w:val="bottom"/>
            <w:tcBorders>
              <w:left w:val="single" w:sz="8" w:color="2D53A6"/>
              <w:right w:val="single" w:sz="8" w:color="2D53A6"/>
            </w:tcBorders>
            <w:vMerge w:val="continue"/>
            <w:shd w:val="clear" w:color="auto" w:fill="2D53A6"/>
          </w:tcPr>
          <w:p>
            <w:pPr>
              <w:spacing w:after="0"/>
              <w:rPr>
                <w:sz w:val="6"/>
                <w:szCs w:val="6"/>
                <w:color w:val="auto"/>
              </w:rPr>
            </w:pPr>
          </w:p>
        </w:tc>
        <w:tc>
          <w:tcPr>
            <w:tcW w:w="1780" w:type="dxa"/>
            <w:vAlign w:val="bottom"/>
            <w:tcBorders>
              <w:right w:val="single" w:sz="8" w:color="2D53A6"/>
            </w:tcBorders>
            <w:shd w:val="clear" w:color="auto" w:fill="2D53A6"/>
          </w:tcPr>
          <w:p>
            <w:pPr>
              <w:spacing w:after="0"/>
              <w:rPr>
                <w:sz w:val="6"/>
                <w:szCs w:val="6"/>
                <w:color w:val="auto"/>
              </w:rPr>
            </w:pPr>
          </w:p>
        </w:tc>
        <w:tc>
          <w:tcPr>
            <w:tcW w:w="1160" w:type="dxa"/>
            <w:vAlign w:val="bottom"/>
            <w:tcBorders>
              <w:right w:val="single" w:sz="8" w:color="2D53A6"/>
            </w:tcBorders>
            <w:shd w:val="clear" w:color="auto" w:fill="2D53A6"/>
          </w:tcPr>
          <w:p>
            <w:pPr>
              <w:spacing w:after="0"/>
              <w:rPr>
                <w:sz w:val="6"/>
                <w:szCs w:val="6"/>
                <w:color w:val="auto"/>
              </w:rPr>
            </w:pPr>
          </w:p>
        </w:tc>
        <w:tc>
          <w:tcPr>
            <w:tcW w:w="100" w:type="dxa"/>
            <w:vAlign w:val="bottom"/>
            <w:shd w:val="clear" w:color="auto" w:fill="2D53A6"/>
          </w:tcPr>
          <w:p>
            <w:pPr>
              <w:spacing w:after="0"/>
              <w:rPr>
                <w:sz w:val="6"/>
                <w:szCs w:val="6"/>
                <w:color w:val="auto"/>
              </w:rPr>
            </w:pPr>
          </w:p>
        </w:tc>
        <w:tc>
          <w:tcPr>
            <w:tcW w:w="780" w:type="dxa"/>
            <w:vAlign w:val="bottom"/>
            <w:tcBorders>
              <w:right w:val="single" w:sz="8" w:color="2D53A6"/>
            </w:tcBorders>
            <w:vMerge w:val="restart"/>
            <w:shd w:val="clear" w:color="auto" w:fill="2D53A6"/>
          </w:tcPr>
          <w:p>
            <w:pPr>
              <w:jc w:val="center"/>
              <w:ind w:right="48"/>
              <w:spacing w:after="0"/>
              <w:rPr>
                <w:sz w:val="20"/>
                <w:szCs w:val="20"/>
                <w:color w:val="auto"/>
              </w:rPr>
            </w:pPr>
            <w:r>
              <w:rPr>
                <w:rFonts w:ascii="Arial" w:cs="Arial" w:eastAsia="Arial" w:hAnsi="Arial"/>
                <w:sz w:val="14"/>
                <w:szCs w:val="14"/>
                <w:b w:val="1"/>
                <w:bCs w:val="1"/>
                <w:color w:val="FFFFFF"/>
              </w:rPr>
              <w:t>hold</w:t>
            </w:r>
          </w:p>
        </w:tc>
        <w:tc>
          <w:tcPr>
            <w:tcW w:w="880" w:type="dxa"/>
            <w:vAlign w:val="bottom"/>
            <w:tcBorders>
              <w:right w:val="single" w:sz="8" w:color="2D53A6"/>
            </w:tcBorders>
            <w:vMerge w:val="continue"/>
            <w:shd w:val="clear" w:color="auto" w:fill="2D53A6"/>
          </w:tcPr>
          <w:p>
            <w:pPr>
              <w:spacing w:after="0"/>
              <w:rPr>
                <w:sz w:val="6"/>
                <w:szCs w:val="6"/>
                <w:color w:val="auto"/>
              </w:rPr>
            </w:pPr>
          </w:p>
        </w:tc>
        <w:tc>
          <w:tcPr>
            <w:tcW w:w="980" w:type="dxa"/>
            <w:vAlign w:val="bottom"/>
            <w:tcBorders>
              <w:right w:val="single" w:sz="8" w:color="2D53A6"/>
            </w:tcBorders>
            <w:vMerge w:val="continue"/>
            <w:shd w:val="clear" w:color="auto" w:fill="2D53A6"/>
          </w:tcPr>
          <w:p>
            <w:pPr>
              <w:spacing w:after="0"/>
              <w:rPr>
                <w:sz w:val="6"/>
                <w:szCs w:val="6"/>
                <w:color w:val="auto"/>
              </w:rPr>
            </w:pPr>
          </w:p>
        </w:tc>
        <w:tc>
          <w:tcPr>
            <w:tcW w:w="8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hold</w:t>
            </w:r>
          </w:p>
        </w:tc>
        <w:tc>
          <w:tcPr>
            <w:tcW w:w="880" w:type="dxa"/>
            <w:vAlign w:val="bottom"/>
            <w:tcBorders>
              <w:right w:val="single" w:sz="8" w:color="2D53A6"/>
            </w:tcBorders>
            <w:vMerge w:val="continue"/>
            <w:shd w:val="clear" w:color="auto" w:fill="2D53A6"/>
          </w:tcPr>
          <w:p>
            <w:pPr>
              <w:spacing w:after="0"/>
              <w:rPr>
                <w:sz w:val="6"/>
                <w:szCs w:val="6"/>
                <w:color w:val="auto"/>
              </w:rPr>
            </w:pPr>
          </w:p>
        </w:tc>
        <w:tc>
          <w:tcPr>
            <w:tcW w:w="8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mum</w:t>
            </w:r>
          </w:p>
        </w:tc>
        <w:tc>
          <w:tcPr>
            <w:tcW w:w="980" w:type="dxa"/>
            <w:vAlign w:val="bottom"/>
            <w:tcBorders>
              <w:right w:val="single" w:sz="8" w:color="2D53A6"/>
            </w:tcBorders>
            <w:vMerge w:val="continue"/>
            <w:shd w:val="clear" w:color="auto" w:fill="2D53A6"/>
          </w:tcPr>
          <w:p>
            <w:pPr>
              <w:spacing w:after="0"/>
              <w:rPr>
                <w:sz w:val="6"/>
                <w:szCs w:val="6"/>
                <w:color w:val="auto"/>
              </w:rPr>
            </w:pPr>
          </w:p>
        </w:tc>
        <w:tc>
          <w:tcPr>
            <w:tcW w:w="100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940" w:type="dxa"/>
            <w:vAlign w:val="bottom"/>
            <w:tcBorders>
              <w:left w:val="single" w:sz="8" w:color="2D53A6"/>
              <w:right w:val="single" w:sz="8" w:color="2D53A6"/>
            </w:tcBorders>
            <w:shd w:val="clear" w:color="auto" w:fill="2D53A6"/>
          </w:tcPr>
          <w:p>
            <w:pPr>
              <w:spacing w:after="0"/>
              <w:rPr>
                <w:sz w:val="7"/>
                <w:szCs w:val="7"/>
                <w:color w:val="auto"/>
              </w:rPr>
            </w:pPr>
          </w:p>
        </w:tc>
        <w:tc>
          <w:tcPr>
            <w:tcW w:w="1780" w:type="dxa"/>
            <w:vAlign w:val="bottom"/>
            <w:tcBorders>
              <w:right w:val="single" w:sz="8" w:color="2D53A6"/>
            </w:tcBorders>
            <w:shd w:val="clear" w:color="auto" w:fill="2D53A6"/>
          </w:tcPr>
          <w:p>
            <w:pPr>
              <w:spacing w:after="0"/>
              <w:rPr>
                <w:sz w:val="7"/>
                <w:szCs w:val="7"/>
                <w:color w:val="auto"/>
              </w:rPr>
            </w:pPr>
          </w:p>
        </w:tc>
        <w:tc>
          <w:tcPr>
            <w:tcW w:w="1160" w:type="dxa"/>
            <w:vAlign w:val="bottom"/>
            <w:tcBorders>
              <w:right w:val="single" w:sz="8" w:color="2D53A6"/>
            </w:tcBorders>
            <w:shd w:val="clear" w:color="auto" w:fill="2D53A6"/>
          </w:tcPr>
          <w:p>
            <w:pPr>
              <w:spacing w:after="0"/>
              <w:rPr>
                <w:sz w:val="7"/>
                <w:szCs w:val="7"/>
                <w:color w:val="auto"/>
              </w:rPr>
            </w:pPr>
          </w:p>
        </w:tc>
        <w:tc>
          <w:tcPr>
            <w:tcW w:w="100" w:type="dxa"/>
            <w:vAlign w:val="bottom"/>
            <w:shd w:val="clear" w:color="auto" w:fill="2D53A6"/>
          </w:tcPr>
          <w:p>
            <w:pPr>
              <w:spacing w:after="0"/>
              <w:rPr>
                <w:sz w:val="7"/>
                <w:szCs w:val="7"/>
                <w:color w:val="auto"/>
              </w:rPr>
            </w:pPr>
          </w:p>
        </w:tc>
        <w:tc>
          <w:tcPr>
            <w:tcW w:w="780" w:type="dxa"/>
            <w:vAlign w:val="bottom"/>
            <w:tcBorders>
              <w:right w:val="single" w:sz="8" w:color="2D53A6"/>
            </w:tcBorders>
            <w:vMerge w:val="continue"/>
            <w:shd w:val="clear" w:color="auto" w:fill="2D53A6"/>
          </w:tcPr>
          <w:p>
            <w:pPr>
              <w:spacing w:after="0"/>
              <w:rPr>
                <w:sz w:val="7"/>
                <w:szCs w:val="7"/>
                <w:color w:val="auto"/>
              </w:rPr>
            </w:pPr>
          </w:p>
        </w:tc>
        <w:tc>
          <w:tcPr>
            <w:tcW w:w="880" w:type="dxa"/>
            <w:vAlign w:val="bottom"/>
            <w:tcBorders>
              <w:right w:val="single" w:sz="8" w:color="2D53A6"/>
            </w:tcBorders>
            <w:vMerge w:val="restart"/>
            <w:shd w:val="clear" w:color="auto" w:fill="2D53A6"/>
          </w:tcPr>
          <w:p>
            <w:pPr>
              <w:jc w:val="right"/>
              <w:ind w:right="288"/>
              <w:spacing w:after="0"/>
              <w:rPr>
                <w:sz w:val="20"/>
                <w:szCs w:val="20"/>
                <w:color w:val="auto"/>
              </w:rPr>
            </w:pPr>
            <w:r>
              <w:rPr>
                <w:rFonts w:ascii="Arial" w:cs="Arial" w:eastAsia="Arial" w:hAnsi="Arial"/>
                <w:sz w:val="14"/>
                <w:szCs w:val="14"/>
                <w:b w:val="1"/>
                <w:bCs w:val="1"/>
                <w:color w:val="FFFFFF"/>
              </w:rPr>
              <w:t>($)</w:t>
            </w:r>
          </w:p>
        </w:tc>
        <w:tc>
          <w:tcPr>
            <w:tcW w:w="980" w:type="dxa"/>
            <w:vAlign w:val="bottom"/>
            <w:tcBorders>
              <w:right w:val="single" w:sz="8" w:color="2D53A6"/>
            </w:tcBorders>
            <w:vMerge w:val="restart"/>
            <w:shd w:val="clear" w:color="auto" w:fill="2D53A6"/>
          </w:tcPr>
          <w:p>
            <w:pPr>
              <w:jc w:val="right"/>
              <w:ind w:right="148"/>
              <w:spacing w:after="0"/>
              <w:rPr>
                <w:sz w:val="20"/>
                <w:szCs w:val="20"/>
                <w:color w:val="auto"/>
              </w:rPr>
            </w:pPr>
            <w:r>
              <w:rPr>
                <w:rFonts w:ascii="Arial" w:cs="Arial" w:eastAsia="Arial" w:hAnsi="Arial"/>
                <w:sz w:val="14"/>
                <w:szCs w:val="14"/>
                <w:b w:val="1"/>
                <w:bCs w:val="1"/>
                <w:color w:val="FFFFFF"/>
              </w:rPr>
              <w:t>mum ($)</w:t>
            </w:r>
          </w:p>
        </w:tc>
        <w:tc>
          <w:tcPr>
            <w:tcW w:w="880" w:type="dxa"/>
            <w:vAlign w:val="bottom"/>
            <w:tcBorders>
              <w:right w:val="single" w:sz="8" w:color="2D53A6"/>
            </w:tcBorders>
            <w:vMerge w:val="continue"/>
            <w:shd w:val="clear" w:color="auto" w:fill="2D53A6"/>
          </w:tcPr>
          <w:p>
            <w:pPr>
              <w:spacing w:after="0"/>
              <w:rPr>
                <w:sz w:val="7"/>
                <w:szCs w:val="7"/>
                <w:color w:val="auto"/>
              </w:rPr>
            </w:pPr>
          </w:p>
        </w:tc>
        <w:tc>
          <w:tcPr>
            <w:tcW w:w="8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880" w:type="dxa"/>
            <w:vAlign w:val="bottom"/>
            <w:tcBorders>
              <w:right w:val="single" w:sz="8" w:color="2D53A6"/>
            </w:tcBorders>
            <w:vMerge w:val="continue"/>
            <w:shd w:val="clear" w:color="auto" w:fill="2D53A6"/>
          </w:tcPr>
          <w:p>
            <w:pPr>
              <w:spacing w:after="0"/>
              <w:rPr>
                <w:sz w:val="7"/>
                <w:szCs w:val="7"/>
                <w:color w:val="auto"/>
              </w:rPr>
            </w:pPr>
          </w:p>
        </w:tc>
        <w:tc>
          <w:tcPr>
            <w:tcW w:w="9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or Units</w:t>
            </w:r>
          </w:p>
        </w:tc>
        <w:tc>
          <w:tcPr>
            <w:tcW w:w="1000" w:type="dxa"/>
            <w:vAlign w:val="bottom"/>
            <w:tcBorders>
              <w:right w:val="single" w:sz="8" w:color="2D53A6"/>
            </w:tcBorders>
            <w:vMerge w:val="restart"/>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8"/>
                <w:szCs w:val="18"/>
                <w:b w:val="1"/>
                <w:bCs w:val="1"/>
                <w:color w:val="FFFFFF"/>
                <w:vertAlign w:val="superscript"/>
              </w:rPr>
              <w:t>4)</w:t>
            </w:r>
          </w:p>
        </w:tc>
        <w:tc>
          <w:tcPr>
            <w:tcW w:w="0" w:type="dxa"/>
            <w:vAlign w:val="bottom"/>
          </w:tcPr>
          <w:p>
            <w:pPr>
              <w:spacing w:after="0"/>
              <w:rPr>
                <w:sz w:val="1"/>
                <w:szCs w:val="1"/>
                <w:color w:val="auto"/>
              </w:rPr>
            </w:pPr>
          </w:p>
        </w:tc>
      </w:tr>
      <w:tr>
        <w:trPr>
          <w:trHeight w:val="78"/>
        </w:trPr>
        <w:tc>
          <w:tcPr>
            <w:tcW w:w="940" w:type="dxa"/>
            <w:vAlign w:val="bottom"/>
            <w:tcBorders>
              <w:left w:val="single" w:sz="8" w:color="2D53A6"/>
              <w:right w:val="single" w:sz="8" w:color="2D53A6"/>
            </w:tcBorders>
            <w:shd w:val="clear" w:color="auto" w:fill="2D53A6"/>
          </w:tcPr>
          <w:p>
            <w:pPr>
              <w:spacing w:after="0"/>
              <w:rPr>
                <w:sz w:val="6"/>
                <w:szCs w:val="6"/>
                <w:color w:val="auto"/>
              </w:rPr>
            </w:pPr>
          </w:p>
        </w:tc>
        <w:tc>
          <w:tcPr>
            <w:tcW w:w="1780" w:type="dxa"/>
            <w:vAlign w:val="bottom"/>
            <w:tcBorders>
              <w:right w:val="single" w:sz="8" w:color="2D53A6"/>
            </w:tcBorders>
            <w:shd w:val="clear" w:color="auto" w:fill="2D53A6"/>
          </w:tcPr>
          <w:p>
            <w:pPr>
              <w:spacing w:after="0"/>
              <w:rPr>
                <w:sz w:val="6"/>
                <w:szCs w:val="6"/>
                <w:color w:val="auto"/>
              </w:rPr>
            </w:pPr>
          </w:p>
        </w:tc>
        <w:tc>
          <w:tcPr>
            <w:tcW w:w="1160" w:type="dxa"/>
            <w:vAlign w:val="bottom"/>
            <w:tcBorders>
              <w:right w:val="single" w:sz="8" w:color="2D53A6"/>
            </w:tcBorders>
            <w:shd w:val="clear" w:color="auto" w:fill="2D53A6"/>
          </w:tcPr>
          <w:p>
            <w:pPr>
              <w:spacing w:after="0"/>
              <w:rPr>
                <w:sz w:val="6"/>
                <w:szCs w:val="6"/>
                <w:color w:val="auto"/>
              </w:rPr>
            </w:pPr>
          </w:p>
        </w:tc>
        <w:tc>
          <w:tcPr>
            <w:tcW w:w="100" w:type="dxa"/>
            <w:vAlign w:val="bottom"/>
            <w:shd w:val="clear" w:color="auto" w:fill="2D53A6"/>
          </w:tcPr>
          <w:p>
            <w:pPr>
              <w:spacing w:after="0"/>
              <w:rPr>
                <w:sz w:val="6"/>
                <w:szCs w:val="6"/>
                <w:color w:val="auto"/>
              </w:rPr>
            </w:pPr>
          </w:p>
        </w:tc>
        <w:tc>
          <w:tcPr>
            <w:tcW w:w="780" w:type="dxa"/>
            <w:vAlign w:val="bottom"/>
            <w:tcBorders>
              <w:right w:val="single" w:sz="8" w:color="2D53A6"/>
            </w:tcBorders>
            <w:vMerge w:val="restart"/>
            <w:shd w:val="clear" w:color="auto" w:fill="2D53A6"/>
          </w:tcPr>
          <w:p>
            <w:pPr>
              <w:jc w:val="center"/>
              <w:ind w:right="48"/>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right w:val="single" w:sz="8" w:color="2D53A6"/>
            </w:tcBorders>
            <w:vMerge w:val="continue"/>
            <w:shd w:val="clear" w:color="auto" w:fill="2D53A6"/>
          </w:tcPr>
          <w:p>
            <w:pPr>
              <w:spacing w:after="0"/>
              <w:rPr>
                <w:sz w:val="6"/>
                <w:szCs w:val="6"/>
                <w:color w:val="auto"/>
              </w:rPr>
            </w:pPr>
          </w:p>
        </w:tc>
        <w:tc>
          <w:tcPr>
            <w:tcW w:w="980" w:type="dxa"/>
            <w:vAlign w:val="bottom"/>
            <w:tcBorders>
              <w:right w:val="single" w:sz="8" w:color="2D53A6"/>
            </w:tcBorders>
            <w:vMerge w:val="continue"/>
            <w:shd w:val="clear" w:color="auto" w:fill="2D53A6"/>
          </w:tcPr>
          <w:p>
            <w:pPr>
              <w:spacing w:after="0"/>
              <w:rPr>
                <w:sz w:val="6"/>
                <w:szCs w:val="6"/>
                <w:color w:val="auto"/>
              </w:rPr>
            </w:pPr>
          </w:p>
        </w:tc>
        <w:tc>
          <w:tcPr>
            <w:tcW w:w="8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880" w:type="dxa"/>
            <w:vAlign w:val="bottom"/>
            <w:tcBorders>
              <w:right w:val="single" w:sz="8" w:color="2D53A6"/>
            </w:tcBorders>
            <w:vMerge w:val="continue"/>
            <w:shd w:val="clear" w:color="auto" w:fill="2D53A6"/>
          </w:tcPr>
          <w:p>
            <w:pPr>
              <w:spacing w:after="0"/>
              <w:rPr>
                <w:sz w:val="6"/>
                <w:szCs w:val="6"/>
                <w:color w:val="auto"/>
              </w:rPr>
            </w:pPr>
          </w:p>
        </w:tc>
        <w:tc>
          <w:tcPr>
            <w:tcW w:w="8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980" w:type="dxa"/>
            <w:vAlign w:val="bottom"/>
            <w:tcBorders>
              <w:right w:val="single" w:sz="8" w:color="2D53A6"/>
            </w:tcBorders>
            <w:vMerge w:val="continue"/>
            <w:shd w:val="clear" w:color="auto" w:fill="2D53A6"/>
          </w:tcPr>
          <w:p>
            <w:pPr>
              <w:spacing w:after="0"/>
              <w:rPr>
                <w:sz w:val="6"/>
                <w:szCs w:val="6"/>
                <w:color w:val="auto"/>
              </w:rPr>
            </w:pPr>
          </w:p>
        </w:tc>
        <w:tc>
          <w:tcPr>
            <w:tcW w:w="100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940" w:type="dxa"/>
            <w:vAlign w:val="bottom"/>
            <w:tcBorders>
              <w:left w:val="single" w:sz="8" w:color="2D53A6"/>
              <w:right w:val="single" w:sz="8" w:color="2D53A6"/>
            </w:tcBorders>
            <w:shd w:val="clear" w:color="auto" w:fill="2D53A6"/>
          </w:tcPr>
          <w:p>
            <w:pPr>
              <w:spacing w:after="0"/>
              <w:rPr>
                <w:sz w:val="10"/>
                <w:szCs w:val="10"/>
                <w:color w:val="auto"/>
              </w:rPr>
            </w:pPr>
          </w:p>
        </w:tc>
        <w:tc>
          <w:tcPr>
            <w:tcW w:w="1780" w:type="dxa"/>
            <w:vAlign w:val="bottom"/>
            <w:tcBorders>
              <w:right w:val="single" w:sz="8" w:color="2D53A6"/>
            </w:tcBorders>
            <w:shd w:val="clear" w:color="auto" w:fill="2D53A6"/>
          </w:tcPr>
          <w:p>
            <w:pPr>
              <w:spacing w:after="0"/>
              <w:rPr>
                <w:sz w:val="10"/>
                <w:szCs w:val="10"/>
                <w:color w:val="auto"/>
              </w:rPr>
            </w:pPr>
          </w:p>
        </w:tc>
        <w:tc>
          <w:tcPr>
            <w:tcW w:w="1160" w:type="dxa"/>
            <w:vAlign w:val="bottom"/>
            <w:tcBorders>
              <w:right w:val="single" w:sz="8" w:color="2D53A6"/>
            </w:tcBorders>
            <w:shd w:val="clear" w:color="auto" w:fill="2D53A6"/>
          </w:tcPr>
          <w:p>
            <w:pPr>
              <w:spacing w:after="0"/>
              <w:rPr>
                <w:sz w:val="10"/>
                <w:szCs w:val="10"/>
                <w:color w:val="auto"/>
              </w:rPr>
            </w:pPr>
          </w:p>
        </w:tc>
        <w:tc>
          <w:tcPr>
            <w:tcW w:w="100" w:type="dxa"/>
            <w:vAlign w:val="bottom"/>
            <w:shd w:val="clear" w:color="auto" w:fill="2D53A6"/>
          </w:tcPr>
          <w:p>
            <w:pPr>
              <w:spacing w:after="0"/>
              <w:rPr>
                <w:sz w:val="10"/>
                <w:szCs w:val="10"/>
                <w:color w:val="auto"/>
              </w:rPr>
            </w:pPr>
          </w:p>
        </w:tc>
        <w:tc>
          <w:tcPr>
            <w:tcW w:w="780" w:type="dxa"/>
            <w:vAlign w:val="bottom"/>
            <w:tcBorders>
              <w:right w:val="single" w:sz="8" w:color="2D53A6"/>
            </w:tcBorders>
            <w:vMerge w:val="continue"/>
            <w:shd w:val="clear" w:color="auto" w:fill="2D53A6"/>
          </w:tcPr>
          <w:p>
            <w:pPr>
              <w:spacing w:after="0"/>
              <w:rPr>
                <w:sz w:val="10"/>
                <w:szCs w:val="10"/>
                <w:color w:val="auto"/>
              </w:rPr>
            </w:pPr>
          </w:p>
        </w:tc>
        <w:tc>
          <w:tcPr>
            <w:tcW w:w="880" w:type="dxa"/>
            <w:vAlign w:val="bottom"/>
            <w:tcBorders>
              <w:right w:val="single" w:sz="8" w:color="2D53A6"/>
            </w:tcBorders>
            <w:shd w:val="clear" w:color="auto" w:fill="2D53A6"/>
          </w:tcPr>
          <w:p>
            <w:pPr>
              <w:spacing w:after="0"/>
              <w:rPr>
                <w:sz w:val="10"/>
                <w:szCs w:val="10"/>
                <w:color w:val="auto"/>
              </w:rPr>
            </w:pPr>
          </w:p>
        </w:tc>
        <w:tc>
          <w:tcPr>
            <w:tcW w:w="980" w:type="dxa"/>
            <w:vAlign w:val="bottom"/>
            <w:tcBorders>
              <w:right w:val="single" w:sz="8" w:color="2D53A6"/>
            </w:tcBorders>
            <w:shd w:val="clear" w:color="auto" w:fill="2D53A6"/>
          </w:tcPr>
          <w:p>
            <w:pPr>
              <w:spacing w:after="0"/>
              <w:rPr>
                <w:sz w:val="10"/>
                <w:szCs w:val="10"/>
                <w:color w:val="auto"/>
              </w:rPr>
            </w:pPr>
          </w:p>
        </w:tc>
        <w:tc>
          <w:tcPr>
            <w:tcW w:w="880" w:type="dxa"/>
            <w:vAlign w:val="bottom"/>
            <w:tcBorders>
              <w:right w:val="single" w:sz="8" w:color="2D53A6"/>
            </w:tcBorders>
            <w:vMerge w:val="continue"/>
            <w:shd w:val="clear" w:color="auto" w:fill="2D53A6"/>
          </w:tcPr>
          <w:p>
            <w:pPr>
              <w:spacing w:after="0"/>
              <w:rPr>
                <w:sz w:val="10"/>
                <w:szCs w:val="10"/>
                <w:color w:val="auto"/>
              </w:rPr>
            </w:pPr>
          </w:p>
        </w:tc>
        <w:tc>
          <w:tcPr>
            <w:tcW w:w="880" w:type="dxa"/>
            <w:vAlign w:val="bottom"/>
            <w:tcBorders>
              <w:right w:val="single" w:sz="8" w:color="2D53A6"/>
            </w:tcBorders>
            <w:shd w:val="clear" w:color="auto" w:fill="2D53A6"/>
          </w:tcPr>
          <w:p>
            <w:pPr>
              <w:spacing w:after="0"/>
              <w:rPr>
                <w:sz w:val="10"/>
                <w:szCs w:val="10"/>
                <w:color w:val="auto"/>
              </w:rPr>
            </w:pPr>
          </w:p>
        </w:tc>
        <w:tc>
          <w:tcPr>
            <w:tcW w:w="880" w:type="dxa"/>
            <w:vAlign w:val="bottom"/>
            <w:tcBorders>
              <w:right w:val="single" w:sz="8" w:color="2D53A6"/>
            </w:tcBorders>
            <w:vMerge w:val="continue"/>
            <w:shd w:val="clear" w:color="auto" w:fill="2D53A6"/>
          </w:tcPr>
          <w:p>
            <w:pPr>
              <w:spacing w:after="0"/>
              <w:rPr>
                <w:sz w:val="10"/>
                <w:szCs w:val="10"/>
                <w:color w:val="auto"/>
              </w:rPr>
            </w:pPr>
          </w:p>
        </w:tc>
        <w:tc>
          <w:tcPr>
            <w:tcW w:w="980" w:type="dxa"/>
            <w:vAlign w:val="bottom"/>
            <w:tcBorders>
              <w:right w:val="single" w:sz="8" w:color="2D53A6"/>
            </w:tcBorders>
            <w:vMerge w:val="restart"/>
            <w:shd w:val="clear" w:color="auto" w:fill="2D53A6"/>
          </w:tcPr>
          <w:p>
            <w:pPr>
              <w:jc w:val="center"/>
              <w:spacing w:after="0" w:line="188"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(3)</w:t>
            </w:r>
          </w:p>
        </w:tc>
        <w:tc>
          <w:tcPr>
            <w:tcW w:w="1000" w:type="dxa"/>
            <w:vAlign w:val="bottom"/>
            <w:tcBorders>
              <w:right w:val="single" w:sz="8" w:color="2D53A6"/>
            </w:tcBorders>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940" w:type="dxa"/>
            <w:vAlign w:val="bottom"/>
            <w:tcBorders>
              <w:left w:val="single" w:sz="8" w:color="2D53A6"/>
              <w:right w:val="single" w:sz="8" w:color="2D53A6"/>
            </w:tcBorders>
            <w:shd w:val="clear" w:color="auto" w:fill="2D53A6"/>
          </w:tcPr>
          <w:p>
            <w:pPr>
              <w:spacing w:after="0"/>
              <w:rPr>
                <w:sz w:val="7"/>
                <w:szCs w:val="7"/>
                <w:color w:val="auto"/>
              </w:rPr>
            </w:pPr>
          </w:p>
        </w:tc>
        <w:tc>
          <w:tcPr>
            <w:tcW w:w="1780" w:type="dxa"/>
            <w:vAlign w:val="bottom"/>
            <w:tcBorders>
              <w:right w:val="single" w:sz="8" w:color="2D53A6"/>
            </w:tcBorders>
            <w:shd w:val="clear" w:color="auto" w:fill="2D53A6"/>
          </w:tcPr>
          <w:p>
            <w:pPr>
              <w:spacing w:after="0"/>
              <w:rPr>
                <w:sz w:val="7"/>
                <w:szCs w:val="7"/>
                <w:color w:val="auto"/>
              </w:rPr>
            </w:pPr>
          </w:p>
        </w:tc>
        <w:tc>
          <w:tcPr>
            <w:tcW w:w="1160" w:type="dxa"/>
            <w:vAlign w:val="bottom"/>
            <w:tcBorders>
              <w:right w:val="single" w:sz="8" w:color="2D53A6"/>
            </w:tcBorders>
            <w:shd w:val="clear" w:color="auto" w:fill="2D53A6"/>
          </w:tcPr>
          <w:p>
            <w:pPr>
              <w:spacing w:after="0"/>
              <w:rPr>
                <w:sz w:val="7"/>
                <w:szCs w:val="7"/>
                <w:color w:val="auto"/>
              </w:rPr>
            </w:pPr>
          </w:p>
        </w:tc>
        <w:tc>
          <w:tcPr>
            <w:tcW w:w="100" w:type="dxa"/>
            <w:vAlign w:val="bottom"/>
            <w:shd w:val="clear" w:color="auto" w:fill="2D53A6"/>
          </w:tcPr>
          <w:p>
            <w:pPr>
              <w:spacing w:after="0"/>
              <w:rPr>
                <w:sz w:val="7"/>
                <w:szCs w:val="7"/>
                <w:color w:val="auto"/>
              </w:rPr>
            </w:pPr>
          </w:p>
        </w:tc>
        <w:tc>
          <w:tcPr>
            <w:tcW w:w="780" w:type="dxa"/>
            <w:vAlign w:val="bottom"/>
            <w:tcBorders>
              <w:right w:val="single" w:sz="8" w:color="2D53A6"/>
            </w:tcBorders>
            <w:shd w:val="clear" w:color="auto" w:fill="2D53A6"/>
          </w:tcPr>
          <w:p>
            <w:pPr>
              <w:spacing w:after="0"/>
              <w:rPr>
                <w:sz w:val="7"/>
                <w:szCs w:val="7"/>
                <w:color w:val="auto"/>
              </w:rPr>
            </w:pPr>
          </w:p>
        </w:tc>
        <w:tc>
          <w:tcPr>
            <w:tcW w:w="880" w:type="dxa"/>
            <w:vAlign w:val="bottom"/>
            <w:tcBorders>
              <w:right w:val="single" w:sz="8" w:color="2D53A6"/>
            </w:tcBorders>
            <w:shd w:val="clear" w:color="auto" w:fill="2D53A6"/>
          </w:tcPr>
          <w:p>
            <w:pPr>
              <w:spacing w:after="0"/>
              <w:rPr>
                <w:sz w:val="7"/>
                <w:szCs w:val="7"/>
                <w:color w:val="auto"/>
              </w:rPr>
            </w:pPr>
          </w:p>
        </w:tc>
        <w:tc>
          <w:tcPr>
            <w:tcW w:w="980" w:type="dxa"/>
            <w:vAlign w:val="bottom"/>
            <w:tcBorders>
              <w:right w:val="single" w:sz="8" w:color="2D53A6"/>
            </w:tcBorders>
            <w:shd w:val="clear" w:color="auto" w:fill="2D53A6"/>
          </w:tcPr>
          <w:p>
            <w:pPr>
              <w:spacing w:after="0"/>
              <w:rPr>
                <w:sz w:val="7"/>
                <w:szCs w:val="7"/>
                <w:color w:val="auto"/>
              </w:rPr>
            </w:pPr>
          </w:p>
        </w:tc>
        <w:tc>
          <w:tcPr>
            <w:tcW w:w="880" w:type="dxa"/>
            <w:vAlign w:val="bottom"/>
            <w:tcBorders>
              <w:right w:val="single" w:sz="8" w:color="2D53A6"/>
            </w:tcBorders>
            <w:shd w:val="clear" w:color="auto" w:fill="2D53A6"/>
          </w:tcPr>
          <w:p>
            <w:pPr>
              <w:spacing w:after="0"/>
              <w:rPr>
                <w:sz w:val="7"/>
                <w:szCs w:val="7"/>
                <w:color w:val="auto"/>
              </w:rPr>
            </w:pPr>
          </w:p>
        </w:tc>
        <w:tc>
          <w:tcPr>
            <w:tcW w:w="880" w:type="dxa"/>
            <w:vAlign w:val="bottom"/>
            <w:tcBorders>
              <w:right w:val="single" w:sz="8" w:color="2D53A6"/>
            </w:tcBorders>
            <w:shd w:val="clear" w:color="auto" w:fill="2D53A6"/>
          </w:tcPr>
          <w:p>
            <w:pPr>
              <w:spacing w:after="0"/>
              <w:rPr>
                <w:sz w:val="7"/>
                <w:szCs w:val="7"/>
                <w:color w:val="auto"/>
              </w:rPr>
            </w:pPr>
          </w:p>
        </w:tc>
        <w:tc>
          <w:tcPr>
            <w:tcW w:w="880" w:type="dxa"/>
            <w:vAlign w:val="bottom"/>
            <w:tcBorders>
              <w:right w:val="single" w:sz="8" w:color="2D53A6"/>
            </w:tcBorders>
            <w:shd w:val="clear" w:color="auto" w:fill="2D53A6"/>
          </w:tcPr>
          <w:p>
            <w:pPr>
              <w:spacing w:after="0"/>
              <w:rPr>
                <w:sz w:val="7"/>
                <w:szCs w:val="7"/>
                <w:color w:val="auto"/>
              </w:rPr>
            </w:pPr>
          </w:p>
        </w:tc>
        <w:tc>
          <w:tcPr>
            <w:tcW w:w="980" w:type="dxa"/>
            <w:vAlign w:val="bottom"/>
            <w:tcBorders>
              <w:right w:val="single" w:sz="8" w:color="2D53A6"/>
            </w:tcBorders>
            <w:vMerge w:val="continue"/>
            <w:shd w:val="clear" w:color="auto" w:fill="2D53A6"/>
          </w:tcPr>
          <w:p>
            <w:pPr>
              <w:spacing w:after="0"/>
              <w:rPr>
                <w:sz w:val="7"/>
                <w:szCs w:val="7"/>
                <w:color w:val="auto"/>
              </w:rPr>
            </w:pPr>
          </w:p>
        </w:tc>
        <w:tc>
          <w:tcPr>
            <w:tcW w:w="1000" w:type="dxa"/>
            <w:vAlign w:val="bottom"/>
            <w:tcBorders>
              <w:right w:val="single" w:sz="8" w:color="2D53A6"/>
            </w:tcBorders>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2D53A6"/>
              <w:right w:val="single" w:sz="8" w:color="2D53A6"/>
            </w:tcBorders>
          </w:tcPr>
          <w:p>
            <w:pPr>
              <w:spacing w:after="0"/>
              <w:rPr>
                <w:sz w:val="16"/>
                <w:szCs w:val="16"/>
                <w:color w:val="auto"/>
              </w:rPr>
            </w:pPr>
          </w:p>
        </w:tc>
        <w:tc>
          <w:tcPr>
            <w:tcW w:w="17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4"/>
                <w:szCs w:val="14"/>
                <w:color w:val="auto"/>
              </w:rPr>
              <w:t>Cash Incentives</w:t>
            </w:r>
          </w:p>
        </w:tc>
        <w:tc>
          <w:tcPr>
            <w:tcW w:w="116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2D53A6"/>
            </w:tcBorders>
          </w:tcPr>
          <w:p>
            <w:pPr>
              <w:spacing w:after="0"/>
              <w:rPr>
                <w:sz w:val="16"/>
                <w:szCs w:val="16"/>
                <w:color w:val="auto"/>
              </w:rPr>
            </w:pPr>
          </w:p>
        </w:tc>
        <w:tc>
          <w:tcPr>
            <w:tcW w:w="78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786,500</w:t>
            </w:r>
          </w:p>
        </w:tc>
        <w:tc>
          <w:tcPr>
            <w:tcW w:w="9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1,573,000</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940" w:type="dxa"/>
            <w:vAlign w:val="bottom"/>
            <w:tcBorders>
              <w:left w:val="single" w:sz="8" w:color="2D53A6"/>
              <w:right w:val="single" w:sz="8" w:color="2D53A6"/>
            </w:tcBorders>
          </w:tcPr>
          <w:p>
            <w:pPr>
              <w:ind w:left="40"/>
              <w:spacing w:after="0" w:line="160" w:lineRule="exact"/>
              <w:rPr>
                <w:sz w:val="20"/>
                <w:szCs w:val="20"/>
                <w:color w:val="auto"/>
              </w:rPr>
            </w:pPr>
            <w:r>
              <w:rPr>
                <w:rFonts w:ascii="Arial" w:cs="Arial" w:eastAsia="Arial" w:hAnsi="Arial"/>
                <w:sz w:val="14"/>
                <w:szCs w:val="14"/>
                <w:color w:val="auto"/>
              </w:rPr>
              <w:t>Luis A.</w:t>
            </w:r>
          </w:p>
        </w:tc>
        <w:tc>
          <w:tcPr>
            <w:tcW w:w="1780" w:type="dxa"/>
            <w:vAlign w:val="bottom"/>
            <w:tcBorders>
              <w:right w:val="single" w:sz="8" w:color="2D53A6"/>
            </w:tcBorders>
          </w:tcPr>
          <w:p>
            <w:pPr>
              <w:spacing w:after="0" w:line="160" w:lineRule="exact"/>
              <w:rPr>
                <w:sz w:val="20"/>
                <w:szCs w:val="20"/>
                <w:color w:val="auto"/>
              </w:rPr>
            </w:pPr>
            <w:r>
              <w:rPr>
                <w:rFonts w:ascii="Arial" w:cs="Arial" w:eastAsia="Arial" w:hAnsi="Arial"/>
                <w:sz w:val="14"/>
                <w:szCs w:val="14"/>
                <w:color w:val="auto"/>
              </w:rPr>
              <w:t>Time-based RSUs</w:t>
            </w:r>
          </w:p>
        </w:tc>
        <w:tc>
          <w:tcPr>
            <w:tcW w:w="1160" w:type="dxa"/>
            <w:vAlign w:val="bottom"/>
            <w:tcBorders>
              <w:right w:val="single" w:sz="8" w:color="2D53A6"/>
            </w:tcBorders>
          </w:tcPr>
          <w:p>
            <w:pPr>
              <w:jc w:val="right"/>
              <w:ind w:right="68"/>
              <w:spacing w:after="0" w:line="160" w:lineRule="exact"/>
              <w:rPr>
                <w:sz w:val="20"/>
                <w:szCs w:val="20"/>
                <w:color w:val="auto"/>
              </w:rPr>
            </w:pPr>
            <w:r>
              <w:rPr>
                <w:rFonts w:ascii="Arial" w:cs="Arial" w:eastAsia="Arial" w:hAnsi="Arial"/>
                <w:sz w:val="14"/>
                <w:szCs w:val="14"/>
                <w:color w:val="auto"/>
              </w:rPr>
              <w:t>3/11/2025</w:t>
            </w:r>
          </w:p>
        </w:tc>
        <w:tc>
          <w:tcPr>
            <w:tcW w:w="100" w:type="dxa"/>
            <w:vAlign w:val="bottom"/>
          </w:tcPr>
          <w:p>
            <w:pPr>
              <w:spacing w:after="0"/>
              <w:rPr>
                <w:sz w:val="13"/>
                <w:szCs w:val="13"/>
                <w:color w:val="auto"/>
              </w:rPr>
            </w:pPr>
          </w:p>
        </w:tc>
        <w:tc>
          <w:tcPr>
            <w:tcW w:w="780" w:type="dxa"/>
            <w:vAlign w:val="bottom"/>
            <w:tcBorders>
              <w:right w:val="single" w:sz="8" w:color="2D53A6"/>
            </w:tcBorders>
          </w:tcPr>
          <w:p>
            <w:pPr>
              <w:jc w:val="right"/>
              <w:ind w:right="6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2D53A6"/>
            </w:tcBorders>
          </w:tcPr>
          <w:p>
            <w:pPr>
              <w:jc w:val="right"/>
              <w:ind w:right="68"/>
              <w:spacing w:after="0" w:line="160"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2D53A6"/>
            </w:tcBorders>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2D53A6"/>
            </w:tcBorders>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2D53A6"/>
            </w:tcBorders>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2D53A6"/>
            </w:tcBorders>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2D53A6"/>
            </w:tcBorders>
          </w:tcPr>
          <w:p>
            <w:pPr>
              <w:jc w:val="right"/>
              <w:ind w:right="49"/>
              <w:spacing w:after="0" w:line="160" w:lineRule="exact"/>
              <w:rPr>
                <w:sz w:val="20"/>
                <w:szCs w:val="20"/>
                <w:color w:val="auto"/>
              </w:rPr>
            </w:pPr>
            <w:r>
              <w:rPr>
                <w:rFonts w:ascii="Arial" w:cs="Arial" w:eastAsia="Arial" w:hAnsi="Arial"/>
                <w:sz w:val="14"/>
                <w:szCs w:val="14"/>
                <w:color w:val="auto"/>
              </w:rPr>
              <w:t>97,067</w:t>
            </w:r>
          </w:p>
        </w:tc>
        <w:tc>
          <w:tcPr>
            <w:tcW w:w="1000" w:type="dxa"/>
            <w:vAlign w:val="bottom"/>
            <w:tcBorders>
              <w:right w:val="single" w:sz="8" w:color="2D53A6"/>
            </w:tcBorders>
          </w:tcPr>
          <w:p>
            <w:pPr>
              <w:jc w:val="right"/>
              <w:ind w:right="49"/>
              <w:spacing w:after="0" w:line="160" w:lineRule="exact"/>
              <w:rPr>
                <w:sz w:val="20"/>
                <w:szCs w:val="20"/>
                <w:color w:val="auto"/>
              </w:rPr>
            </w:pPr>
            <w:r>
              <w:rPr>
                <w:rFonts w:ascii="Arial" w:cs="Arial" w:eastAsia="Arial" w:hAnsi="Arial"/>
                <w:sz w:val="14"/>
                <w:szCs w:val="14"/>
                <w:color w:val="auto"/>
              </w:rPr>
              <w:t>1,602,576</w:t>
            </w:r>
          </w:p>
        </w:tc>
        <w:tc>
          <w:tcPr>
            <w:tcW w:w="0" w:type="dxa"/>
            <w:vAlign w:val="bottom"/>
          </w:tcPr>
          <w:p>
            <w:pPr>
              <w:spacing w:after="0"/>
              <w:rPr>
                <w:sz w:val="1"/>
                <w:szCs w:val="1"/>
                <w:color w:val="auto"/>
              </w:rPr>
            </w:pPr>
          </w:p>
        </w:tc>
      </w:tr>
      <w:tr>
        <w:trPr>
          <w:trHeight w:val="23"/>
        </w:trPr>
        <w:tc>
          <w:tcPr>
            <w:tcW w:w="940" w:type="dxa"/>
            <w:vAlign w:val="bottom"/>
            <w:tcBorders>
              <w:left w:val="single" w:sz="8" w:color="2D53A6"/>
              <w:right w:val="single" w:sz="8" w:color="2D53A6"/>
            </w:tcBorders>
            <w:vMerge w:val="restart"/>
          </w:tcPr>
          <w:p>
            <w:pPr>
              <w:ind w:left="40"/>
              <w:spacing w:after="0"/>
              <w:rPr>
                <w:sz w:val="20"/>
                <w:szCs w:val="20"/>
                <w:color w:val="auto"/>
              </w:rPr>
            </w:pPr>
            <w:r>
              <w:rPr>
                <w:rFonts w:ascii="Arial" w:cs="Arial" w:eastAsia="Arial" w:hAnsi="Arial"/>
                <w:sz w:val="14"/>
                <w:szCs w:val="14"/>
                <w:color w:val="auto"/>
              </w:rPr>
              <w:t>Müller</w:t>
            </w:r>
          </w:p>
        </w:tc>
        <w:tc>
          <w:tcPr>
            <w:tcW w:w="1780" w:type="dxa"/>
            <w:vAlign w:val="bottom"/>
            <w:tcBorders>
              <w:bottom w:val="single" w:sz="8" w:color="2D53A6"/>
              <w:right w:val="single" w:sz="8" w:color="2D53A6"/>
            </w:tcBorders>
          </w:tcPr>
          <w:p>
            <w:pPr>
              <w:spacing w:after="0" w:line="20" w:lineRule="exact"/>
              <w:rPr>
                <w:sz w:val="1"/>
                <w:szCs w:val="1"/>
                <w:color w:val="auto"/>
              </w:rPr>
            </w:pPr>
          </w:p>
        </w:tc>
        <w:tc>
          <w:tcPr>
            <w:tcW w:w="1160" w:type="dxa"/>
            <w:vAlign w:val="bottom"/>
            <w:tcBorders>
              <w:bottom w:val="single" w:sz="8" w:color="2D53A6"/>
              <w:right w:val="single" w:sz="8" w:color="2D53A6"/>
            </w:tcBorders>
          </w:tcPr>
          <w:p>
            <w:pPr>
              <w:spacing w:after="0" w:line="20" w:lineRule="exact"/>
              <w:rPr>
                <w:sz w:val="1"/>
                <w:szCs w:val="1"/>
                <w:color w:val="auto"/>
              </w:rPr>
            </w:pPr>
          </w:p>
        </w:tc>
        <w:tc>
          <w:tcPr>
            <w:tcW w:w="100" w:type="dxa"/>
            <w:vAlign w:val="bottom"/>
            <w:tcBorders>
              <w:bottom w:val="single" w:sz="8" w:color="2D53A6"/>
            </w:tcBorders>
          </w:tcPr>
          <w:p>
            <w:pPr>
              <w:spacing w:after="0" w:line="20" w:lineRule="exact"/>
              <w:rPr>
                <w:sz w:val="1"/>
                <w:szCs w:val="1"/>
                <w:color w:val="auto"/>
              </w:rPr>
            </w:pPr>
          </w:p>
        </w:tc>
        <w:tc>
          <w:tcPr>
            <w:tcW w:w="780" w:type="dxa"/>
            <w:vAlign w:val="bottom"/>
            <w:tcBorders>
              <w:bottom w:val="single" w:sz="8" w:color="2D53A6"/>
              <w:right w:val="single" w:sz="8" w:color="2D53A6"/>
            </w:tcBorders>
          </w:tcPr>
          <w:p>
            <w:pPr>
              <w:spacing w:after="0" w:line="20" w:lineRule="exact"/>
              <w:rPr>
                <w:sz w:val="1"/>
                <w:szCs w:val="1"/>
                <w:color w:val="auto"/>
              </w:rPr>
            </w:pPr>
          </w:p>
        </w:tc>
        <w:tc>
          <w:tcPr>
            <w:tcW w:w="880" w:type="dxa"/>
            <w:vAlign w:val="bottom"/>
            <w:tcBorders>
              <w:bottom w:val="single" w:sz="8" w:color="2D53A6"/>
              <w:right w:val="single" w:sz="8" w:color="2D53A6"/>
            </w:tcBorders>
          </w:tcPr>
          <w:p>
            <w:pPr>
              <w:spacing w:after="0" w:line="20" w:lineRule="exact"/>
              <w:rPr>
                <w:sz w:val="1"/>
                <w:szCs w:val="1"/>
                <w:color w:val="auto"/>
              </w:rPr>
            </w:pPr>
          </w:p>
        </w:tc>
        <w:tc>
          <w:tcPr>
            <w:tcW w:w="980" w:type="dxa"/>
            <w:vAlign w:val="bottom"/>
            <w:tcBorders>
              <w:bottom w:val="single" w:sz="8" w:color="2D53A6"/>
              <w:right w:val="single" w:sz="8" w:color="2D53A6"/>
            </w:tcBorders>
          </w:tcPr>
          <w:p>
            <w:pPr>
              <w:spacing w:after="0" w:line="20" w:lineRule="exact"/>
              <w:rPr>
                <w:sz w:val="1"/>
                <w:szCs w:val="1"/>
                <w:color w:val="auto"/>
              </w:rPr>
            </w:pPr>
          </w:p>
        </w:tc>
        <w:tc>
          <w:tcPr>
            <w:tcW w:w="880" w:type="dxa"/>
            <w:vAlign w:val="bottom"/>
            <w:tcBorders>
              <w:bottom w:val="single" w:sz="8" w:color="2D53A6"/>
              <w:right w:val="single" w:sz="8" w:color="2D53A6"/>
            </w:tcBorders>
          </w:tcPr>
          <w:p>
            <w:pPr>
              <w:spacing w:after="0" w:line="20" w:lineRule="exact"/>
              <w:rPr>
                <w:sz w:val="1"/>
                <w:szCs w:val="1"/>
                <w:color w:val="auto"/>
              </w:rPr>
            </w:pPr>
          </w:p>
        </w:tc>
        <w:tc>
          <w:tcPr>
            <w:tcW w:w="880" w:type="dxa"/>
            <w:vAlign w:val="bottom"/>
            <w:tcBorders>
              <w:bottom w:val="single" w:sz="8" w:color="2D53A6"/>
              <w:right w:val="single" w:sz="8" w:color="2D53A6"/>
            </w:tcBorders>
          </w:tcPr>
          <w:p>
            <w:pPr>
              <w:spacing w:after="0" w:line="20" w:lineRule="exact"/>
              <w:rPr>
                <w:sz w:val="1"/>
                <w:szCs w:val="1"/>
                <w:color w:val="auto"/>
              </w:rPr>
            </w:pPr>
          </w:p>
        </w:tc>
        <w:tc>
          <w:tcPr>
            <w:tcW w:w="880" w:type="dxa"/>
            <w:vAlign w:val="bottom"/>
            <w:tcBorders>
              <w:bottom w:val="single" w:sz="8" w:color="2D53A6"/>
              <w:right w:val="single" w:sz="8" w:color="2D53A6"/>
            </w:tcBorders>
          </w:tcPr>
          <w:p>
            <w:pPr>
              <w:spacing w:after="0" w:line="20" w:lineRule="exact"/>
              <w:rPr>
                <w:sz w:val="1"/>
                <w:szCs w:val="1"/>
                <w:color w:val="auto"/>
              </w:rPr>
            </w:pPr>
          </w:p>
        </w:tc>
        <w:tc>
          <w:tcPr>
            <w:tcW w:w="980" w:type="dxa"/>
            <w:vAlign w:val="bottom"/>
            <w:tcBorders>
              <w:bottom w:val="single" w:sz="8" w:color="2D53A6"/>
              <w:right w:val="single" w:sz="8" w:color="2D53A6"/>
            </w:tcBorders>
          </w:tcPr>
          <w:p>
            <w:pPr>
              <w:spacing w:after="0" w:line="20" w:lineRule="exact"/>
              <w:rPr>
                <w:sz w:val="1"/>
                <w:szCs w:val="1"/>
                <w:color w:val="auto"/>
              </w:rPr>
            </w:pPr>
          </w:p>
        </w:tc>
        <w:tc>
          <w:tcPr>
            <w:tcW w:w="1000" w:type="dxa"/>
            <w:vAlign w:val="bottom"/>
            <w:tcBorders>
              <w:bottom w:val="single" w:sz="8" w:color="2D53A6"/>
              <w:right w:val="single" w:sz="8" w:color="2D53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940" w:type="dxa"/>
            <w:vAlign w:val="bottom"/>
            <w:tcBorders>
              <w:left w:val="single" w:sz="8" w:color="2D53A6"/>
              <w:right w:val="single" w:sz="8" w:color="2D53A6"/>
            </w:tcBorders>
            <w:vMerge w:val="continue"/>
          </w:tcPr>
          <w:p>
            <w:pPr>
              <w:spacing w:after="0"/>
              <w:rPr>
                <w:sz w:val="13"/>
                <w:szCs w:val="13"/>
                <w:color w:val="auto"/>
              </w:rPr>
            </w:pPr>
          </w:p>
        </w:tc>
        <w:tc>
          <w:tcPr>
            <w:tcW w:w="1780" w:type="dxa"/>
            <w:vAlign w:val="bottom"/>
            <w:tcBorders>
              <w:right w:val="single" w:sz="8" w:color="2D53A6"/>
            </w:tcBorders>
          </w:tcPr>
          <w:p>
            <w:pPr>
              <w:spacing w:after="0" w:line="160" w:lineRule="exact"/>
              <w:rPr>
                <w:sz w:val="20"/>
                <w:szCs w:val="20"/>
                <w:color w:val="auto"/>
              </w:rPr>
            </w:pPr>
            <w:r>
              <w:rPr>
                <w:rFonts w:ascii="Arial" w:cs="Arial" w:eastAsia="Arial" w:hAnsi="Arial"/>
                <w:sz w:val="14"/>
                <w:szCs w:val="14"/>
                <w:color w:val="auto"/>
              </w:rPr>
              <w:t>Performance-based</w:t>
            </w:r>
          </w:p>
        </w:tc>
        <w:tc>
          <w:tcPr>
            <w:tcW w:w="1160" w:type="dxa"/>
            <w:vAlign w:val="bottom"/>
            <w:tcBorders>
              <w:right w:val="single" w:sz="8" w:color="2D53A6"/>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2D53A6"/>
            </w:tcBorders>
          </w:tcPr>
          <w:p>
            <w:pPr>
              <w:spacing w:after="0"/>
              <w:rPr>
                <w:sz w:val="13"/>
                <w:szCs w:val="13"/>
                <w:color w:val="auto"/>
              </w:rPr>
            </w:pPr>
          </w:p>
        </w:tc>
        <w:tc>
          <w:tcPr>
            <w:tcW w:w="880" w:type="dxa"/>
            <w:vAlign w:val="bottom"/>
            <w:tcBorders>
              <w:right w:val="single" w:sz="8" w:color="2D53A6"/>
            </w:tcBorders>
          </w:tcPr>
          <w:p>
            <w:pPr>
              <w:spacing w:after="0"/>
              <w:rPr>
                <w:sz w:val="13"/>
                <w:szCs w:val="13"/>
                <w:color w:val="auto"/>
              </w:rPr>
            </w:pPr>
          </w:p>
        </w:tc>
        <w:tc>
          <w:tcPr>
            <w:tcW w:w="980" w:type="dxa"/>
            <w:vAlign w:val="bottom"/>
            <w:tcBorders>
              <w:right w:val="single" w:sz="8" w:color="2D53A6"/>
            </w:tcBorders>
          </w:tcPr>
          <w:p>
            <w:pPr>
              <w:spacing w:after="0"/>
              <w:rPr>
                <w:sz w:val="13"/>
                <w:szCs w:val="13"/>
                <w:color w:val="auto"/>
              </w:rPr>
            </w:pPr>
          </w:p>
        </w:tc>
        <w:tc>
          <w:tcPr>
            <w:tcW w:w="880" w:type="dxa"/>
            <w:vAlign w:val="bottom"/>
            <w:tcBorders>
              <w:right w:val="single" w:sz="8" w:color="2D53A6"/>
            </w:tcBorders>
          </w:tcPr>
          <w:p>
            <w:pPr>
              <w:spacing w:after="0"/>
              <w:rPr>
                <w:sz w:val="13"/>
                <w:szCs w:val="13"/>
                <w:color w:val="auto"/>
              </w:rPr>
            </w:pPr>
          </w:p>
        </w:tc>
        <w:tc>
          <w:tcPr>
            <w:tcW w:w="880" w:type="dxa"/>
            <w:vAlign w:val="bottom"/>
            <w:tcBorders>
              <w:right w:val="single" w:sz="8" w:color="2D53A6"/>
            </w:tcBorders>
          </w:tcPr>
          <w:p>
            <w:pPr>
              <w:spacing w:after="0"/>
              <w:rPr>
                <w:sz w:val="13"/>
                <w:szCs w:val="13"/>
                <w:color w:val="auto"/>
              </w:rPr>
            </w:pPr>
          </w:p>
        </w:tc>
        <w:tc>
          <w:tcPr>
            <w:tcW w:w="880" w:type="dxa"/>
            <w:vAlign w:val="bottom"/>
            <w:tcBorders>
              <w:right w:val="single" w:sz="8" w:color="2D53A6"/>
            </w:tcBorders>
          </w:tcPr>
          <w:p>
            <w:pPr>
              <w:spacing w:after="0"/>
              <w:rPr>
                <w:sz w:val="13"/>
                <w:szCs w:val="13"/>
                <w:color w:val="auto"/>
              </w:rPr>
            </w:pPr>
          </w:p>
        </w:tc>
        <w:tc>
          <w:tcPr>
            <w:tcW w:w="980" w:type="dxa"/>
            <w:vAlign w:val="bottom"/>
            <w:tcBorders>
              <w:right w:val="single" w:sz="8" w:color="2D53A6"/>
            </w:tcBorders>
          </w:tcPr>
          <w:p>
            <w:pPr>
              <w:spacing w:after="0"/>
              <w:rPr>
                <w:sz w:val="13"/>
                <w:szCs w:val="13"/>
                <w:color w:val="auto"/>
              </w:rPr>
            </w:pPr>
          </w:p>
        </w:tc>
        <w:tc>
          <w:tcPr>
            <w:tcW w:w="1000" w:type="dxa"/>
            <w:vAlign w:val="bottom"/>
            <w:tcBorders>
              <w:right w:val="single" w:sz="8" w:color="2D53A6"/>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2D53A6"/>
              <w:bottom w:val="single" w:sz="8" w:color="2D53A6"/>
              <w:right w:val="single" w:sz="8" w:color="2D53A6"/>
            </w:tcBorders>
          </w:tcPr>
          <w:p>
            <w:pPr>
              <w:spacing w:after="0"/>
              <w:rPr>
                <w:sz w:val="16"/>
                <w:szCs w:val="16"/>
                <w:color w:val="auto"/>
              </w:rPr>
            </w:pPr>
          </w:p>
        </w:tc>
        <w:tc>
          <w:tcPr>
            <w:tcW w:w="17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4"/>
                <w:szCs w:val="14"/>
                <w:color w:val="auto"/>
              </w:rPr>
              <w:t>RSUs</w:t>
            </w:r>
          </w:p>
        </w:tc>
        <w:tc>
          <w:tcPr>
            <w:tcW w:w="116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3/11/2025</w:t>
            </w:r>
          </w:p>
        </w:tc>
        <w:tc>
          <w:tcPr>
            <w:tcW w:w="100" w:type="dxa"/>
            <w:vAlign w:val="bottom"/>
            <w:tcBorders>
              <w:bottom w:val="single" w:sz="8" w:color="2D53A6"/>
            </w:tcBorders>
          </w:tcPr>
          <w:p>
            <w:pPr>
              <w:spacing w:after="0"/>
              <w:rPr>
                <w:sz w:val="16"/>
                <w:szCs w:val="16"/>
                <w:color w:val="auto"/>
              </w:rPr>
            </w:pPr>
          </w:p>
        </w:tc>
        <w:tc>
          <w:tcPr>
            <w:tcW w:w="78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145,601</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291,202</w:t>
            </w:r>
          </w:p>
        </w:tc>
        <w:tc>
          <w:tcPr>
            <w:tcW w:w="98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1,905,917</w:t>
            </w:r>
          </w:p>
        </w:tc>
        <w:tc>
          <w:tcPr>
            <w:tcW w:w="0" w:type="dxa"/>
            <w:vAlign w:val="bottom"/>
          </w:tcPr>
          <w:p>
            <w:pPr>
              <w:spacing w:after="0"/>
              <w:rPr>
                <w:sz w:val="1"/>
                <w:szCs w:val="1"/>
                <w:color w:val="auto"/>
              </w:rPr>
            </w:pPr>
          </w:p>
        </w:tc>
      </w:tr>
      <w:tr>
        <w:trPr>
          <w:trHeight w:val="183"/>
        </w:trPr>
        <w:tc>
          <w:tcPr>
            <w:tcW w:w="940" w:type="dxa"/>
            <w:vAlign w:val="bottom"/>
            <w:tcBorders>
              <w:left w:val="single" w:sz="8" w:color="2D53A6"/>
              <w:bottom w:val="single" w:sz="8" w:color="E6E6E6"/>
              <w:right w:val="single" w:sz="8" w:color="2D53A6"/>
            </w:tcBorders>
            <w:shd w:val="clear" w:color="auto" w:fill="E6E6E6"/>
          </w:tcPr>
          <w:p>
            <w:pPr>
              <w:spacing w:after="0"/>
              <w:rPr>
                <w:sz w:val="15"/>
                <w:szCs w:val="15"/>
                <w:color w:val="auto"/>
              </w:rPr>
            </w:pPr>
          </w:p>
        </w:tc>
        <w:tc>
          <w:tcPr>
            <w:tcW w:w="17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4"/>
                <w:szCs w:val="14"/>
                <w:color w:val="auto"/>
              </w:rPr>
              <w:t>Cash Incentives</w:t>
            </w:r>
          </w:p>
        </w:tc>
        <w:tc>
          <w:tcPr>
            <w:tcW w:w="116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2D53A6"/>
            </w:tcBorders>
            <w:shd w:val="clear" w:color="auto" w:fill="E6E6E6"/>
          </w:tcPr>
          <w:p>
            <w:pPr>
              <w:spacing w:after="0"/>
              <w:rPr>
                <w:sz w:val="15"/>
                <w:szCs w:val="15"/>
                <w:color w:val="auto"/>
              </w:rPr>
            </w:pPr>
          </w:p>
        </w:tc>
        <w:tc>
          <w:tcPr>
            <w:tcW w:w="78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341,250</w:t>
            </w:r>
          </w:p>
        </w:tc>
        <w:tc>
          <w:tcPr>
            <w:tcW w:w="9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682,500</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940" w:type="dxa"/>
            <w:vAlign w:val="bottom"/>
            <w:tcBorders>
              <w:left w:val="single" w:sz="8" w:color="2D53A6"/>
              <w:bottom w:val="single" w:sz="8" w:color="E6E6E6"/>
              <w:right w:val="single" w:sz="8" w:color="2D53A6"/>
            </w:tcBorders>
            <w:shd w:val="clear" w:color="auto" w:fill="E6E6E6"/>
          </w:tcPr>
          <w:p>
            <w:pPr>
              <w:ind w:left="40"/>
              <w:spacing w:after="0" w:line="160" w:lineRule="exact"/>
              <w:rPr>
                <w:sz w:val="20"/>
                <w:szCs w:val="20"/>
                <w:color w:val="auto"/>
              </w:rPr>
            </w:pPr>
            <w:r>
              <w:rPr>
                <w:rFonts w:ascii="Arial" w:cs="Arial" w:eastAsia="Arial" w:hAnsi="Arial"/>
                <w:sz w:val="14"/>
                <w:szCs w:val="14"/>
                <w:color w:val="auto"/>
              </w:rPr>
              <w:t>Jeffrey D.</w:t>
            </w:r>
          </w:p>
        </w:tc>
        <w:tc>
          <w:tcPr>
            <w:tcW w:w="1780" w:type="dxa"/>
            <w:vAlign w:val="bottom"/>
            <w:tcBorders>
              <w:bottom w:val="single" w:sz="8" w:color="E6E6E6"/>
              <w:right w:val="single" w:sz="8" w:color="2D53A6"/>
            </w:tcBorders>
            <w:shd w:val="clear" w:color="auto" w:fill="E6E6E6"/>
          </w:tcPr>
          <w:p>
            <w:pPr>
              <w:spacing w:after="0" w:line="160" w:lineRule="exact"/>
              <w:rPr>
                <w:sz w:val="20"/>
                <w:szCs w:val="20"/>
                <w:color w:val="auto"/>
              </w:rPr>
            </w:pPr>
            <w:r>
              <w:rPr>
                <w:rFonts w:ascii="Arial" w:cs="Arial" w:eastAsia="Arial" w:hAnsi="Arial"/>
                <w:sz w:val="14"/>
                <w:szCs w:val="14"/>
                <w:color w:val="auto"/>
              </w:rPr>
              <w:t>Time-based RSUs</w:t>
            </w:r>
          </w:p>
        </w:tc>
        <w:tc>
          <w:tcPr>
            <w:tcW w:w="1160" w:type="dxa"/>
            <w:vAlign w:val="bottom"/>
            <w:tcBorders>
              <w:bottom w:val="single" w:sz="8" w:color="E6E6E6"/>
              <w:right w:val="single" w:sz="8" w:color="2D53A6"/>
            </w:tcBorders>
            <w:shd w:val="clear" w:color="auto" w:fill="E6E6E6"/>
          </w:tcPr>
          <w:p>
            <w:pPr>
              <w:jc w:val="right"/>
              <w:ind w:right="68"/>
              <w:spacing w:after="0" w:line="160" w:lineRule="exact"/>
              <w:rPr>
                <w:sz w:val="20"/>
                <w:szCs w:val="20"/>
                <w:color w:val="auto"/>
              </w:rPr>
            </w:pPr>
            <w:r>
              <w:rPr>
                <w:rFonts w:ascii="Arial" w:cs="Arial" w:eastAsia="Arial" w:hAnsi="Arial"/>
                <w:sz w:val="14"/>
                <w:szCs w:val="14"/>
                <w:color w:val="auto"/>
              </w:rPr>
              <w:t>3/11/2025</w:t>
            </w:r>
          </w:p>
        </w:tc>
        <w:tc>
          <w:tcPr>
            <w:tcW w:w="100" w:type="dxa"/>
            <w:vAlign w:val="bottom"/>
            <w:tcBorders>
              <w:bottom w:val="single" w:sz="8" w:color="E6E6E6"/>
            </w:tcBorders>
            <w:shd w:val="clear" w:color="auto" w:fill="E6E6E6"/>
          </w:tcPr>
          <w:p>
            <w:pPr>
              <w:spacing w:after="0"/>
              <w:rPr>
                <w:sz w:val="15"/>
                <w:szCs w:val="15"/>
                <w:color w:val="auto"/>
              </w:rPr>
            </w:pPr>
          </w:p>
        </w:tc>
        <w:tc>
          <w:tcPr>
            <w:tcW w:w="780" w:type="dxa"/>
            <w:vAlign w:val="bottom"/>
            <w:tcBorders>
              <w:bottom w:val="single" w:sz="8" w:color="E6E6E6"/>
              <w:right w:val="single" w:sz="8" w:color="2D53A6"/>
            </w:tcBorders>
            <w:shd w:val="clear" w:color="auto" w:fill="E6E6E6"/>
          </w:tcPr>
          <w:p>
            <w:pPr>
              <w:jc w:val="right"/>
              <w:ind w:right="6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E6E6E6"/>
              <w:right w:val="single" w:sz="8" w:color="2D53A6"/>
            </w:tcBorders>
            <w:shd w:val="clear" w:color="auto" w:fill="E6E6E6"/>
          </w:tcPr>
          <w:p>
            <w:pPr>
              <w:jc w:val="right"/>
              <w:ind w:right="68"/>
              <w:spacing w:after="0" w:line="160"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E6E6E6"/>
              <w:right w:val="single" w:sz="8" w:color="2D53A6"/>
            </w:tcBorders>
            <w:shd w:val="clear" w:color="auto" w:fill="E6E6E6"/>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E6E6E6"/>
              <w:right w:val="single" w:sz="8" w:color="2D53A6"/>
            </w:tcBorders>
            <w:shd w:val="clear" w:color="auto" w:fill="E6E6E6"/>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E6E6E6"/>
              <w:right w:val="single" w:sz="8" w:color="2D53A6"/>
            </w:tcBorders>
            <w:shd w:val="clear" w:color="auto" w:fill="E6E6E6"/>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E6E6E6"/>
              <w:right w:val="single" w:sz="8" w:color="2D53A6"/>
            </w:tcBorders>
            <w:shd w:val="clear" w:color="auto" w:fill="E6E6E6"/>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E6E6E6"/>
              <w:right w:val="single" w:sz="8" w:color="2D53A6"/>
            </w:tcBorders>
            <w:shd w:val="clear" w:color="auto" w:fill="E6E6E6"/>
          </w:tcPr>
          <w:p>
            <w:pPr>
              <w:jc w:val="right"/>
              <w:ind w:right="49"/>
              <w:spacing w:after="0" w:line="160" w:lineRule="exact"/>
              <w:rPr>
                <w:sz w:val="20"/>
                <w:szCs w:val="20"/>
                <w:color w:val="auto"/>
              </w:rPr>
            </w:pPr>
            <w:r>
              <w:rPr>
                <w:rFonts w:ascii="Arial" w:cs="Arial" w:eastAsia="Arial" w:hAnsi="Arial"/>
                <w:sz w:val="14"/>
                <w:szCs w:val="14"/>
                <w:color w:val="auto"/>
              </w:rPr>
              <w:t>30,333</w:t>
            </w:r>
          </w:p>
        </w:tc>
        <w:tc>
          <w:tcPr>
            <w:tcW w:w="1000" w:type="dxa"/>
            <w:vAlign w:val="bottom"/>
            <w:tcBorders>
              <w:bottom w:val="single" w:sz="8" w:color="E6E6E6"/>
              <w:right w:val="single" w:sz="8" w:color="2D53A6"/>
            </w:tcBorders>
            <w:shd w:val="clear" w:color="auto" w:fill="E6E6E6"/>
          </w:tcPr>
          <w:p>
            <w:pPr>
              <w:jc w:val="right"/>
              <w:ind w:right="49"/>
              <w:spacing w:after="0" w:line="160" w:lineRule="exact"/>
              <w:rPr>
                <w:sz w:val="20"/>
                <w:szCs w:val="20"/>
                <w:color w:val="auto"/>
              </w:rPr>
            </w:pPr>
            <w:r>
              <w:rPr>
                <w:rFonts w:ascii="Arial" w:cs="Arial" w:eastAsia="Arial" w:hAnsi="Arial"/>
                <w:sz w:val="14"/>
                <w:szCs w:val="14"/>
                <w:color w:val="auto"/>
              </w:rPr>
              <w:t>500,798</w:t>
            </w:r>
          </w:p>
        </w:tc>
        <w:tc>
          <w:tcPr>
            <w:tcW w:w="0" w:type="dxa"/>
            <w:vAlign w:val="bottom"/>
          </w:tcPr>
          <w:p>
            <w:pPr>
              <w:spacing w:after="0"/>
              <w:rPr>
                <w:sz w:val="1"/>
                <w:szCs w:val="1"/>
                <w:color w:val="auto"/>
              </w:rPr>
            </w:pPr>
          </w:p>
        </w:tc>
      </w:tr>
      <w:tr>
        <w:trPr>
          <w:trHeight w:val="160"/>
        </w:trPr>
        <w:tc>
          <w:tcPr>
            <w:tcW w:w="940" w:type="dxa"/>
            <w:vAlign w:val="bottom"/>
            <w:tcBorders>
              <w:top w:val="single" w:sz="8" w:color="E6E6E6"/>
              <w:left w:val="single" w:sz="8" w:color="2D53A6"/>
              <w:right w:val="single" w:sz="8" w:color="2D53A6"/>
            </w:tcBorders>
            <w:shd w:val="clear" w:color="auto" w:fill="E6E6E6"/>
          </w:tcPr>
          <w:p>
            <w:pPr>
              <w:ind w:left="40"/>
              <w:spacing w:after="0" w:line="147" w:lineRule="exact"/>
              <w:rPr>
                <w:sz w:val="20"/>
                <w:szCs w:val="20"/>
                <w:color w:val="auto"/>
              </w:rPr>
            </w:pPr>
            <w:r>
              <w:rPr>
                <w:rFonts w:ascii="Arial" w:cs="Arial" w:eastAsia="Arial" w:hAnsi="Arial"/>
                <w:sz w:val="14"/>
                <w:szCs w:val="14"/>
                <w:color w:val="auto"/>
              </w:rPr>
              <w:t>Jones</w:t>
            </w:r>
          </w:p>
        </w:tc>
        <w:tc>
          <w:tcPr>
            <w:tcW w:w="1780" w:type="dxa"/>
            <w:vAlign w:val="bottom"/>
            <w:tcBorders>
              <w:top w:val="single" w:sz="8" w:color="2D53A6"/>
              <w:right w:val="single" w:sz="8" w:color="2D53A6"/>
            </w:tcBorders>
            <w:shd w:val="clear" w:color="auto" w:fill="E6E6E6"/>
          </w:tcPr>
          <w:p>
            <w:pPr>
              <w:spacing w:after="0" w:line="160" w:lineRule="exact"/>
              <w:rPr>
                <w:sz w:val="20"/>
                <w:szCs w:val="20"/>
                <w:color w:val="auto"/>
              </w:rPr>
            </w:pPr>
            <w:r>
              <w:rPr>
                <w:rFonts w:ascii="Arial" w:cs="Arial" w:eastAsia="Arial" w:hAnsi="Arial"/>
                <w:sz w:val="14"/>
                <w:szCs w:val="14"/>
                <w:color w:val="auto"/>
              </w:rPr>
              <w:t>Performance-based</w:t>
            </w:r>
          </w:p>
        </w:tc>
        <w:tc>
          <w:tcPr>
            <w:tcW w:w="1160" w:type="dxa"/>
            <w:vAlign w:val="bottom"/>
            <w:tcBorders>
              <w:top w:val="single" w:sz="8" w:color="2D53A6"/>
              <w:right w:val="single" w:sz="8" w:color="2D53A6"/>
            </w:tcBorders>
            <w:shd w:val="clear" w:color="auto" w:fill="E6E6E6"/>
          </w:tcPr>
          <w:p>
            <w:pPr>
              <w:spacing w:after="0"/>
              <w:rPr>
                <w:sz w:val="13"/>
                <w:szCs w:val="13"/>
                <w:color w:val="auto"/>
              </w:rPr>
            </w:pPr>
          </w:p>
        </w:tc>
        <w:tc>
          <w:tcPr>
            <w:tcW w:w="100" w:type="dxa"/>
            <w:vAlign w:val="bottom"/>
            <w:tcBorders>
              <w:top w:val="single" w:sz="8" w:color="2D53A6"/>
            </w:tcBorders>
            <w:shd w:val="clear" w:color="auto" w:fill="E6E6E6"/>
          </w:tcPr>
          <w:p>
            <w:pPr>
              <w:spacing w:after="0"/>
              <w:rPr>
                <w:sz w:val="13"/>
                <w:szCs w:val="13"/>
                <w:color w:val="auto"/>
              </w:rPr>
            </w:pPr>
          </w:p>
        </w:tc>
        <w:tc>
          <w:tcPr>
            <w:tcW w:w="780" w:type="dxa"/>
            <w:vAlign w:val="bottom"/>
            <w:tcBorders>
              <w:top w:val="single" w:sz="8" w:color="2D53A6"/>
              <w:right w:val="single" w:sz="8" w:color="2D53A6"/>
            </w:tcBorders>
            <w:shd w:val="clear" w:color="auto" w:fill="E6E6E6"/>
          </w:tcPr>
          <w:p>
            <w:pPr>
              <w:spacing w:after="0"/>
              <w:rPr>
                <w:sz w:val="13"/>
                <w:szCs w:val="13"/>
                <w:color w:val="auto"/>
              </w:rPr>
            </w:pPr>
          </w:p>
        </w:tc>
        <w:tc>
          <w:tcPr>
            <w:tcW w:w="880" w:type="dxa"/>
            <w:vAlign w:val="bottom"/>
            <w:tcBorders>
              <w:top w:val="single" w:sz="8" w:color="2D53A6"/>
              <w:right w:val="single" w:sz="8" w:color="2D53A6"/>
            </w:tcBorders>
            <w:shd w:val="clear" w:color="auto" w:fill="E6E6E6"/>
          </w:tcPr>
          <w:p>
            <w:pPr>
              <w:spacing w:after="0"/>
              <w:rPr>
                <w:sz w:val="13"/>
                <w:szCs w:val="13"/>
                <w:color w:val="auto"/>
              </w:rPr>
            </w:pPr>
          </w:p>
        </w:tc>
        <w:tc>
          <w:tcPr>
            <w:tcW w:w="980" w:type="dxa"/>
            <w:vAlign w:val="bottom"/>
            <w:tcBorders>
              <w:top w:val="single" w:sz="8" w:color="2D53A6"/>
              <w:right w:val="single" w:sz="8" w:color="2D53A6"/>
            </w:tcBorders>
            <w:shd w:val="clear" w:color="auto" w:fill="E6E6E6"/>
          </w:tcPr>
          <w:p>
            <w:pPr>
              <w:spacing w:after="0"/>
              <w:rPr>
                <w:sz w:val="13"/>
                <w:szCs w:val="13"/>
                <w:color w:val="auto"/>
              </w:rPr>
            </w:pPr>
          </w:p>
        </w:tc>
        <w:tc>
          <w:tcPr>
            <w:tcW w:w="880" w:type="dxa"/>
            <w:vAlign w:val="bottom"/>
            <w:tcBorders>
              <w:top w:val="single" w:sz="8" w:color="2D53A6"/>
              <w:right w:val="single" w:sz="8" w:color="2D53A6"/>
            </w:tcBorders>
            <w:shd w:val="clear" w:color="auto" w:fill="E6E6E6"/>
          </w:tcPr>
          <w:p>
            <w:pPr>
              <w:spacing w:after="0"/>
              <w:rPr>
                <w:sz w:val="13"/>
                <w:szCs w:val="13"/>
                <w:color w:val="auto"/>
              </w:rPr>
            </w:pPr>
          </w:p>
        </w:tc>
        <w:tc>
          <w:tcPr>
            <w:tcW w:w="880" w:type="dxa"/>
            <w:vAlign w:val="bottom"/>
            <w:tcBorders>
              <w:top w:val="single" w:sz="8" w:color="2D53A6"/>
              <w:right w:val="single" w:sz="8" w:color="2D53A6"/>
            </w:tcBorders>
            <w:shd w:val="clear" w:color="auto" w:fill="E6E6E6"/>
          </w:tcPr>
          <w:p>
            <w:pPr>
              <w:spacing w:after="0"/>
              <w:rPr>
                <w:sz w:val="13"/>
                <w:szCs w:val="13"/>
                <w:color w:val="auto"/>
              </w:rPr>
            </w:pPr>
          </w:p>
        </w:tc>
        <w:tc>
          <w:tcPr>
            <w:tcW w:w="880" w:type="dxa"/>
            <w:vAlign w:val="bottom"/>
            <w:tcBorders>
              <w:top w:val="single" w:sz="8" w:color="2D53A6"/>
              <w:right w:val="single" w:sz="8" w:color="2D53A6"/>
            </w:tcBorders>
            <w:shd w:val="clear" w:color="auto" w:fill="E6E6E6"/>
          </w:tcPr>
          <w:p>
            <w:pPr>
              <w:spacing w:after="0"/>
              <w:rPr>
                <w:sz w:val="13"/>
                <w:szCs w:val="13"/>
                <w:color w:val="auto"/>
              </w:rPr>
            </w:pPr>
          </w:p>
        </w:tc>
        <w:tc>
          <w:tcPr>
            <w:tcW w:w="980" w:type="dxa"/>
            <w:vAlign w:val="bottom"/>
            <w:tcBorders>
              <w:top w:val="single" w:sz="8" w:color="2D53A6"/>
              <w:right w:val="single" w:sz="8" w:color="2D53A6"/>
            </w:tcBorders>
            <w:shd w:val="clear" w:color="auto" w:fill="E6E6E6"/>
          </w:tcPr>
          <w:p>
            <w:pPr>
              <w:spacing w:after="0"/>
              <w:rPr>
                <w:sz w:val="13"/>
                <w:szCs w:val="13"/>
                <w:color w:val="auto"/>
              </w:rPr>
            </w:pPr>
          </w:p>
        </w:tc>
        <w:tc>
          <w:tcPr>
            <w:tcW w:w="1000" w:type="dxa"/>
            <w:vAlign w:val="bottom"/>
            <w:tcBorders>
              <w:top w:val="single" w:sz="8" w:color="2D53A6"/>
              <w:right w:val="single" w:sz="8" w:color="2D53A6"/>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2D53A6"/>
              <w:bottom w:val="single" w:sz="8" w:color="2D53A6"/>
              <w:right w:val="single" w:sz="8" w:color="2D53A6"/>
            </w:tcBorders>
            <w:shd w:val="clear" w:color="auto" w:fill="E6E6E6"/>
          </w:tcPr>
          <w:p>
            <w:pPr>
              <w:spacing w:after="0"/>
              <w:rPr>
                <w:sz w:val="16"/>
                <w:szCs w:val="16"/>
                <w:color w:val="auto"/>
              </w:rPr>
            </w:pPr>
          </w:p>
        </w:tc>
        <w:tc>
          <w:tcPr>
            <w:tcW w:w="17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4"/>
                <w:szCs w:val="14"/>
                <w:color w:val="auto"/>
              </w:rPr>
              <w:t>RSUs</w:t>
            </w:r>
          </w:p>
        </w:tc>
        <w:tc>
          <w:tcPr>
            <w:tcW w:w="116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3/11/2025</w:t>
            </w:r>
          </w:p>
        </w:tc>
        <w:tc>
          <w:tcPr>
            <w:tcW w:w="100" w:type="dxa"/>
            <w:vAlign w:val="bottom"/>
            <w:tcBorders>
              <w:bottom w:val="single" w:sz="8" w:color="2D53A6"/>
            </w:tcBorders>
            <w:shd w:val="clear" w:color="auto" w:fill="E6E6E6"/>
          </w:tcPr>
          <w:p>
            <w:pPr>
              <w:spacing w:after="0"/>
              <w:rPr>
                <w:sz w:val="16"/>
                <w:szCs w:val="16"/>
                <w:color w:val="auto"/>
              </w:rPr>
            </w:pPr>
          </w:p>
        </w:tc>
        <w:tc>
          <w:tcPr>
            <w:tcW w:w="78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45,500</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91,000</w:t>
            </w:r>
          </w:p>
        </w:tc>
        <w:tc>
          <w:tcPr>
            <w:tcW w:w="98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595,595</w:t>
            </w:r>
          </w:p>
        </w:tc>
        <w:tc>
          <w:tcPr>
            <w:tcW w:w="0" w:type="dxa"/>
            <w:vAlign w:val="bottom"/>
          </w:tcPr>
          <w:p>
            <w:pPr>
              <w:spacing w:after="0"/>
              <w:rPr>
                <w:sz w:val="1"/>
                <w:szCs w:val="1"/>
                <w:color w:val="auto"/>
              </w:rPr>
            </w:pPr>
          </w:p>
        </w:tc>
      </w:tr>
      <w:tr>
        <w:trPr>
          <w:trHeight w:val="183"/>
        </w:trPr>
        <w:tc>
          <w:tcPr>
            <w:tcW w:w="940" w:type="dxa"/>
            <w:vAlign w:val="bottom"/>
            <w:tcBorders>
              <w:left w:val="single" w:sz="8" w:color="2D53A6"/>
              <w:right w:val="single" w:sz="8" w:color="2D53A6"/>
            </w:tcBorders>
          </w:tcPr>
          <w:p>
            <w:pPr>
              <w:spacing w:after="0"/>
              <w:rPr>
                <w:sz w:val="15"/>
                <w:szCs w:val="15"/>
                <w:color w:val="auto"/>
              </w:rPr>
            </w:pPr>
          </w:p>
        </w:tc>
        <w:tc>
          <w:tcPr>
            <w:tcW w:w="17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4"/>
                <w:szCs w:val="14"/>
                <w:color w:val="auto"/>
              </w:rPr>
              <w:t>Cash Incentives</w:t>
            </w:r>
          </w:p>
        </w:tc>
        <w:tc>
          <w:tcPr>
            <w:tcW w:w="116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2D53A6"/>
            </w:tcBorders>
          </w:tcPr>
          <w:p>
            <w:pPr>
              <w:spacing w:after="0"/>
              <w:rPr>
                <w:sz w:val="15"/>
                <w:szCs w:val="15"/>
                <w:color w:val="auto"/>
              </w:rPr>
            </w:pPr>
          </w:p>
        </w:tc>
        <w:tc>
          <w:tcPr>
            <w:tcW w:w="78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318,750</w:t>
            </w:r>
          </w:p>
        </w:tc>
        <w:tc>
          <w:tcPr>
            <w:tcW w:w="9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637,500</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940" w:type="dxa"/>
            <w:vAlign w:val="bottom"/>
            <w:tcBorders>
              <w:left w:val="single" w:sz="8" w:color="2D53A6"/>
              <w:right w:val="single" w:sz="8" w:color="2D53A6"/>
            </w:tcBorders>
          </w:tcPr>
          <w:p>
            <w:pPr>
              <w:ind w:left="40"/>
              <w:spacing w:after="0" w:line="160" w:lineRule="exact"/>
              <w:rPr>
                <w:sz w:val="20"/>
                <w:szCs w:val="20"/>
                <w:color w:val="auto"/>
              </w:rPr>
            </w:pPr>
            <w:r>
              <w:rPr>
                <w:rFonts w:ascii="Arial" w:cs="Arial" w:eastAsia="Arial" w:hAnsi="Arial"/>
                <w:sz w:val="14"/>
                <w:szCs w:val="14"/>
                <w:color w:val="auto"/>
              </w:rPr>
              <w:t>Christopher</w:t>
            </w:r>
          </w:p>
        </w:tc>
        <w:tc>
          <w:tcPr>
            <w:tcW w:w="1780" w:type="dxa"/>
            <w:vAlign w:val="bottom"/>
            <w:tcBorders>
              <w:right w:val="single" w:sz="8" w:color="2D53A6"/>
            </w:tcBorders>
          </w:tcPr>
          <w:p>
            <w:pPr>
              <w:spacing w:after="0" w:line="160" w:lineRule="exact"/>
              <w:rPr>
                <w:sz w:val="20"/>
                <w:szCs w:val="20"/>
                <w:color w:val="auto"/>
              </w:rPr>
            </w:pPr>
            <w:r>
              <w:rPr>
                <w:rFonts w:ascii="Arial" w:cs="Arial" w:eastAsia="Arial" w:hAnsi="Arial"/>
                <w:sz w:val="14"/>
                <w:szCs w:val="14"/>
                <w:color w:val="auto"/>
              </w:rPr>
              <w:t>Time-based RSUs</w:t>
            </w:r>
          </w:p>
        </w:tc>
        <w:tc>
          <w:tcPr>
            <w:tcW w:w="1160" w:type="dxa"/>
            <w:vAlign w:val="bottom"/>
            <w:tcBorders>
              <w:right w:val="single" w:sz="8" w:color="2D53A6"/>
            </w:tcBorders>
          </w:tcPr>
          <w:p>
            <w:pPr>
              <w:jc w:val="right"/>
              <w:ind w:right="68"/>
              <w:spacing w:after="0" w:line="160" w:lineRule="exact"/>
              <w:rPr>
                <w:sz w:val="20"/>
                <w:szCs w:val="20"/>
                <w:color w:val="auto"/>
              </w:rPr>
            </w:pPr>
            <w:r>
              <w:rPr>
                <w:rFonts w:ascii="Arial" w:cs="Arial" w:eastAsia="Arial" w:hAnsi="Arial"/>
                <w:sz w:val="14"/>
                <w:szCs w:val="14"/>
                <w:color w:val="auto"/>
              </w:rPr>
              <w:t>3/11/2025</w:t>
            </w:r>
          </w:p>
        </w:tc>
        <w:tc>
          <w:tcPr>
            <w:tcW w:w="100" w:type="dxa"/>
            <w:vAlign w:val="bottom"/>
          </w:tcPr>
          <w:p>
            <w:pPr>
              <w:spacing w:after="0"/>
              <w:rPr>
                <w:sz w:val="13"/>
                <w:szCs w:val="13"/>
                <w:color w:val="auto"/>
              </w:rPr>
            </w:pPr>
          </w:p>
        </w:tc>
        <w:tc>
          <w:tcPr>
            <w:tcW w:w="780" w:type="dxa"/>
            <w:vAlign w:val="bottom"/>
            <w:tcBorders>
              <w:right w:val="single" w:sz="8" w:color="2D53A6"/>
            </w:tcBorders>
          </w:tcPr>
          <w:p>
            <w:pPr>
              <w:jc w:val="right"/>
              <w:ind w:right="6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2D53A6"/>
            </w:tcBorders>
          </w:tcPr>
          <w:p>
            <w:pPr>
              <w:jc w:val="right"/>
              <w:ind w:right="68"/>
              <w:spacing w:after="0" w:line="160"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2D53A6"/>
            </w:tcBorders>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2D53A6"/>
            </w:tcBorders>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2D53A6"/>
            </w:tcBorders>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2D53A6"/>
            </w:tcBorders>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2D53A6"/>
            </w:tcBorders>
          </w:tcPr>
          <w:p>
            <w:pPr>
              <w:jc w:val="right"/>
              <w:ind w:right="49"/>
              <w:spacing w:after="0" w:line="160" w:lineRule="exact"/>
              <w:rPr>
                <w:sz w:val="20"/>
                <w:szCs w:val="20"/>
                <w:color w:val="auto"/>
              </w:rPr>
            </w:pPr>
            <w:r>
              <w:rPr>
                <w:rFonts w:ascii="Arial" w:cs="Arial" w:eastAsia="Arial" w:hAnsi="Arial"/>
                <w:sz w:val="14"/>
                <w:szCs w:val="14"/>
                <w:color w:val="auto"/>
              </w:rPr>
              <w:t>22,244</w:t>
            </w:r>
          </w:p>
        </w:tc>
        <w:tc>
          <w:tcPr>
            <w:tcW w:w="1000" w:type="dxa"/>
            <w:vAlign w:val="bottom"/>
            <w:tcBorders>
              <w:right w:val="single" w:sz="8" w:color="2D53A6"/>
            </w:tcBorders>
          </w:tcPr>
          <w:p>
            <w:pPr>
              <w:jc w:val="right"/>
              <w:ind w:right="49"/>
              <w:spacing w:after="0" w:line="160" w:lineRule="exact"/>
              <w:rPr>
                <w:sz w:val="20"/>
                <w:szCs w:val="20"/>
                <w:color w:val="auto"/>
              </w:rPr>
            </w:pPr>
            <w:r>
              <w:rPr>
                <w:rFonts w:ascii="Arial" w:cs="Arial" w:eastAsia="Arial" w:hAnsi="Arial"/>
                <w:sz w:val="14"/>
                <w:szCs w:val="14"/>
                <w:color w:val="auto"/>
              </w:rPr>
              <w:t>367,248</w:t>
            </w:r>
          </w:p>
        </w:tc>
        <w:tc>
          <w:tcPr>
            <w:tcW w:w="0" w:type="dxa"/>
            <w:vAlign w:val="bottom"/>
          </w:tcPr>
          <w:p>
            <w:pPr>
              <w:spacing w:after="0"/>
              <w:rPr>
                <w:sz w:val="1"/>
                <w:szCs w:val="1"/>
                <w:color w:val="auto"/>
              </w:rPr>
            </w:pPr>
          </w:p>
        </w:tc>
      </w:tr>
      <w:tr>
        <w:trPr>
          <w:trHeight w:val="23"/>
        </w:trPr>
        <w:tc>
          <w:tcPr>
            <w:tcW w:w="940" w:type="dxa"/>
            <w:vAlign w:val="bottom"/>
            <w:tcBorders>
              <w:left w:val="single" w:sz="8" w:color="2D53A6"/>
              <w:right w:val="single" w:sz="8" w:color="2D53A6"/>
            </w:tcBorders>
            <w:vMerge w:val="restart"/>
          </w:tcPr>
          <w:p>
            <w:pPr>
              <w:ind w:left="40"/>
              <w:spacing w:after="0"/>
              <w:rPr>
                <w:sz w:val="20"/>
                <w:szCs w:val="20"/>
                <w:color w:val="auto"/>
              </w:rPr>
            </w:pPr>
            <w:r>
              <w:rPr>
                <w:rFonts w:ascii="Arial" w:cs="Arial" w:eastAsia="Arial" w:hAnsi="Arial"/>
                <w:sz w:val="14"/>
                <w:szCs w:val="14"/>
                <w:color w:val="auto"/>
              </w:rPr>
              <w:t>G. Bohrson</w:t>
            </w:r>
          </w:p>
        </w:tc>
        <w:tc>
          <w:tcPr>
            <w:tcW w:w="1780" w:type="dxa"/>
            <w:vAlign w:val="bottom"/>
            <w:tcBorders>
              <w:bottom w:val="single" w:sz="8" w:color="2D53A6"/>
              <w:right w:val="single" w:sz="8" w:color="2D53A6"/>
            </w:tcBorders>
          </w:tcPr>
          <w:p>
            <w:pPr>
              <w:spacing w:after="0" w:line="20" w:lineRule="exact"/>
              <w:rPr>
                <w:sz w:val="1"/>
                <w:szCs w:val="1"/>
                <w:color w:val="auto"/>
              </w:rPr>
            </w:pPr>
          </w:p>
        </w:tc>
        <w:tc>
          <w:tcPr>
            <w:tcW w:w="1160" w:type="dxa"/>
            <w:vAlign w:val="bottom"/>
            <w:tcBorders>
              <w:bottom w:val="single" w:sz="8" w:color="2D53A6"/>
              <w:right w:val="single" w:sz="8" w:color="2D53A6"/>
            </w:tcBorders>
          </w:tcPr>
          <w:p>
            <w:pPr>
              <w:spacing w:after="0" w:line="20" w:lineRule="exact"/>
              <w:rPr>
                <w:sz w:val="1"/>
                <w:szCs w:val="1"/>
                <w:color w:val="auto"/>
              </w:rPr>
            </w:pPr>
          </w:p>
        </w:tc>
        <w:tc>
          <w:tcPr>
            <w:tcW w:w="100" w:type="dxa"/>
            <w:vAlign w:val="bottom"/>
            <w:tcBorders>
              <w:bottom w:val="single" w:sz="8" w:color="2D53A6"/>
            </w:tcBorders>
          </w:tcPr>
          <w:p>
            <w:pPr>
              <w:spacing w:after="0" w:line="20" w:lineRule="exact"/>
              <w:rPr>
                <w:sz w:val="1"/>
                <w:szCs w:val="1"/>
                <w:color w:val="auto"/>
              </w:rPr>
            </w:pPr>
          </w:p>
        </w:tc>
        <w:tc>
          <w:tcPr>
            <w:tcW w:w="780" w:type="dxa"/>
            <w:vAlign w:val="bottom"/>
            <w:tcBorders>
              <w:bottom w:val="single" w:sz="8" w:color="2D53A6"/>
              <w:right w:val="single" w:sz="8" w:color="2D53A6"/>
            </w:tcBorders>
          </w:tcPr>
          <w:p>
            <w:pPr>
              <w:spacing w:after="0" w:line="20" w:lineRule="exact"/>
              <w:rPr>
                <w:sz w:val="1"/>
                <w:szCs w:val="1"/>
                <w:color w:val="auto"/>
              </w:rPr>
            </w:pPr>
          </w:p>
        </w:tc>
        <w:tc>
          <w:tcPr>
            <w:tcW w:w="880" w:type="dxa"/>
            <w:vAlign w:val="bottom"/>
            <w:tcBorders>
              <w:bottom w:val="single" w:sz="8" w:color="2D53A6"/>
              <w:right w:val="single" w:sz="8" w:color="2D53A6"/>
            </w:tcBorders>
          </w:tcPr>
          <w:p>
            <w:pPr>
              <w:spacing w:after="0" w:line="20" w:lineRule="exact"/>
              <w:rPr>
                <w:sz w:val="1"/>
                <w:szCs w:val="1"/>
                <w:color w:val="auto"/>
              </w:rPr>
            </w:pPr>
          </w:p>
        </w:tc>
        <w:tc>
          <w:tcPr>
            <w:tcW w:w="980" w:type="dxa"/>
            <w:vAlign w:val="bottom"/>
            <w:tcBorders>
              <w:bottom w:val="single" w:sz="8" w:color="2D53A6"/>
              <w:right w:val="single" w:sz="8" w:color="2D53A6"/>
            </w:tcBorders>
          </w:tcPr>
          <w:p>
            <w:pPr>
              <w:spacing w:after="0" w:line="20" w:lineRule="exact"/>
              <w:rPr>
                <w:sz w:val="1"/>
                <w:szCs w:val="1"/>
                <w:color w:val="auto"/>
              </w:rPr>
            </w:pPr>
          </w:p>
        </w:tc>
        <w:tc>
          <w:tcPr>
            <w:tcW w:w="880" w:type="dxa"/>
            <w:vAlign w:val="bottom"/>
            <w:tcBorders>
              <w:bottom w:val="single" w:sz="8" w:color="2D53A6"/>
              <w:right w:val="single" w:sz="8" w:color="2D53A6"/>
            </w:tcBorders>
          </w:tcPr>
          <w:p>
            <w:pPr>
              <w:spacing w:after="0" w:line="20" w:lineRule="exact"/>
              <w:rPr>
                <w:sz w:val="1"/>
                <w:szCs w:val="1"/>
                <w:color w:val="auto"/>
              </w:rPr>
            </w:pPr>
          </w:p>
        </w:tc>
        <w:tc>
          <w:tcPr>
            <w:tcW w:w="880" w:type="dxa"/>
            <w:vAlign w:val="bottom"/>
            <w:tcBorders>
              <w:bottom w:val="single" w:sz="8" w:color="2D53A6"/>
              <w:right w:val="single" w:sz="8" w:color="2D53A6"/>
            </w:tcBorders>
          </w:tcPr>
          <w:p>
            <w:pPr>
              <w:spacing w:after="0" w:line="20" w:lineRule="exact"/>
              <w:rPr>
                <w:sz w:val="1"/>
                <w:szCs w:val="1"/>
                <w:color w:val="auto"/>
              </w:rPr>
            </w:pPr>
          </w:p>
        </w:tc>
        <w:tc>
          <w:tcPr>
            <w:tcW w:w="880" w:type="dxa"/>
            <w:vAlign w:val="bottom"/>
            <w:tcBorders>
              <w:bottom w:val="single" w:sz="8" w:color="2D53A6"/>
              <w:right w:val="single" w:sz="8" w:color="2D53A6"/>
            </w:tcBorders>
          </w:tcPr>
          <w:p>
            <w:pPr>
              <w:spacing w:after="0" w:line="20" w:lineRule="exact"/>
              <w:rPr>
                <w:sz w:val="1"/>
                <w:szCs w:val="1"/>
                <w:color w:val="auto"/>
              </w:rPr>
            </w:pPr>
          </w:p>
        </w:tc>
        <w:tc>
          <w:tcPr>
            <w:tcW w:w="980" w:type="dxa"/>
            <w:vAlign w:val="bottom"/>
            <w:tcBorders>
              <w:bottom w:val="single" w:sz="8" w:color="2D53A6"/>
              <w:right w:val="single" w:sz="8" w:color="2D53A6"/>
            </w:tcBorders>
          </w:tcPr>
          <w:p>
            <w:pPr>
              <w:spacing w:after="0" w:line="20" w:lineRule="exact"/>
              <w:rPr>
                <w:sz w:val="1"/>
                <w:szCs w:val="1"/>
                <w:color w:val="auto"/>
              </w:rPr>
            </w:pPr>
          </w:p>
        </w:tc>
        <w:tc>
          <w:tcPr>
            <w:tcW w:w="1000" w:type="dxa"/>
            <w:vAlign w:val="bottom"/>
            <w:tcBorders>
              <w:bottom w:val="single" w:sz="8" w:color="2D53A6"/>
              <w:right w:val="single" w:sz="8" w:color="2D53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940" w:type="dxa"/>
            <w:vAlign w:val="bottom"/>
            <w:tcBorders>
              <w:left w:val="single" w:sz="8" w:color="2D53A6"/>
              <w:right w:val="single" w:sz="8" w:color="2D53A6"/>
            </w:tcBorders>
            <w:vMerge w:val="continue"/>
          </w:tcPr>
          <w:p>
            <w:pPr>
              <w:spacing w:after="0"/>
              <w:rPr>
                <w:sz w:val="13"/>
                <w:szCs w:val="13"/>
                <w:color w:val="auto"/>
              </w:rPr>
            </w:pPr>
          </w:p>
        </w:tc>
        <w:tc>
          <w:tcPr>
            <w:tcW w:w="1780" w:type="dxa"/>
            <w:vAlign w:val="bottom"/>
            <w:tcBorders>
              <w:right w:val="single" w:sz="8" w:color="2D53A6"/>
            </w:tcBorders>
          </w:tcPr>
          <w:p>
            <w:pPr>
              <w:spacing w:after="0" w:line="160" w:lineRule="exact"/>
              <w:rPr>
                <w:sz w:val="20"/>
                <w:szCs w:val="20"/>
                <w:color w:val="auto"/>
              </w:rPr>
            </w:pPr>
            <w:r>
              <w:rPr>
                <w:rFonts w:ascii="Arial" w:cs="Arial" w:eastAsia="Arial" w:hAnsi="Arial"/>
                <w:sz w:val="14"/>
                <w:szCs w:val="14"/>
                <w:color w:val="auto"/>
              </w:rPr>
              <w:t>Performance-based</w:t>
            </w:r>
          </w:p>
        </w:tc>
        <w:tc>
          <w:tcPr>
            <w:tcW w:w="1160" w:type="dxa"/>
            <w:vAlign w:val="bottom"/>
            <w:tcBorders>
              <w:right w:val="single" w:sz="8" w:color="2D53A6"/>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2D53A6"/>
            </w:tcBorders>
          </w:tcPr>
          <w:p>
            <w:pPr>
              <w:spacing w:after="0"/>
              <w:rPr>
                <w:sz w:val="13"/>
                <w:szCs w:val="13"/>
                <w:color w:val="auto"/>
              </w:rPr>
            </w:pPr>
          </w:p>
        </w:tc>
        <w:tc>
          <w:tcPr>
            <w:tcW w:w="880" w:type="dxa"/>
            <w:vAlign w:val="bottom"/>
            <w:tcBorders>
              <w:right w:val="single" w:sz="8" w:color="2D53A6"/>
            </w:tcBorders>
          </w:tcPr>
          <w:p>
            <w:pPr>
              <w:spacing w:after="0"/>
              <w:rPr>
                <w:sz w:val="13"/>
                <w:szCs w:val="13"/>
                <w:color w:val="auto"/>
              </w:rPr>
            </w:pPr>
          </w:p>
        </w:tc>
        <w:tc>
          <w:tcPr>
            <w:tcW w:w="980" w:type="dxa"/>
            <w:vAlign w:val="bottom"/>
            <w:tcBorders>
              <w:right w:val="single" w:sz="8" w:color="2D53A6"/>
            </w:tcBorders>
          </w:tcPr>
          <w:p>
            <w:pPr>
              <w:spacing w:after="0"/>
              <w:rPr>
                <w:sz w:val="13"/>
                <w:szCs w:val="13"/>
                <w:color w:val="auto"/>
              </w:rPr>
            </w:pPr>
          </w:p>
        </w:tc>
        <w:tc>
          <w:tcPr>
            <w:tcW w:w="880" w:type="dxa"/>
            <w:vAlign w:val="bottom"/>
            <w:tcBorders>
              <w:right w:val="single" w:sz="8" w:color="2D53A6"/>
            </w:tcBorders>
          </w:tcPr>
          <w:p>
            <w:pPr>
              <w:spacing w:after="0"/>
              <w:rPr>
                <w:sz w:val="13"/>
                <w:szCs w:val="13"/>
                <w:color w:val="auto"/>
              </w:rPr>
            </w:pPr>
          </w:p>
        </w:tc>
        <w:tc>
          <w:tcPr>
            <w:tcW w:w="880" w:type="dxa"/>
            <w:vAlign w:val="bottom"/>
            <w:tcBorders>
              <w:right w:val="single" w:sz="8" w:color="2D53A6"/>
            </w:tcBorders>
          </w:tcPr>
          <w:p>
            <w:pPr>
              <w:spacing w:after="0"/>
              <w:rPr>
                <w:sz w:val="13"/>
                <w:szCs w:val="13"/>
                <w:color w:val="auto"/>
              </w:rPr>
            </w:pPr>
          </w:p>
        </w:tc>
        <w:tc>
          <w:tcPr>
            <w:tcW w:w="880" w:type="dxa"/>
            <w:vAlign w:val="bottom"/>
            <w:tcBorders>
              <w:right w:val="single" w:sz="8" w:color="2D53A6"/>
            </w:tcBorders>
          </w:tcPr>
          <w:p>
            <w:pPr>
              <w:spacing w:after="0"/>
              <w:rPr>
                <w:sz w:val="13"/>
                <w:szCs w:val="13"/>
                <w:color w:val="auto"/>
              </w:rPr>
            </w:pPr>
          </w:p>
        </w:tc>
        <w:tc>
          <w:tcPr>
            <w:tcW w:w="980" w:type="dxa"/>
            <w:vAlign w:val="bottom"/>
            <w:tcBorders>
              <w:right w:val="single" w:sz="8" w:color="2D53A6"/>
            </w:tcBorders>
          </w:tcPr>
          <w:p>
            <w:pPr>
              <w:spacing w:after="0"/>
              <w:rPr>
                <w:sz w:val="13"/>
                <w:szCs w:val="13"/>
                <w:color w:val="auto"/>
              </w:rPr>
            </w:pPr>
          </w:p>
        </w:tc>
        <w:tc>
          <w:tcPr>
            <w:tcW w:w="1000" w:type="dxa"/>
            <w:vAlign w:val="bottom"/>
            <w:tcBorders>
              <w:right w:val="single" w:sz="8" w:color="2D53A6"/>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2D53A6"/>
              <w:bottom w:val="single" w:sz="8" w:color="2D53A6"/>
              <w:right w:val="single" w:sz="8" w:color="2D53A6"/>
            </w:tcBorders>
          </w:tcPr>
          <w:p>
            <w:pPr>
              <w:spacing w:after="0"/>
              <w:rPr>
                <w:sz w:val="16"/>
                <w:szCs w:val="16"/>
                <w:color w:val="auto"/>
              </w:rPr>
            </w:pPr>
          </w:p>
        </w:tc>
        <w:tc>
          <w:tcPr>
            <w:tcW w:w="17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4"/>
                <w:szCs w:val="14"/>
                <w:color w:val="auto"/>
              </w:rPr>
              <w:t>RSUs</w:t>
            </w:r>
          </w:p>
        </w:tc>
        <w:tc>
          <w:tcPr>
            <w:tcW w:w="116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3/11/2025</w:t>
            </w:r>
          </w:p>
        </w:tc>
        <w:tc>
          <w:tcPr>
            <w:tcW w:w="100" w:type="dxa"/>
            <w:vAlign w:val="bottom"/>
            <w:tcBorders>
              <w:bottom w:val="single" w:sz="8" w:color="2D53A6"/>
            </w:tcBorders>
          </w:tcPr>
          <w:p>
            <w:pPr>
              <w:spacing w:after="0"/>
              <w:rPr>
                <w:sz w:val="16"/>
                <w:szCs w:val="16"/>
                <w:color w:val="auto"/>
              </w:rPr>
            </w:pPr>
          </w:p>
        </w:tc>
        <w:tc>
          <w:tcPr>
            <w:tcW w:w="78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33,367</w:t>
            </w:r>
          </w:p>
        </w:tc>
        <w:tc>
          <w:tcPr>
            <w:tcW w:w="88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66,734</w:t>
            </w:r>
          </w:p>
        </w:tc>
        <w:tc>
          <w:tcPr>
            <w:tcW w:w="98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436,774</w:t>
            </w:r>
          </w:p>
        </w:tc>
        <w:tc>
          <w:tcPr>
            <w:tcW w:w="0" w:type="dxa"/>
            <w:vAlign w:val="bottom"/>
          </w:tcPr>
          <w:p>
            <w:pPr>
              <w:spacing w:after="0"/>
              <w:rPr>
                <w:sz w:val="1"/>
                <w:szCs w:val="1"/>
                <w:color w:val="auto"/>
              </w:rPr>
            </w:pPr>
          </w:p>
        </w:tc>
      </w:tr>
      <w:tr>
        <w:trPr>
          <w:trHeight w:val="183"/>
        </w:trPr>
        <w:tc>
          <w:tcPr>
            <w:tcW w:w="940" w:type="dxa"/>
            <w:vAlign w:val="bottom"/>
            <w:tcBorders>
              <w:left w:val="single" w:sz="8" w:color="2D53A6"/>
              <w:bottom w:val="single" w:sz="8" w:color="E6E6E6"/>
              <w:right w:val="single" w:sz="8" w:color="2D53A6"/>
            </w:tcBorders>
            <w:shd w:val="clear" w:color="auto" w:fill="E6E6E6"/>
          </w:tcPr>
          <w:p>
            <w:pPr>
              <w:spacing w:after="0"/>
              <w:rPr>
                <w:sz w:val="15"/>
                <w:szCs w:val="15"/>
                <w:color w:val="auto"/>
              </w:rPr>
            </w:pPr>
          </w:p>
        </w:tc>
        <w:tc>
          <w:tcPr>
            <w:tcW w:w="17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4"/>
                <w:szCs w:val="14"/>
                <w:color w:val="auto"/>
              </w:rPr>
              <w:t>Cash Incentives</w:t>
            </w:r>
          </w:p>
        </w:tc>
        <w:tc>
          <w:tcPr>
            <w:tcW w:w="116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2D53A6"/>
            </w:tcBorders>
            <w:shd w:val="clear" w:color="auto" w:fill="E6E6E6"/>
          </w:tcPr>
          <w:p>
            <w:pPr>
              <w:spacing w:after="0"/>
              <w:rPr>
                <w:sz w:val="15"/>
                <w:szCs w:val="15"/>
                <w:color w:val="auto"/>
              </w:rPr>
            </w:pPr>
          </w:p>
        </w:tc>
        <w:tc>
          <w:tcPr>
            <w:tcW w:w="78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254,396</w:t>
            </w:r>
          </w:p>
        </w:tc>
        <w:tc>
          <w:tcPr>
            <w:tcW w:w="9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508,792</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940" w:type="dxa"/>
            <w:vAlign w:val="bottom"/>
            <w:tcBorders>
              <w:left w:val="single" w:sz="8" w:color="2D53A6"/>
              <w:bottom w:val="single" w:sz="8" w:color="E6E6E6"/>
              <w:right w:val="single" w:sz="8" w:color="2D53A6"/>
            </w:tcBorders>
            <w:shd w:val="clear" w:color="auto" w:fill="E6E6E6"/>
          </w:tcPr>
          <w:p>
            <w:pPr>
              <w:ind w:left="40"/>
              <w:spacing w:after="0" w:line="160" w:lineRule="exact"/>
              <w:rPr>
                <w:sz w:val="20"/>
                <w:szCs w:val="20"/>
                <w:color w:val="auto"/>
              </w:rPr>
            </w:pPr>
            <w:r>
              <w:rPr>
                <w:rFonts w:ascii="Arial" w:cs="Arial" w:eastAsia="Arial" w:hAnsi="Arial"/>
                <w:sz w:val="14"/>
                <w:szCs w:val="14"/>
                <w:color w:val="auto"/>
              </w:rPr>
              <w:t>Klaus</w:t>
            </w:r>
          </w:p>
        </w:tc>
        <w:tc>
          <w:tcPr>
            <w:tcW w:w="1780" w:type="dxa"/>
            <w:vAlign w:val="bottom"/>
            <w:tcBorders>
              <w:bottom w:val="single" w:sz="8" w:color="E6E6E6"/>
              <w:right w:val="single" w:sz="8" w:color="2D53A6"/>
            </w:tcBorders>
            <w:shd w:val="clear" w:color="auto" w:fill="E6E6E6"/>
          </w:tcPr>
          <w:p>
            <w:pPr>
              <w:spacing w:after="0" w:line="160" w:lineRule="exact"/>
              <w:rPr>
                <w:sz w:val="20"/>
                <w:szCs w:val="20"/>
                <w:color w:val="auto"/>
              </w:rPr>
            </w:pPr>
            <w:r>
              <w:rPr>
                <w:rFonts w:ascii="Arial" w:cs="Arial" w:eastAsia="Arial" w:hAnsi="Arial"/>
                <w:sz w:val="14"/>
                <w:szCs w:val="14"/>
                <w:color w:val="auto"/>
              </w:rPr>
              <w:t>Time-based RSUs</w:t>
            </w:r>
          </w:p>
        </w:tc>
        <w:tc>
          <w:tcPr>
            <w:tcW w:w="1160" w:type="dxa"/>
            <w:vAlign w:val="bottom"/>
            <w:tcBorders>
              <w:bottom w:val="single" w:sz="8" w:color="E6E6E6"/>
              <w:right w:val="single" w:sz="8" w:color="2D53A6"/>
            </w:tcBorders>
            <w:shd w:val="clear" w:color="auto" w:fill="E6E6E6"/>
          </w:tcPr>
          <w:p>
            <w:pPr>
              <w:jc w:val="right"/>
              <w:ind w:right="68"/>
              <w:spacing w:after="0" w:line="160" w:lineRule="exact"/>
              <w:rPr>
                <w:sz w:val="20"/>
                <w:szCs w:val="20"/>
                <w:color w:val="auto"/>
              </w:rPr>
            </w:pPr>
            <w:r>
              <w:rPr>
                <w:rFonts w:ascii="Arial" w:cs="Arial" w:eastAsia="Arial" w:hAnsi="Arial"/>
                <w:sz w:val="14"/>
                <w:szCs w:val="14"/>
                <w:color w:val="auto"/>
              </w:rPr>
              <w:t>3/11/2025</w:t>
            </w:r>
          </w:p>
        </w:tc>
        <w:tc>
          <w:tcPr>
            <w:tcW w:w="100" w:type="dxa"/>
            <w:vAlign w:val="bottom"/>
            <w:tcBorders>
              <w:bottom w:val="single" w:sz="8" w:color="E6E6E6"/>
            </w:tcBorders>
            <w:shd w:val="clear" w:color="auto" w:fill="E6E6E6"/>
          </w:tcPr>
          <w:p>
            <w:pPr>
              <w:spacing w:after="0"/>
              <w:rPr>
                <w:sz w:val="15"/>
                <w:szCs w:val="15"/>
                <w:color w:val="auto"/>
              </w:rPr>
            </w:pPr>
          </w:p>
        </w:tc>
        <w:tc>
          <w:tcPr>
            <w:tcW w:w="780" w:type="dxa"/>
            <w:vAlign w:val="bottom"/>
            <w:tcBorders>
              <w:bottom w:val="single" w:sz="8" w:color="E6E6E6"/>
              <w:right w:val="single" w:sz="8" w:color="2D53A6"/>
            </w:tcBorders>
            <w:shd w:val="clear" w:color="auto" w:fill="E6E6E6"/>
          </w:tcPr>
          <w:p>
            <w:pPr>
              <w:jc w:val="right"/>
              <w:ind w:right="6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E6E6E6"/>
              <w:right w:val="single" w:sz="8" w:color="2D53A6"/>
            </w:tcBorders>
            <w:shd w:val="clear" w:color="auto" w:fill="E6E6E6"/>
          </w:tcPr>
          <w:p>
            <w:pPr>
              <w:jc w:val="right"/>
              <w:ind w:right="68"/>
              <w:spacing w:after="0" w:line="160"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E6E6E6"/>
              <w:right w:val="single" w:sz="8" w:color="2D53A6"/>
            </w:tcBorders>
            <w:shd w:val="clear" w:color="auto" w:fill="E6E6E6"/>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E6E6E6"/>
              <w:right w:val="single" w:sz="8" w:color="2D53A6"/>
            </w:tcBorders>
            <w:shd w:val="clear" w:color="auto" w:fill="E6E6E6"/>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E6E6E6"/>
              <w:right w:val="single" w:sz="8" w:color="2D53A6"/>
            </w:tcBorders>
            <w:shd w:val="clear" w:color="auto" w:fill="E6E6E6"/>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E6E6E6"/>
              <w:right w:val="single" w:sz="8" w:color="2D53A6"/>
            </w:tcBorders>
            <w:shd w:val="clear" w:color="auto" w:fill="E6E6E6"/>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E6E6E6"/>
              <w:right w:val="single" w:sz="8" w:color="2D53A6"/>
            </w:tcBorders>
            <w:shd w:val="clear" w:color="auto" w:fill="E6E6E6"/>
          </w:tcPr>
          <w:p>
            <w:pPr>
              <w:jc w:val="right"/>
              <w:ind w:right="49"/>
              <w:spacing w:after="0" w:line="160" w:lineRule="exact"/>
              <w:rPr>
                <w:sz w:val="20"/>
                <w:szCs w:val="20"/>
                <w:color w:val="auto"/>
              </w:rPr>
            </w:pPr>
            <w:r>
              <w:rPr>
                <w:rFonts w:ascii="Arial" w:cs="Arial" w:eastAsia="Arial" w:hAnsi="Arial"/>
                <w:sz w:val="14"/>
                <w:szCs w:val="14"/>
                <w:color w:val="auto"/>
              </w:rPr>
              <w:t>15,166</w:t>
            </w:r>
          </w:p>
        </w:tc>
        <w:tc>
          <w:tcPr>
            <w:tcW w:w="1000" w:type="dxa"/>
            <w:vAlign w:val="bottom"/>
            <w:tcBorders>
              <w:bottom w:val="single" w:sz="8" w:color="E6E6E6"/>
              <w:right w:val="single" w:sz="8" w:color="2D53A6"/>
            </w:tcBorders>
            <w:shd w:val="clear" w:color="auto" w:fill="E6E6E6"/>
          </w:tcPr>
          <w:p>
            <w:pPr>
              <w:jc w:val="right"/>
              <w:ind w:right="49"/>
              <w:spacing w:after="0" w:line="160" w:lineRule="exact"/>
              <w:rPr>
                <w:sz w:val="20"/>
                <w:szCs w:val="20"/>
                <w:color w:val="auto"/>
              </w:rPr>
            </w:pPr>
            <w:r>
              <w:rPr>
                <w:rFonts w:ascii="Arial" w:cs="Arial" w:eastAsia="Arial" w:hAnsi="Arial"/>
                <w:sz w:val="14"/>
                <w:szCs w:val="14"/>
                <w:color w:val="auto"/>
              </w:rPr>
              <w:t>250,391</w:t>
            </w:r>
          </w:p>
        </w:tc>
        <w:tc>
          <w:tcPr>
            <w:tcW w:w="0" w:type="dxa"/>
            <w:vAlign w:val="bottom"/>
          </w:tcPr>
          <w:p>
            <w:pPr>
              <w:spacing w:after="0"/>
              <w:rPr>
                <w:sz w:val="1"/>
                <w:szCs w:val="1"/>
                <w:color w:val="auto"/>
              </w:rPr>
            </w:pPr>
          </w:p>
        </w:tc>
      </w:tr>
      <w:tr>
        <w:trPr>
          <w:trHeight w:val="160"/>
        </w:trPr>
        <w:tc>
          <w:tcPr>
            <w:tcW w:w="940" w:type="dxa"/>
            <w:vAlign w:val="bottom"/>
            <w:tcBorders>
              <w:top w:val="single" w:sz="8" w:color="E6E6E6"/>
              <w:left w:val="single" w:sz="8" w:color="2D53A6"/>
              <w:right w:val="single" w:sz="8" w:color="2D53A6"/>
            </w:tcBorders>
            <w:shd w:val="clear" w:color="auto" w:fill="E6E6E6"/>
          </w:tcPr>
          <w:p>
            <w:pPr>
              <w:ind w:left="40"/>
              <w:spacing w:after="0" w:line="147" w:lineRule="exact"/>
              <w:rPr>
                <w:sz w:val="20"/>
                <w:szCs w:val="20"/>
                <w:color w:val="auto"/>
              </w:rPr>
            </w:pPr>
            <w:r>
              <w:rPr>
                <w:rFonts w:ascii="Arial" w:cs="Arial" w:eastAsia="Arial" w:hAnsi="Arial"/>
                <w:sz w:val="14"/>
                <w:szCs w:val="14"/>
                <w:color w:val="auto"/>
              </w:rPr>
              <w:t>Ilgenfritz</w:t>
            </w:r>
          </w:p>
        </w:tc>
        <w:tc>
          <w:tcPr>
            <w:tcW w:w="1780" w:type="dxa"/>
            <w:vAlign w:val="bottom"/>
            <w:tcBorders>
              <w:top w:val="single" w:sz="8" w:color="2D53A6"/>
              <w:right w:val="single" w:sz="8" w:color="2D53A6"/>
            </w:tcBorders>
            <w:shd w:val="clear" w:color="auto" w:fill="E6E6E6"/>
          </w:tcPr>
          <w:p>
            <w:pPr>
              <w:spacing w:after="0" w:line="160" w:lineRule="exact"/>
              <w:rPr>
                <w:sz w:val="20"/>
                <w:szCs w:val="20"/>
                <w:color w:val="auto"/>
              </w:rPr>
            </w:pPr>
            <w:r>
              <w:rPr>
                <w:rFonts w:ascii="Arial" w:cs="Arial" w:eastAsia="Arial" w:hAnsi="Arial"/>
                <w:sz w:val="14"/>
                <w:szCs w:val="14"/>
                <w:color w:val="auto"/>
              </w:rPr>
              <w:t>Performance-based</w:t>
            </w:r>
          </w:p>
        </w:tc>
        <w:tc>
          <w:tcPr>
            <w:tcW w:w="1160" w:type="dxa"/>
            <w:vAlign w:val="bottom"/>
            <w:tcBorders>
              <w:top w:val="single" w:sz="8" w:color="2D53A6"/>
              <w:right w:val="single" w:sz="8" w:color="2D53A6"/>
            </w:tcBorders>
            <w:shd w:val="clear" w:color="auto" w:fill="E6E6E6"/>
          </w:tcPr>
          <w:p>
            <w:pPr>
              <w:spacing w:after="0"/>
              <w:rPr>
                <w:sz w:val="13"/>
                <w:szCs w:val="13"/>
                <w:color w:val="auto"/>
              </w:rPr>
            </w:pPr>
          </w:p>
        </w:tc>
        <w:tc>
          <w:tcPr>
            <w:tcW w:w="100" w:type="dxa"/>
            <w:vAlign w:val="bottom"/>
            <w:tcBorders>
              <w:top w:val="single" w:sz="8" w:color="2D53A6"/>
            </w:tcBorders>
            <w:shd w:val="clear" w:color="auto" w:fill="E6E6E6"/>
          </w:tcPr>
          <w:p>
            <w:pPr>
              <w:spacing w:after="0"/>
              <w:rPr>
                <w:sz w:val="13"/>
                <w:szCs w:val="13"/>
                <w:color w:val="auto"/>
              </w:rPr>
            </w:pPr>
          </w:p>
        </w:tc>
        <w:tc>
          <w:tcPr>
            <w:tcW w:w="780" w:type="dxa"/>
            <w:vAlign w:val="bottom"/>
            <w:tcBorders>
              <w:top w:val="single" w:sz="8" w:color="2D53A6"/>
              <w:right w:val="single" w:sz="8" w:color="2D53A6"/>
            </w:tcBorders>
            <w:shd w:val="clear" w:color="auto" w:fill="E6E6E6"/>
          </w:tcPr>
          <w:p>
            <w:pPr>
              <w:spacing w:after="0"/>
              <w:rPr>
                <w:sz w:val="13"/>
                <w:szCs w:val="13"/>
                <w:color w:val="auto"/>
              </w:rPr>
            </w:pPr>
          </w:p>
        </w:tc>
        <w:tc>
          <w:tcPr>
            <w:tcW w:w="880" w:type="dxa"/>
            <w:vAlign w:val="bottom"/>
            <w:tcBorders>
              <w:top w:val="single" w:sz="8" w:color="2D53A6"/>
              <w:right w:val="single" w:sz="8" w:color="2D53A6"/>
            </w:tcBorders>
            <w:shd w:val="clear" w:color="auto" w:fill="E6E6E6"/>
          </w:tcPr>
          <w:p>
            <w:pPr>
              <w:spacing w:after="0"/>
              <w:rPr>
                <w:sz w:val="13"/>
                <w:szCs w:val="13"/>
                <w:color w:val="auto"/>
              </w:rPr>
            </w:pPr>
          </w:p>
        </w:tc>
        <w:tc>
          <w:tcPr>
            <w:tcW w:w="980" w:type="dxa"/>
            <w:vAlign w:val="bottom"/>
            <w:tcBorders>
              <w:top w:val="single" w:sz="8" w:color="2D53A6"/>
              <w:right w:val="single" w:sz="8" w:color="2D53A6"/>
            </w:tcBorders>
            <w:shd w:val="clear" w:color="auto" w:fill="E6E6E6"/>
          </w:tcPr>
          <w:p>
            <w:pPr>
              <w:spacing w:after="0"/>
              <w:rPr>
                <w:sz w:val="13"/>
                <w:szCs w:val="13"/>
                <w:color w:val="auto"/>
              </w:rPr>
            </w:pPr>
          </w:p>
        </w:tc>
        <w:tc>
          <w:tcPr>
            <w:tcW w:w="880" w:type="dxa"/>
            <w:vAlign w:val="bottom"/>
            <w:tcBorders>
              <w:top w:val="single" w:sz="8" w:color="2D53A6"/>
              <w:right w:val="single" w:sz="8" w:color="2D53A6"/>
            </w:tcBorders>
            <w:shd w:val="clear" w:color="auto" w:fill="E6E6E6"/>
          </w:tcPr>
          <w:p>
            <w:pPr>
              <w:spacing w:after="0"/>
              <w:rPr>
                <w:sz w:val="13"/>
                <w:szCs w:val="13"/>
                <w:color w:val="auto"/>
              </w:rPr>
            </w:pPr>
          </w:p>
        </w:tc>
        <w:tc>
          <w:tcPr>
            <w:tcW w:w="880" w:type="dxa"/>
            <w:vAlign w:val="bottom"/>
            <w:tcBorders>
              <w:top w:val="single" w:sz="8" w:color="2D53A6"/>
              <w:right w:val="single" w:sz="8" w:color="2D53A6"/>
            </w:tcBorders>
            <w:shd w:val="clear" w:color="auto" w:fill="E6E6E6"/>
          </w:tcPr>
          <w:p>
            <w:pPr>
              <w:spacing w:after="0"/>
              <w:rPr>
                <w:sz w:val="13"/>
                <w:szCs w:val="13"/>
                <w:color w:val="auto"/>
              </w:rPr>
            </w:pPr>
          </w:p>
        </w:tc>
        <w:tc>
          <w:tcPr>
            <w:tcW w:w="880" w:type="dxa"/>
            <w:vAlign w:val="bottom"/>
            <w:tcBorders>
              <w:top w:val="single" w:sz="8" w:color="2D53A6"/>
              <w:right w:val="single" w:sz="8" w:color="2D53A6"/>
            </w:tcBorders>
            <w:shd w:val="clear" w:color="auto" w:fill="E6E6E6"/>
          </w:tcPr>
          <w:p>
            <w:pPr>
              <w:spacing w:after="0"/>
              <w:rPr>
                <w:sz w:val="13"/>
                <w:szCs w:val="13"/>
                <w:color w:val="auto"/>
              </w:rPr>
            </w:pPr>
          </w:p>
        </w:tc>
        <w:tc>
          <w:tcPr>
            <w:tcW w:w="980" w:type="dxa"/>
            <w:vAlign w:val="bottom"/>
            <w:tcBorders>
              <w:top w:val="single" w:sz="8" w:color="2D53A6"/>
              <w:right w:val="single" w:sz="8" w:color="2D53A6"/>
            </w:tcBorders>
            <w:shd w:val="clear" w:color="auto" w:fill="E6E6E6"/>
          </w:tcPr>
          <w:p>
            <w:pPr>
              <w:spacing w:after="0"/>
              <w:rPr>
                <w:sz w:val="13"/>
                <w:szCs w:val="13"/>
                <w:color w:val="auto"/>
              </w:rPr>
            </w:pPr>
          </w:p>
        </w:tc>
        <w:tc>
          <w:tcPr>
            <w:tcW w:w="1000" w:type="dxa"/>
            <w:vAlign w:val="bottom"/>
            <w:tcBorders>
              <w:top w:val="single" w:sz="8" w:color="2D53A6"/>
              <w:right w:val="single" w:sz="8" w:color="2D53A6"/>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2D53A6"/>
              <w:bottom w:val="single" w:sz="8" w:color="2D53A6"/>
              <w:right w:val="single" w:sz="8" w:color="2D53A6"/>
            </w:tcBorders>
            <w:shd w:val="clear" w:color="auto" w:fill="E6E6E6"/>
          </w:tcPr>
          <w:p>
            <w:pPr>
              <w:spacing w:after="0"/>
              <w:rPr>
                <w:sz w:val="16"/>
                <w:szCs w:val="16"/>
                <w:color w:val="auto"/>
              </w:rPr>
            </w:pPr>
          </w:p>
        </w:tc>
        <w:tc>
          <w:tcPr>
            <w:tcW w:w="17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4"/>
                <w:szCs w:val="14"/>
                <w:color w:val="auto"/>
              </w:rPr>
              <w:t>RSUs</w:t>
            </w:r>
          </w:p>
        </w:tc>
        <w:tc>
          <w:tcPr>
            <w:tcW w:w="116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3/11/2025</w:t>
            </w:r>
          </w:p>
        </w:tc>
        <w:tc>
          <w:tcPr>
            <w:tcW w:w="100" w:type="dxa"/>
            <w:vAlign w:val="bottom"/>
            <w:tcBorders>
              <w:bottom w:val="single" w:sz="8" w:color="2D53A6"/>
            </w:tcBorders>
            <w:shd w:val="clear" w:color="auto" w:fill="E6E6E6"/>
          </w:tcPr>
          <w:p>
            <w:pPr>
              <w:spacing w:after="0"/>
              <w:rPr>
                <w:sz w:val="16"/>
                <w:szCs w:val="16"/>
                <w:color w:val="auto"/>
              </w:rPr>
            </w:pPr>
          </w:p>
        </w:tc>
        <w:tc>
          <w:tcPr>
            <w:tcW w:w="78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shd w:val="clear" w:color="auto" w:fill="E6E6E6"/>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22,750</w:t>
            </w:r>
          </w:p>
        </w:tc>
        <w:tc>
          <w:tcPr>
            <w:tcW w:w="88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45,500</w:t>
            </w:r>
          </w:p>
        </w:tc>
        <w:tc>
          <w:tcPr>
            <w:tcW w:w="98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297,798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46"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shown are estimated possible payouts for fiscal year 2025 under the executive cash incentive plan. These amounts are based on the individual’s 2025 base salary amounts, and position. The maximum amount shown is 200% of the target amount for each of the NEOs. Actual cash incentives received by the NEOs for 2025 are reported in the Summary Compensation Table under the column entitled “Non-Equity Incentive Plan Compensation.” Amounts earned by our NEOs for performance in 2025 are based on the attainment of performance goals for both Cohu and the individual NEO, as described in more detail in “Annual Cash Incentives” in the CD&amp;A above.</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PSU awards granted to our NEOs in 2025 are subject to certain adjustments resulting from the performance of our total stockholder return (“TSR”) relative to a pre-selected comparator group over the three-year period following the date of grant. The PSU awards granted in 2025 may be earned and vest 100% on the third anniversary of the date of grant.</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reflect the number of RSUs awarded to each NEO under the 2005 Plan. The RSU awards granted to our NEOs in 2025 vest ratably in three equal annual installments over three years following the date of grant.</w:t>
      </w:r>
    </w:p>
    <w:p>
      <w:pPr>
        <w:ind w:left="340" w:right="120" w:hanging="332"/>
        <w:spacing w:after="0" w:line="264"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shown are the grant date fair value for stock awards granted in 2025. The assumptions used to calculate the grant date fair value of the awards are set forth in Note 6, “Employee Benefit Plans”, included in Part IV, Item 15(a) of Cohu’s Annual Report on Form 10-K for the year ended December 27, 2025, filed with the SEC.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on December 27, 2025 Table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all outstanding equity awards held by our NEOs at the end of 2025, which ended on December 27, 2025.</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260" w:type="dxa"/>
            <w:vAlign w:val="bottom"/>
            <w:tcBorders>
              <w:left w:val="single" w:sz="8" w:color="2D53A6"/>
              <w:right w:val="single" w:sz="8" w:color="2D53A6"/>
            </w:tcBorders>
            <w:shd w:val="clear" w:color="auto" w:fill="2D53A6"/>
          </w:tcPr>
          <w:p>
            <w:pPr>
              <w:spacing w:after="0"/>
              <w:rPr>
                <w:sz w:val="19"/>
                <w:szCs w:val="19"/>
                <w:color w:val="auto"/>
              </w:rPr>
            </w:pPr>
          </w:p>
        </w:tc>
        <w:tc>
          <w:tcPr>
            <w:tcW w:w="1820" w:type="dxa"/>
            <w:vAlign w:val="bottom"/>
            <w:tcBorders>
              <w:right w:val="single" w:sz="8" w:color="2D53A6"/>
            </w:tcBorders>
            <w:shd w:val="clear" w:color="auto" w:fill="2D53A6"/>
          </w:tcPr>
          <w:p>
            <w:pPr>
              <w:spacing w:after="0"/>
              <w:rPr>
                <w:sz w:val="19"/>
                <w:szCs w:val="19"/>
                <w:color w:val="auto"/>
              </w:rPr>
            </w:pPr>
          </w:p>
        </w:tc>
        <w:tc>
          <w:tcPr>
            <w:tcW w:w="1560" w:type="dxa"/>
            <w:vAlign w:val="bottom"/>
            <w:shd w:val="clear" w:color="auto" w:fill="2D53A6"/>
          </w:tcPr>
          <w:p>
            <w:pPr>
              <w:spacing w:after="0"/>
              <w:rPr>
                <w:sz w:val="19"/>
                <w:szCs w:val="19"/>
                <w:color w:val="auto"/>
              </w:rPr>
            </w:pPr>
          </w:p>
        </w:tc>
        <w:tc>
          <w:tcPr>
            <w:tcW w:w="220" w:type="dxa"/>
            <w:vAlign w:val="bottom"/>
            <w:tcBorders>
              <w:right w:val="single" w:sz="8" w:color="2D53A6"/>
            </w:tcBorders>
            <w:shd w:val="clear" w:color="auto" w:fill="2D53A6"/>
          </w:tcPr>
          <w:p>
            <w:pPr>
              <w:spacing w:after="0"/>
              <w:rPr>
                <w:sz w:val="19"/>
                <w:szCs w:val="19"/>
                <w:color w:val="auto"/>
              </w:rPr>
            </w:pPr>
          </w:p>
        </w:tc>
        <w:tc>
          <w:tcPr>
            <w:tcW w:w="18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STOCK AWARDS</w:t>
            </w:r>
          </w:p>
        </w:tc>
        <w:tc>
          <w:tcPr>
            <w:tcW w:w="1800" w:type="dxa"/>
            <w:vAlign w:val="bottom"/>
            <w:tcBorders>
              <w:right w:val="single" w:sz="8" w:color="2D53A6"/>
            </w:tcBorders>
            <w:shd w:val="clear" w:color="auto" w:fill="2D53A6"/>
          </w:tcPr>
          <w:p>
            <w:pPr>
              <w:spacing w:after="0"/>
              <w:rPr>
                <w:sz w:val="19"/>
                <w:szCs w:val="19"/>
                <w:color w:val="auto"/>
              </w:rPr>
            </w:pPr>
          </w:p>
        </w:tc>
        <w:tc>
          <w:tcPr>
            <w:tcW w:w="1780" w:type="dxa"/>
            <w:vAlign w:val="bottom"/>
            <w:tcBorders>
              <w:right w:val="single" w:sz="8" w:color="2D53A6"/>
            </w:tcBorders>
            <w:shd w:val="clear" w:color="auto" w:fill="2D53A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260" w:type="dxa"/>
            <w:vAlign w:val="bottom"/>
            <w:tcBorders>
              <w:left w:val="single" w:sz="8" w:color="2D53A6"/>
              <w:right w:val="single" w:sz="8" w:color="2D53A6"/>
            </w:tcBorders>
            <w:shd w:val="clear" w:color="auto" w:fill="2D53A6"/>
          </w:tcPr>
          <w:p>
            <w:pPr>
              <w:spacing w:after="0"/>
              <w:rPr>
                <w:sz w:val="16"/>
                <w:szCs w:val="16"/>
                <w:color w:val="auto"/>
              </w:rPr>
            </w:pPr>
          </w:p>
        </w:tc>
        <w:tc>
          <w:tcPr>
            <w:tcW w:w="1820" w:type="dxa"/>
            <w:vAlign w:val="bottom"/>
            <w:tcBorders>
              <w:right w:val="single" w:sz="8" w:color="2D53A6"/>
            </w:tcBorders>
            <w:shd w:val="clear" w:color="auto" w:fill="2D53A6"/>
          </w:tcPr>
          <w:p>
            <w:pPr>
              <w:spacing w:after="0"/>
              <w:rPr>
                <w:sz w:val="16"/>
                <w:szCs w:val="16"/>
                <w:color w:val="auto"/>
              </w:rPr>
            </w:pPr>
          </w:p>
        </w:tc>
        <w:tc>
          <w:tcPr>
            <w:tcW w:w="1560" w:type="dxa"/>
            <w:vAlign w:val="bottom"/>
            <w:shd w:val="clear" w:color="auto" w:fill="2D53A6"/>
          </w:tcPr>
          <w:p>
            <w:pPr>
              <w:spacing w:after="0"/>
              <w:rPr>
                <w:sz w:val="16"/>
                <w:szCs w:val="16"/>
                <w:color w:val="auto"/>
              </w:rPr>
            </w:pPr>
          </w:p>
        </w:tc>
        <w:tc>
          <w:tcPr>
            <w:tcW w:w="220" w:type="dxa"/>
            <w:vAlign w:val="bottom"/>
            <w:tcBorders>
              <w:right w:val="single" w:sz="8" w:color="2D53A6"/>
            </w:tcBorders>
            <w:shd w:val="clear" w:color="auto" w:fill="2D53A6"/>
          </w:tcPr>
          <w:p>
            <w:pPr>
              <w:spacing w:after="0"/>
              <w:rPr>
                <w:sz w:val="16"/>
                <w:szCs w:val="16"/>
                <w:color w:val="auto"/>
              </w:rPr>
            </w:pPr>
          </w:p>
        </w:tc>
        <w:tc>
          <w:tcPr>
            <w:tcW w:w="1800" w:type="dxa"/>
            <w:vAlign w:val="bottom"/>
            <w:tcBorders>
              <w:right w:val="single" w:sz="8" w:color="2D53A6"/>
            </w:tcBorders>
            <w:shd w:val="clear" w:color="auto" w:fill="2D53A6"/>
          </w:tcPr>
          <w:p>
            <w:pPr>
              <w:spacing w:after="0"/>
              <w:rPr>
                <w:sz w:val="16"/>
                <w:szCs w:val="16"/>
                <w:color w:val="auto"/>
              </w:rPr>
            </w:pP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Equity</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shd w:val="clear" w:color="auto" w:fill="2D53A6"/>
          </w:tcPr>
          <w:p>
            <w:pPr>
              <w:spacing w:after="0"/>
              <w:rPr>
                <w:sz w:val="7"/>
                <w:szCs w:val="7"/>
                <w:color w:val="auto"/>
              </w:rPr>
            </w:pP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shd w:val="clear" w:color="auto" w:fill="2D53A6"/>
          </w:tcPr>
          <w:p>
            <w:pPr>
              <w:spacing w:after="0"/>
              <w:rPr>
                <w:sz w:val="7"/>
                <w:szCs w:val="7"/>
                <w:color w:val="auto"/>
              </w:rPr>
            </w:pP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Incentive</w:t>
            </w:r>
          </w:p>
        </w:tc>
        <w:tc>
          <w:tcPr>
            <w:tcW w:w="178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shd w:val="clear" w:color="auto" w:fill="2D53A6"/>
          </w:tcPr>
          <w:p>
            <w:pPr>
              <w:spacing w:after="0"/>
              <w:rPr>
                <w:sz w:val="7"/>
                <w:szCs w:val="7"/>
                <w:color w:val="auto"/>
              </w:rPr>
            </w:pP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vMerge w:val="restart"/>
            <w:shd w:val="clear" w:color="auto" w:fill="2D53A6"/>
          </w:tcPr>
          <w:p>
            <w:pPr>
              <w:jc w:val="center"/>
              <w:ind w:left="108"/>
              <w:spacing w:after="0"/>
              <w:rPr>
                <w:sz w:val="20"/>
                <w:szCs w:val="20"/>
                <w:color w:val="auto"/>
              </w:rPr>
            </w:pPr>
            <w:r>
              <w:rPr>
                <w:rFonts w:ascii="Arial" w:cs="Arial" w:eastAsia="Arial" w:hAnsi="Arial"/>
                <w:sz w:val="14"/>
                <w:szCs w:val="14"/>
                <w:b w:val="1"/>
                <w:bCs w:val="1"/>
                <w:color w:val="FFFFFF"/>
              </w:rPr>
              <w:t>Number</w:t>
            </w: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Market Value</w:t>
            </w: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Plan Awards:</w:t>
            </w:r>
          </w:p>
        </w:tc>
        <w:tc>
          <w:tcPr>
            <w:tcW w:w="178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vMerge w:val="continue"/>
            <w:shd w:val="clear" w:color="auto" w:fill="2D53A6"/>
          </w:tcPr>
          <w:p>
            <w:pPr>
              <w:spacing w:after="0"/>
              <w:rPr>
                <w:sz w:val="7"/>
                <w:szCs w:val="7"/>
                <w:color w:val="auto"/>
              </w:rPr>
            </w:pP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vMerge w:val="restart"/>
            <w:shd w:val="clear" w:color="auto" w:fill="2D53A6"/>
          </w:tcPr>
          <w:p>
            <w:pPr>
              <w:jc w:val="center"/>
              <w:ind w:left="108"/>
              <w:spacing w:after="0"/>
              <w:rPr>
                <w:sz w:val="20"/>
                <w:szCs w:val="20"/>
                <w:color w:val="auto"/>
              </w:rPr>
            </w:pPr>
            <w:r>
              <w:rPr>
                <w:rFonts w:ascii="Arial" w:cs="Arial" w:eastAsia="Arial" w:hAnsi="Arial"/>
                <w:sz w:val="14"/>
                <w:szCs w:val="14"/>
                <w:b w:val="1"/>
                <w:bCs w:val="1"/>
                <w:color w:val="FFFFFF"/>
              </w:rPr>
              <w:t>of Shares</w:t>
            </w: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of Shares</w:t>
            </w: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Number of</w:t>
            </w:r>
          </w:p>
        </w:tc>
        <w:tc>
          <w:tcPr>
            <w:tcW w:w="178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vMerge w:val="restart"/>
            <w:shd w:val="clear" w:color="auto" w:fill="2D53A6"/>
          </w:tcPr>
          <w:p>
            <w:pPr>
              <w:ind w:left="40"/>
              <w:spacing w:after="0"/>
              <w:rPr>
                <w:sz w:val="20"/>
                <w:szCs w:val="20"/>
                <w:color w:val="auto"/>
              </w:rPr>
            </w:pPr>
            <w:r>
              <w:rPr>
                <w:rFonts w:ascii="Arial" w:cs="Arial" w:eastAsia="Arial" w:hAnsi="Arial"/>
                <w:sz w:val="14"/>
                <w:szCs w:val="14"/>
                <w:b w:val="1"/>
                <w:bCs w:val="1"/>
                <w:color w:val="FFFFFF"/>
              </w:rPr>
              <w:t>Named</w:t>
            </w: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vMerge w:val="continue"/>
            <w:shd w:val="clear" w:color="auto" w:fill="2D53A6"/>
          </w:tcPr>
          <w:p>
            <w:pPr>
              <w:spacing w:after="0"/>
              <w:rPr>
                <w:sz w:val="7"/>
                <w:szCs w:val="7"/>
                <w:color w:val="auto"/>
              </w:rPr>
            </w:pP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Payout Value</w:t>
            </w: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vMerge w:val="continue"/>
            <w:shd w:val="clear" w:color="auto" w:fill="2D53A6"/>
          </w:tcPr>
          <w:p>
            <w:pPr>
              <w:spacing w:after="0"/>
              <w:rPr>
                <w:sz w:val="7"/>
                <w:szCs w:val="7"/>
                <w:color w:val="auto"/>
              </w:rPr>
            </w:pPr>
          </w:p>
        </w:tc>
        <w:tc>
          <w:tcPr>
            <w:tcW w:w="1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Award Grant</w:t>
            </w:r>
          </w:p>
        </w:tc>
        <w:tc>
          <w:tcPr>
            <w:tcW w:w="1560" w:type="dxa"/>
            <w:vAlign w:val="bottom"/>
            <w:vMerge w:val="restart"/>
            <w:shd w:val="clear" w:color="auto" w:fill="2D53A6"/>
          </w:tcPr>
          <w:p>
            <w:pPr>
              <w:jc w:val="center"/>
              <w:ind w:left="128"/>
              <w:spacing w:after="0"/>
              <w:rPr>
                <w:sz w:val="20"/>
                <w:szCs w:val="20"/>
                <w:color w:val="auto"/>
              </w:rPr>
            </w:pPr>
            <w:r>
              <w:rPr>
                <w:rFonts w:ascii="Arial" w:cs="Arial" w:eastAsia="Arial" w:hAnsi="Arial"/>
                <w:sz w:val="14"/>
                <w:szCs w:val="14"/>
                <w:b w:val="1"/>
                <w:bCs w:val="1"/>
                <w:color w:val="FFFFFF"/>
              </w:rPr>
              <w:t>or Units of</w:t>
            </w: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or Units of</w:t>
            </w: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Unearned</w:t>
            </w:r>
          </w:p>
        </w:tc>
        <w:tc>
          <w:tcPr>
            <w:tcW w:w="178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vMerge w:val="restart"/>
            <w:shd w:val="clear" w:color="auto" w:fill="2D53A6"/>
          </w:tcPr>
          <w:p>
            <w:pPr>
              <w:ind w:left="40"/>
              <w:spacing w:after="0"/>
              <w:rPr>
                <w:sz w:val="20"/>
                <w:szCs w:val="20"/>
                <w:color w:val="auto"/>
              </w:rPr>
            </w:pPr>
            <w:r>
              <w:rPr>
                <w:rFonts w:ascii="Arial" w:cs="Arial" w:eastAsia="Arial" w:hAnsi="Arial"/>
                <w:sz w:val="14"/>
                <w:szCs w:val="14"/>
                <w:b w:val="1"/>
                <w:bCs w:val="1"/>
                <w:color w:val="FFFFFF"/>
              </w:rPr>
              <w:t>Executive</w:t>
            </w:r>
          </w:p>
        </w:tc>
        <w:tc>
          <w:tcPr>
            <w:tcW w:w="1820" w:type="dxa"/>
            <w:vAlign w:val="bottom"/>
            <w:tcBorders>
              <w:right w:val="single" w:sz="8" w:color="2D53A6"/>
            </w:tcBorders>
            <w:vMerge w:val="continue"/>
            <w:shd w:val="clear" w:color="auto" w:fill="2D53A6"/>
          </w:tcPr>
          <w:p>
            <w:pPr>
              <w:spacing w:after="0"/>
              <w:rPr>
                <w:sz w:val="7"/>
                <w:szCs w:val="7"/>
                <w:color w:val="auto"/>
              </w:rPr>
            </w:pPr>
          </w:p>
        </w:tc>
        <w:tc>
          <w:tcPr>
            <w:tcW w:w="1560" w:type="dxa"/>
            <w:vAlign w:val="bottom"/>
            <w:vMerge w:val="continue"/>
            <w:shd w:val="clear" w:color="auto" w:fill="2D53A6"/>
          </w:tcPr>
          <w:p>
            <w:pPr>
              <w:spacing w:after="0"/>
              <w:rPr>
                <w:sz w:val="7"/>
                <w:szCs w:val="7"/>
                <w:color w:val="auto"/>
              </w:rPr>
            </w:pP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of Unearned</w:t>
            </w: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vMerge w:val="continue"/>
            <w:shd w:val="clear" w:color="auto" w:fill="2D53A6"/>
          </w:tcPr>
          <w:p>
            <w:pPr>
              <w:spacing w:after="0"/>
              <w:rPr>
                <w:sz w:val="7"/>
                <w:szCs w:val="7"/>
                <w:color w:val="auto"/>
              </w:rPr>
            </w:pPr>
          </w:p>
        </w:tc>
        <w:tc>
          <w:tcPr>
            <w:tcW w:w="1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Date</w:t>
            </w:r>
          </w:p>
        </w:tc>
        <w:tc>
          <w:tcPr>
            <w:tcW w:w="1560" w:type="dxa"/>
            <w:vAlign w:val="bottom"/>
            <w:vMerge w:val="restart"/>
            <w:shd w:val="clear" w:color="auto" w:fill="2D53A6"/>
          </w:tcPr>
          <w:p>
            <w:pPr>
              <w:jc w:val="center"/>
              <w:ind w:left="108"/>
              <w:spacing w:after="0"/>
              <w:rPr>
                <w:sz w:val="20"/>
                <w:szCs w:val="20"/>
                <w:color w:val="auto"/>
              </w:rPr>
            </w:pPr>
            <w:r>
              <w:rPr>
                <w:rFonts w:ascii="Arial" w:cs="Arial" w:eastAsia="Arial" w:hAnsi="Arial"/>
                <w:sz w:val="14"/>
                <w:szCs w:val="14"/>
                <w:b w:val="1"/>
                <w:bCs w:val="1"/>
                <w:color w:val="FFFFFF"/>
              </w:rPr>
              <w:t>Stock That</w:t>
            </w: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Stock That</w:t>
            </w: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Shares, Units</w:t>
            </w:r>
          </w:p>
        </w:tc>
        <w:tc>
          <w:tcPr>
            <w:tcW w:w="178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vMerge w:val="restart"/>
            <w:shd w:val="clear" w:color="auto" w:fill="2D53A6"/>
          </w:tcPr>
          <w:p>
            <w:pPr>
              <w:ind w:left="40"/>
              <w:spacing w:after="0"/>
              <w:rPr>
                <w:sz w:val="20"/>
                <w:szCs w:val="20"/>
                <w:color w:val="auto"/>
              </w:rPr>
            </w:pPr>
            <w:r>
              <w:rPr>
                <w:rFonts w:ascii="Arial" w:cs="Arial" w:eastAsia="Arial" w:hAnsi="Arial"/>
                <w:sz w:val="14"/>
                <w:szCs w:val="14"/>
                <w:b w:val="1"/>
                <w:bCs w:val="1"/>
                <w:color w:val="FFFFFF"/>
              </w:rPr>
              <w:t>Officer</w:t>
            </w:r>
          </w:p>
        </w:tc>
        <w:tc>
          <w:tcPr>
            <w:tcW w:w="1820" w:type="dxa"/>
            <w:vAlign w:val="bottom"/>
            <w:tcBorders>
              <w:right w:val="single" w:sz="8" w:color="2D53A6"/>
            </w:tcBorders>
            <w:vMerge w:val="continue"/>
            <w:shd w:val="clear" w:color="auto" w:fill="2D53A6"/>
          </w:tcPr>
          <w:p>
            <w:pPr>
              <w:spacing w:after="0"/>
              <w:rPr>
                <w:sz w:val="7"/>
                <w:szCs w:val="7"/>
                <w:color w:val="auto"/>
              </w:rPr>
            </w:pPr>
          </w:p>
        </w:tc>
        <w:tc>
          <w:tcPr>
            <w:tcW w:w="1560" w:type="dxa"/>
            <w:vAlign w:val="bottom"/>
            <w:vMerge w:val="continue"/>
            <w:shd w:val="clear" w:color="auto" w:fill="2D53A6"/>
          </w:tcPr>
          <w:p>
            <w:pPr>
              <w:spacing w:after="0"/>
              <w:rPr>
                <w:sz w:val="7"/>
                <w:szCs w:val="7"/>
                <w:color w:val="auto"/>
              </w:rPr>
            </w:pP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Shares, Units</w:t>
            </w: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vMerge w:val="continue"/>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vMerge w:val="restart"/>
            <w:shd w:val="clear" w:color="auto" w:fill="2D53A6"/>
          </w:tcPr>
          <w:p>
            <w:pPr>
              <w:jc w:val="center"/>
              <w:ind w:left="108"/>
              <w:spacing w:after="0" w:line="159" w:lineRule="exact"/>
              <w:rPr>
                <w:sz w:val="20"/>
                <w:szCs w:val="20"/>
                <w:color w:val="auto"/>
              </w:rPr>
            </w:pPr>
            <w:r>
              <w:rPr>
                <w:rFonts w:ascii="Arial" w:cs="Arial" w:eastAsia="Arial" w:hAnsi="Arial"/>
                <w:sz w:val="14"/>
                <w:szCs w:val="14"/>
                <w:b w:val="1"/>
                <w:bCs w:val="1"/>
                <w:color w:val="FFFFFF"/>
              </w:rPr>
              <w:t>Have Not</w:t>
            </w: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180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or Other</w:t>
            </w:r>
          </w:p>
        </w:tc>
        <w:tc>
          <w:tcPr>
            <w:tcW w:w="178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260" w:type="dxa"/>
            <w:vAlign w:val="bottom"/>
            <w:tcBorders>
              <w:left w:val="single" w:sz="8" w:color="2D53A6"/>
              <w:right w:val="single" w:sz="8" w:color="2D53A6"/>
            </w:tcBorders>
            <w:shd w:val="clear" w:color="auto" w:fill="2D53A6"/>
          </w:tcPr>
          <w:p>
            <w:pPr>
              <w:spacing w:after="0"/>
              <w:rPr>
                <w:sz w:val="6"/>
                <w:szCs w:val="6"/>
                <w:color w:val="auto"/>
              </w:rPr>
            </w:pPr>
          </w:p>
        </w:tc>
        <w:tc>
          <w:tcPr>
            <w:tcW w:w="1820" w:type="dxa"/>
            <w:vAlign w:val="bottom"/>
            <w:tcBorders>
              <w:right w:val="single" w:sz="8" w:color="2D53A6"/>
            </w:tcBorders>
            <w:shd w:val="clear" w:color="auto" w:fill="2D53A6"/>
          </w:tcPr>
          <w:p>
            <w:pPr>
              <w:spacing w:after="0"/>
              <w:rPr>
                <w:sz w:val="6"/>
                <w:szCs w:val="6"/>
                <w:color w:val="auto"/>
              </w:rPr>
            </w:pPr>
          </w:p>
        </w:tc>
        <w:tc>
          <w:tcPr>
            <w:tcW w:w="1560" w:type="dxa"/>
            <w:vAlign w:val="bottom"/>
            <w:vMerge w:val="continue"/>
            <w:shd w:val="clear" w:color="auto" w:fill="2D53A6"/>
          </w:tcPr>
          <w:p>
            <w:pPr>
              <w:spacing w:after="0"/>
              <w:rPr>
                <w:sz w:val="6"/>
                <w:szCs w:val="6"/>
                <w:color w:val="auto"/>
              </w:rPr>
            </w:pPr>
          </w:p>
        </w:tc>
        <w:tc>
          <w:tcPr>
            <w:tcW w:w="220" w:type="dxa"/>
            <w:vAlign w:val="bottom"/>
            <w:tcBorders>
              <w:right w:val="single" w:sz="8" w:color="2D53A6"/>
            </w:tcBorders>
            <w:shd w:val="clear" w:color="auto" w:fill="2D53A6"/>
          </w:tcPr>
          <w:p>
            <w:pPr>
              <w:spacing w:after="0"/>
              <w:rPr>
                <w:sz w:val="6"/>
                <w:szCs w:val="6"/>
                <w:color w:val="auto"/>
              </w:rPr>
            </w:pPr>
          </w:p>
        </w:tc>
        <w:tc>
          <w:tcPr>
            <w:tcW w:w="1800" w:type="dxa"/>
            <w:vAlign w:val="bottom"/>
            <w:tcBorders>
              <w:right w:val="single" w:sz="8" w:color="2D53A6"/>
            </w:tcBorders>
            <w:vMerge w:val="continue"/>
            <w:shd w:val="clear" w:color="auto" w:fill="2D53A6"/>
          </w:tcPr>
          <w:p>
            <w:pPr>
              <w:spacing w:after="0"/>
              <w:rPr>
                <w:sz w:val="6"/>
                <w:szCs w:val="6"/>
                <w:color w:val="auto"/>
              </w:rPr>
            </w:pPr>
          </w:p>
        </w:tc>
        <w:tc>
          <w:tcPr>
            <w:tcW w:w="1800" w:type="dxa"/>
            <w:vAlign w:val="bottom"/>
            <w:tcBorders>
              <w:right w:val="single" w:sz="8" w:color="2D53A6"/>
            </w:tcBorders>
            <w:vMerge w:val="continue"/>
            <w:shd w:val="clear" w:color="auto" w:fill="2D53A6"/>
          </w:tcPr>
          <w:p>
            <w:pPr>
              <w:spacing w:after="0"/>
              <w:rPr>
                <w:sz w:val="6"/>
                <w:szCs w:val="6"/>
                <w:color w:val="auto"/>
              </w:rPr>
            </w:pPr>
          </w:p>
        </w:tc>
        <w:tc>
          <w:tcPr>
            <w:tcW w:w="1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or Other</w:t>
            </w:r>
          </w:p>
        </w:tc>
        <w:tc>
          <w:tcPr>
            <w:tcW w:w="0" w:type="dxa"/>
            <w:vAlign w:val="bottom"/>
          </w:tcPr>
          <w:p>
            <w:pPr>
              <w:spacing w:after="0"/>
              <w:rPr>
                <w:sz w:val="1"/>
                <w:szCs w:val="1"/>
                <w:color w:val="auto"/>
              </w:rPr>
            </w:pPr>
          </w:p>
        </w:tc>
      </w:tr>
      <w:tr>
        <w:trPr>
          <w:trHeight w:val="84"/>
        </w:trPr>
        <w:tc>
          <w:tcPr>
            <w:tcW w:w="2260" w:type="dxa"/>
            <w:vAlign w:val="bottom"/>
            <w:tcBorders>
              <w:left w:val="single" w:sz="8" w:color="2D53A6"/>
              <w:right w:val="single" w:sz="8" w:color="2D53A6"/>
            </w:tcBorders>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vMerge w:val="restart"/>
            <w:shd w:val="clear" w:color="auto" w:fill="2D53A6"/>
          </w:tcPr>
          <w:p>
            <w:pPr>
              <w:jc w:val="center"/>
              <w:ind w:left="128"/>
              <w:spacing w:after="0"/>
              <w:rPr>
                <w:sz w:val="20"/>
                <w:szCs w:val="20"/>
                <w:color w:val="auto"/>
              </w:rPr>
            </w:pPr>
            <w:r>
              <w:rPr>
                <w:rFonts w:ascii="Arial" w:cs="Arial" w:eastAsia="Arial" w:hAnsi="Arial"/>
                <w:sz w:val="14"/>
                <w:szCs w:val="14"/>
                <w:b w:val="1"/>
                <w:bCs w:val="1"/>
                <w:color w:val="FFFFFF"/>
              </w:rPr>
              <w:t>Vested (#)</w:t>
            </w: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restart"/>
            <w:shd w:val="clear" w:color="auto" w:fill="2D53A6"/>
          </w:tcPr>
          <w:p>
            <w:pPr>
              <w:jc w:val="center"/>
              <w:spacing w:after="0" w:line="165" w:lineRule="exact"/>
              <w:rPr>
                <w:sz w:val="20"/>
                <w:szCs w:val="20"/>
                <w:color w:val="auto"/>
              </w:rPr>
            </w:pPr>
            <w:r>
              <w:rPr>
                <w:rFonts w:ascii="Arial" w:cs="Arial" w:eastAsia="Arial" w:hAnsi="Arial"/>
                <w:sz w:val="12"/>
                <w:szCs w:val="12"/>
                <w:b w:val="1"/>
                <w:bCs w:val="1"/>
                <w:color w:val="FFFFFF"/>
              </w:rPr>
              <w:t xml:space="preserve">Vested ($) </w:t>
            </w:r>
            <w:r>
              <w:rPr>
                <w:rFonts w:ascii="Arial" w:cs="Arial" w:eastAsia="Arial" w:hAnsi="Arial"/>
                <w:sz w:val="19"/>
                <w:szCs w:val="19"/>
                <w:b w:val="1"/>
                <w:bCs w:val="1"/>
                <w:color w:val="FFFFFF"/>
                <w:vertAlign w:val="superscript"/>
              </w:rPr>
              <w:t>(2)</w:t>
            </w: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Rights That</w:t>
            </w:r>
          </w:p>
        </w:tc>
        <w:tc>
          <w:tcPr>
            <w:tcW w:w="178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vMerge w:val="continue"/>
            <w:shd w:val="clear" w:color="auto" w:fill="2D53A6"/>
          </w:tcPr>
          <w:p>
            <w:pPr>
              <w:spacing w:after="0"/>
              <w:rPr>
                <w:sz w:val="7"/>
                <w:szCs w:val="7"/>
                <w:color w:val="auto"/>
              </w:rPr>
            </w:pP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Rights That</w:t>
            </w: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shd w:val="clear" w:color="auto" w:fill="2D53A6"/>
          </w:tcPr>
          <w:p>
            <w:pPr>
              <w:spacing w:after="0"/>
              <w:rPr>
                <w:sz w:val="7"/>
                <w:szCs w:val="7"/>
                <w:color w:val="auto"/>
              </w:rPr>
            </w:pP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178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260" w:type="dxa"/>
            <w:vAlign w:val="bottom"/>
            <w:tcBorders>
              <w:left w:val="single" w:sz="8" w:color="2D53A6"/>
              <w:right w:val="single" w:sz="8" w:color="2D53A6"/>
            </w:tcBorders>
            <w:shd w:val="clear" w:color="auto" w:fill="2D53A6"/>
          </w:tcPr>
          <w:p>
            <w:pPr>
              <w:spacing w:after="0"/>
              <w:rPr>
                <w:sz w:val="6"/>
                <w:szCs w:val="6"/>
                <w:color w:val="auto"/>
              </w:rPr>
            </w:pPr>
          </w:p>
        </w:tc>
        <w:tc>
          <w:tcPr>
            <w:tcW w:w="1820" w:type="dxa"/>
            <w:vAlign w:val="bottom"/>
            <w:tcBorders>
              <w:right w:val="single" w:sz="8" w:color="2D53A6"/>
            </w:tcBorders>
            <w:shd w:val="clear" w:color="auto" w:fill="2D53A6"/>
          </w:tcPr>
          <w:p>
            <w:pPr>
              <w:spacing w:after="0"/>
              <w:rPr>
                <w:sz w:val="6"/>
                <w:szCs w:val="6"/>
                <w:color w:val="auto"/>
              </w:rPr>
            </w:pPr>
          </w:p>
        </w:tc>
        <w:tc>
          <w:tcPr>
            <w:tcW w:w="1560" w:type="dxa"/>
            <w:vAlign w:val="bottom"/>
            <w:shd w:val="clear" w:color="auto" w:fill="2D53A6"/>
          </w:tcPr>
          <w:p>
            <w:pPr>
              <w:spacing w:after="0"/>
              <w:rPr>
                <w:sz w:val="6"/>
                <w:szCs w:val="6"/>
                <w:color w:val="auto"/>
              </w:rPr>
            </w:pPr>
          </w:p>
        </w:tc>
        <w:tc>
          <w:tcPr>
            <w:tcW w:w="220" w:type="dxa"/>
            <w:vAlign w:val="bottom"/>
            <w:tcBorders>
              <w:right w:val="single" w:sz="8" w:color="2D53A6"/>
            </w:tcBorders>
            <w:shd w:val="clear" w:color="auto" w:fill="2D53A6"/>
          </w:tcPr>
          <w:p>
            <w:pPr>
              <w:spacing w:after="0"/>
              <w:rPr>
                <w:sz w:val="6"/>
                <w:szCs w:val="6"/>
                <w:color w:val="auto"/>
              </w:rPr>
            </w:pPr>
          </w:p>
        </w:tc>
        <w:tc>
          <w:tcPr>
            <w:tcW w:w="1800" w:type="dxa"/>
            <w:vAlign w:val="bottom"/>
            <w:tcBorders>
              <w:right w:val="single" w:sz="8" w:color="2D53A6"/>
            </w:tcBorders>
            <w:shd w:val="clear" w:color="auto" w:fill="2D53A6"/>
          </w:tcPr>
          <w:p>
            <w:pPr>
              <w:spacing w:after="0"/>
              <w:rPr>
                <w:sz w:val="6"/>
                <w:szCs w:val="6"/>
                <w:color w:val="auto"/>
              </w:rPr>
            </w:pPr>
          </w:p>
        </w:tc>
        <w:tc>
          <w:tcPr>
            <w:tcW w:w="1800" w:type="dxa"/>
            <w:vAlign w:val="bottom"/>
            <w:tcBorders>
              <w:right w:val="single" w:sz="8" w:color="2D53A6"/>
            </w:tcBorders>
            <w:vMerge w:val="continue"/>
            <w:shd w:val="clear" w:color="auto" w:fill="2D53A6"/>
          </w:tcPr>
          <w:p>
            <w:pPr>
              <w:spacing w:after="0"/>
              <w:rPr>
                <w:sz w:val="6"/>
                <w:szCs w:val="6"/>
                <w:color w:val="auto"/>
              </w:rPr>
            </w:pPr>
          </w:p>
        </w:tc>
        <w:tc>
          <w:tcPr>
            <w:tcW w:w="178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81"/>
        </w:trPr>
        <w:tc>
          <w:tcPr>
            <w:tcW w:w="2260" w:type="dxa"/>
            <w:vAlign w:val="bottom"/>
            <w:tcBorders>
              <w:left w:val="single" w:sz="8" w:color="2D53A6"/>
              <w:right w:val="single" w:sz="8" w:color="2D53A6"/>
            </w:tcBorders>
            <w:shd w:val="clear" w:color="auto" w:fill="2D53A6"/>
          </w:tcPr>
          <w:p>
            <w:pPr>
              <w:spacing w:after="0"/>
              <w:rPr>
                <w:sz w:val="7"/>
                <w:szCs w:val="7"/>
                <w:color w:val="auto"/>
              </w:rPr>
            </w:pPr>
          </w:p>
        </w:tc>
        <w:tc>
          <w:tcPr>
            <w:tcW w:w="1820" w:type="dxa"/>
            <w:vAlign w:val="bottom"/>
            <w:tcBorders>
              <w:right w:val="single" w:sz="8" w:color="2D53A6"/>
            </w:tcBorders>
            <w:shd w:val="clear" w:color="auto" w:fill="2D53A6"/>
          </w:tcPr>
          <w:p>
            <w:pPr>
              <w:spacing w:after="0"/>
              <w:rPr>
                <w:sz w:val="7"/>
                <w:szCs w:val="7"/>
                <w:color w:val="auto"/>
              </w:rPr>
            </w:pPr>
          </w:p>
        </w:tc>
        <w:tc>
          <w:tcPr>
            <w:tcW w:w="1560" w:type="dxa"/>
            <w:vAlign w:val="bottom"/>
            <w:shd w:val="clear" w:color="auto" w:fill="2D53A6"/>
          </w:tcPr>
          <w:p>
            <w:pPr>
              <w:spacing w:after="0"/>
              <w:rPr>
                <w:sz w:val="7"/>
                <w:szCs w:val="7"/>
                <w:color w:val="auto"/>
              </w:rPr>
            </w:pPr>
          </w:p>
        </w:tc>
        <w:tc>
          <w:tcPr>
            <w:tcW w:w="22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restart"/>
            <w:shd w:val="clear" w:color="auto" w:fill="2D53A6"/>
          </w:tcPr>
          <w:p>
            <w:pPr>
              <w:jc w:val="center"/>
              <w:spacing w:after="0" w:line="229" w:lineRule="exact"/>
              <w:rPr>
                <w:sz w:val="20"/>
                <w:szCs w:val="20"/>
                <w:color w:val="auto"/>
              </w:rPr>
            </w:pPr>
            <w:r>
              <w:rPr>
                <w:rFonts w:ascii="Arial" w:cs="Arial" w:eastAsia="Arial" w:hAnsi="Arial"/>
                <w:sz w:val="14"/>
                <w:szCs w:val="14"/>
                <w:b w:val="1"/>
                <w:bCs w:val="1"/>
                <w:color w:val="FFFFFF"/>
                <w:w w:val="95"/>
              </w:rPr>
              <w:t xml:space="preserve">Vested (#) </w:t>
            </w:r>
            <w:r>
              <w:rPr>
                <w:rFonts w:ascii="Arial" w:cs="Arial" w:eastAsia="Arial" w:hAnsi="Arial"/>
                <w:sz w:val="23"/>
                <w:szCs w:val="23"/>
                <w:b w:val="1"/>
                <w:bCs w:val="1"/>
                <w:color w:val="FFFFFF"/>
                <w:w w:val="95"/>
                <w:vertAlign w:val="superscript"/>
              </w:rPr>
              <w:t>(3)</w:t>
            </w:r>
          </w:p>
        </w:tc>
        <w:tc>
          <w:tcPr>
            <w:tcW w:w="178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260" w:type="dxa"/>
            <w:vAlign w:val="bottom"/>
            <w:tcBorders>
              <w:left w:val="single" w:sz="8" w:color="2D53A6"/>
              <w:right w:val="single" w:sz="8" w:color="2D53A6"/>
            </w:tcBorders>
            <w:shd w:val="clear" w:color="auto" w:fill="2D53A6"/>
          </w:tcPr>
          <w:p>
            <w:pPr>
              <w:spacing w:after="0"/>
              <w:rPr>
                <w:sz w:val="12"/>
                <w:szCs w:val="12"/>
                <w:color w:val="auto"/>
              </w:rPr>
            </w:pPr>
          </w:p>
        </w:tc>
        <w:tc>
          <w:tcPr>
            <w:tcW w:w="1820" w:type="dxa"/>
            <w:vAlign w:val="bottom"/>
            <w:tcBorders>
              <w:right w:val="single" w:sz="8" w:color="2D53A6"/>
            </w:tcBorders>
            <w:shd w:val="clear" w:color="auto" w:fill="2D53A6"/>
          </w:tcPr>
          <w:p>
            <w:pPr>
              <w:spacing w:after="0"/>
              <w:rPr>
                <w:sz w:val="12"/>
                <w:szCs w:val="12"/>
                <w:color w:val="auto"/>
              </w:rPr>
            </w:pPr>
          </w:p>
        </w:tc>
        <w:tc>
          <w:tcPr>
            <w:tcW w:w="1560" w:type="dxa"/>
            <w:vAlign w:val="bottom"/>
            <w:shd w:val="clear" w:color="auto" w:fill="2D53A6"/>
          </w:tcPr>
          <w:p>
            <w:pPr>
              <w:spacing w:after="0"/>
              <w:rPr>
                <w:sz w:val="12"/>
                <w:szCs w:val="12"/>
                <w:color w:val="auto"/>
              </w:rPr>
            </w:pPr>
          </w:p>
        </w:tc>
        <w:tc>
          <w:tcPr>
            <w:tcW w:w="220" w:type="dxa"/>
            <w:vAlign w:val="bottom"/>
            <w:tcBorders>
              <w:right w:val="single" w:sz="8" w:color="2D53A6"/>
            </w:tcBorders>
            <w:shd w:val="clear" w:color="auto" w:fill="2D53A6"/>
          </w:tcPr>
          <w:p>
            <w:pPr>
              <w:spacing w:after="0"/>
              <w:rPr>
                <w:sz w:val="12"/>
                <w:szCs w:val="12"/>
                <w:color w:val="auto"/>
              </w:rPr>
            </w:pPr>
          </w:p>
        </w:tc>
        <w:tc>
          <w:tcPr>
            <w:tcW w:w="1800" w:type="dxa"/>
            <w:vAlign w:val="bottom"/>
            <w:tcBorders>
              <w:right w:val="single" w:sz="8" w:color="2D53A6"/>
            </w:tcBorders>
            <w:shd w:val="clear" w:color="auto" w:fill="2D53A6"/>
          </w:tcPr>
          <w:p>
            <w:pPr>
              <w:spacing w:after="0"/>
              <w:rPr>
                <w:sz w:val="12"/>
                <w:szCs w:val="12"/>
                <w:color w:val="auto"/>
              </w:rPr>
            </w:pPr>
          </w:p>
        </w:tc>
        <w:tc>
          <w:tcPr>
            <w:tcW w:w="1800" w:type="dxa"/>
            <w:vAlign w:val="bottom"/>
            <w:tcBorders>
              <w:right w:val="single" w:sz="8" w:color="2D53A6"/>
            </w:tcBorders>
            <w:vMerge w:val="continue"/>
            <w:shd w:val="clear" w:color="auto" w:fill="2D53A6"/>
          </w:tcPr>
          <w:p>
            <w:pPr>
              <w:spacing w:after="0"/>
              <w:rPr>
                <w:sz w:val="12"/>
                <w:szCs w:val="12"/>
                <w:color w:val="auto"/>
              </w:rPr>
            </w:pPr>
          </w:p>
        </w:tc>
        <w:tc>
          <w:tcPr>
            <w:tcW w:w="1780" w:type="dxa"/>
            <w:vAlign w:val="bottom"/>
            <w:tcBorders>
              <w:right w:val="single" w:sz="8" w:color="2D53A6"/>
            </w:tcBorders>
            <w:vMerge w:val="restart"/>
            <w:shd w:val="clear" w:color="auto" w:fill="2D53A6"/>
          </w:tcPr>
          <w:p>
            <w:pPr>
              <w:jc w:val="center"/>
              <w:spacing w:after="0" w:line="201" w:lineRule="exact"/>
              <w:rPr>
                <w:sz w:val="20"/>
                <w:szCs w:val="20"/>
                <w:color w:val="auto"/>
              </w:rPr>
            </w:pPr>
            <w:r>
              <w:rPr>
                <w:rFonts w:ascii="Arial" w:cs="Arial" w:eastAsia="Arial" w:hAnsi="Arial"/>
                <w:sz w:val="14"/>
                <w:szCs w:val="14"/>
                <w:b w:val="1"/>
                <w:bCs w:val="1"/>
                <w:color w:val="FFFFFF"/>
                <w:w w:val="95"/>
              </w:rPr>
              <w:t xml:space="preserve">Vested ($) </w:t>
            </w:r>
            <w:r>
              <w:rPr>
                <w:rFonts w:ascii="Arial" w:cs="Arial" w:eastAsia="Arial" w:hAnsi="Arial"/>
                <w:sz w:val="23"/>
                <w:szCs w:val="23"/>
                <w:b w:val="1"/>
                <w:bCs w:val="1"/>
                <w:color w:val="FFFFFF"/>
                <w:w w:val="95"/>
                <w:vertAlign w:val="superscript"/>
              </w:rPr>
              <w:t>(4)</w:t>
            </w:r>
          </w:p>
        </w:tc>
        <w:tc>
          <w:tcPr>
            <w:tcW w:w="0" w:type="dxa"/>
            <w:vAlign w:val="bottom"/>
          </w:tcPr>
          <w:p>
            <w:pPr>
              <w:spacing w:after="0"/>
              <w:rPr>
                <w:sz w:val="1"/>
                <w:szCs w:val="1"/>
                <w:color w:val="auto"/>
              </w:rPr>
            </w:pPr>
          </w:p>
        </w:tc>
      </w:tr>
      <w:tr>
        <w:trPr>
          <w:trHeight w:val="68"/>
        </w:trPr>
        <w:tc>
          <w:tcPr>
            <w:tcW w:w="2260" w:type="dxa"/>
            <w:vAlign w:val="bottom"/>
            <w:tcBorders>
              <w:left w:val="single" w:sz="8" w:color="2D53A6"/>
              <w:right w:val="single" w:sz="8" w:color="2D53A6"/>
            </w:tcBorders>
            <w:shd w:val="clear" w:color="auto" w:fill="2D53A6"/>
          </w:tcPr>
          <w:p>
            <w:pPr>
              <w:spacing w:after="0"/>
              <w:rPr>
                <w:sz w:val="5"/>
                <w:szCs w:val="5"/>
                <w:color w:val="auto"/>
              </w:rPr>
            </w:pPr>
          </w:p>
        </w:tc>
        <w:tc>
          <w:tcPr>
            <w:tcW w:w="1820" w:type="dxa"/>
            <w:vAlign w:val="bottom"/>
            <w:tcBorders>
              <w:right w:val="single" w:sz="8" w:color="2D53A6"/>
            </w:tcBorders>
            <w:shd w:val="clear" w:color="auto" w:fill="2D53A6"/>
          </w:tcPr>
          <w:p>
            <w:pPr>
              <w:spacing w:after="0"/>
              <w:rPr>
                <w:sz w:val="5"/>
                <w:szCs w:val="5"/>
                <w:color w:val="auto"/>
              </w:rPr>
            </w:pPr>
          </w:p>
        </w:tc>
        <w:tc>
          <w:tcPr>
            <w:tcW w:w="1560" w:type="dxa"/>
            <w:vAlign w:val="bottom"/>
            <w:shd w:val="clear" w:color="auto" w:fill="2D53A6"/>
          </w:tcPr>
          <w:p>
            <w:pPr>
              <w:spacing w:after="0"/>
              <w:rPr>
                <w:sz w:val="5"/>
                <w:szCs w:val="5"/>
                <w:color w:val="auto"/>
              </w:rPr>
            </w:pPr>
          </w:p>
        </w:tc>
        <w:tc>
          <w:tcPr>
            <w:tcW w:w="220" w:type="dxa"/>
            <w:vAlign w:val="bottom"/>
            <w:tcBorders>
              <w:right w:val="single" w:sz="8" w:color="2D53A6"/>
            </w:tcBorders>
            <w:shd w:val="clear" w:color="auto" w:fill="2D53A6"/>
          </w:tcPr>
          <w:p>
            <w:pPr>
              <w:spacing w:after="0"/>
              <w:rPr>
                <w:sz w:val="5"/>
                <w:szCs w:val="5"/>
                <w:color w:val="auto"/>
              </w:rPr>
            </w:pPr>
          </w:p>
        </w:tc>
        <w:tc>
          <w:tcPr>
            <w:tcW w:w="1800" w:type="dxa"/>
            <w:vAlign w:val="bottom"/>
            <w:tcBorders>
              <w:right w:val="single" w:sz="8" w:color="2D53A6"/>
            </w:tcBorders>
            <w:shd w:val="clear" w:color="auto" w:fill="2D53A6"/>
          </w:tcPr>
          <w:p>
            <w:pPr>
              <w:spacing w:after="0"/>
              <w:rPr>
                <w:sz w:val="5"/>
                <w:szCs w:val="5"/>
                <w:color w:val="auto"/>
              </w:rPr>
            </w:pPr>
          </w:p>
        </w:tc>
        <w:tc>
          <w:tcPr>
            <w:tcW w:w="1800" w:type="dxa"/>
            <w:vAlign w:val="bottom"/>
            <w:tcBorders>
              <w:right w:val="single" w:sz="8" w:color="2D53A6"/>
            </w:tcBorders>
            <w:shd w:val="clear" w:color="auto" w:fill="2D53A6"/>
          </w:tcPr>
          <w:p>
            <w:pPr>
              <w:spacing w:after="0"/>
              <w:rPr>
                <w:sz w:val="5"/>
                <w:szCs w:val="5"/>
                <w:color w:val="auto"/>
              </w:rPr>
            </w:pPr>
          </w:p>
        </w:tc>
        <w:tc>
          <w:tcPr>
            <w:tcW w:w="1780" w:type="dxa"/>
            <w:vAlign w:val="bottom"/>
            <w:tcBorders>
              <w:right w:val="single" w:sz="8" w:color="2D53A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260" w:type="dxa"/>
            <w:vAlign w:val="bottom"/>
            <w:tcBorders>
              <w:left w:val="single" w:sz="8" w:color="2D53A6"/>
              <w:right w:val="single" w:sz="8" w:color="2D53A6"/>
            </w:tcBorders>
          </w:tcPr>
          <w:p>
            <w:pPr>
              <w:spacing w:after="0"/>
              <w:rPr>
                <w:sz w:val="18"/>
                <w:szCs w:val="18"/>
                <w:color w:val="auto"/>
              </w:rPr>
            </w:pPr>
          </w:p>
        </w:tc>
        <w:tc>
          <w:tcPr>
            <w:tcW w:w="182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3/14/2022</w:t>
            </w:r>
          </w:p>
        </w:tc>
        <w:tc>
          <w:tcPr>
            <w:tcW w:w="1560" w:type="dxa"/>
            <w:vAlign w:val="bottom"/>
          </w:tcPr>
          <w:p>
            <w:pPr>
              <w:jc w:val="right"/>
              <w:spacing w:after="0"/>
              <w:rPr>
                <w:sz w:val="20"/>
                <w:szCs w:val="20"/>
                <w:color w:val="auto"/>
              </w:rPr>
            </w:pPr>
            <w:r>
              <w:rPr>
                <w:rFonts w:ascii="Arial" w:cs="Arial" w:eastAsia="Arial" w:hAnsi="Arial"/>
                <w:sz w:val="14"/>
                <w:szCs w:val="14"/>
                <w:color w:val="auto"/>
              </w:rPr>
              <w:t>13,711</w:t>
            </w:r>
          </w:p>
        </w:tc>
        <w:tc>
          <w:tcPr>
            <w:tcW w:w="220" w:type="dxa"/>
            <w:vAlign w:val="bottom"/>
            <w:tcBorders>
              <w:right w:val="single" w:sz="8" w:color="2D53A6"/>
            </w:tcBorders>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322,071</w:t>
            </w:r>
          </w:p>
        </w:tc>
        <w:tc>
          <w:tcPr>
            <w:tcW w:w="180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16"/>
        </w:trPr>
        <w:tc>
          <w:tcPr>
            <w:tcW w:w="2260" w:type="dxa"/>
            <w:vAlign w:val="bottom"/>
            <w:tcBorders>
              <w:left w:val="single" w:sz="8" w:color="2D53A6"/>
              <w:right w:val="single" w:sz="8" w:color="2D53A6"/>
            </w:tcBorders>
            <w:vMerge w:val="restart"/>
          </w:tcPr>
          <w:p>
            <w:pPr>
              <w:ind w:left="40"/>
              <w:spacing w:after="0"/>
              <w:rPr>
                <w:sz w:val="20"/>
                <w:szCs w:val="20"/>
                <w:color w:val="auto"/>
              </w:rPr>
            </w:pPr>
            <w:r>
              <w:rPr>
                <w:rFonts w:ascii="Arial" w:cs="Arial" w:eastAsia="Arial" w:hAnsi="Arial"/>
                <w:sz w:val="14"/>
                <w:szCs w:val="14"/>
                <w:color w:val="auto"/>
              </w:rPr>
              <w:t>Luis A. Müller</w:t>
            </w:r>
          </w:p>
        </w:tc>
        <w:tc>
          <w:tcPr>
            <w:tcW w:w="182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3/14/2023</w:t>
            </w:r>
          </w:p>
        </w:tc>
        <w:tc>
          <w:tcPr>
            <w:tcW w:w="1560" w:type="dxa"/>
            <w:vAlign w:val="bottom"/>
          </w:tcPr>
          <w:p>
            <w:pPr>
              <w:jc w:val="right"/>
              <w:spacing w:after="0"/>
              <w:rPr>
                <w:sz w:val="20"/>
                <w:szCs w:val="20"/>
                <w:color w:val="auto"/>
              </w:rPr>
            </w:pPr>
            <w:r>
              <w:rPr>
                <w:rFonts w:ascii="Arial" w:cs="Arial" w:eastAsia="Arial" w:hAnsi="Arial"/>
                <w:sz w:val="14"/>
                <w:szCs w:val="14"/>
                <w:color w:val="auto"/>
              </w:rPr>
              <w:t>22,002</w:t>
            </w:r>
          </w:p>
        </w:tc>
        <w:tc>
          <w:tcPr>
            <w:tcW w:w="220" w:type="dxa"/>
            <w:vAlign w:val="bottom"/>
            <w:tcBorders>
              <w:right w:val="single" w:sz="8" w:color="2D53A6"/>
            </w:tcBorders>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516,827</w:t>
            </w:r>
          </w:p>
        </w:tc>
        <w:tc>
          <w:tcPr>
            <w:tcW w:w="180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66,006</w:t>
            </w:r>
          </w:p>
        </w:tc>
        <w:tc>
          <w:tcPr>
            <w:tcW w:w="178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1,550,481</w:t>
            </w:r>
          </w:p>
        </w:tc>
        <w:tc>
          <w:tcPr>
            <w:tcW w:w="0" w:type="dxa"/>
            <w:vAlign w:val="bottom"/>
          </w:tcPr>
          <w:p>
            <w:pPr>
              <w:spacing w:after="0"/>
              <w:rPr>
                <w:sz w:val="1"/>
                <w:szCs w:val="1"/>
                <w:color w:val="auto"/>
              </w:rPr>
            </w:pPr>
          </w:p>
        </w:tc>
      </w:tr>
      <w:tr>
        <w:trPr>
          <w:trHeight w:val="108"/>
        </w:trPr>
        <w:tc>
          <w:tcPr>
            <w:tcW w:w="2260" w:type="dxa"/>
            <w:vAlign w:val="bottom"/>
            <w:tcBorders>
              <w:left w:val="single" w:sz="8" w:color="2D53A6"/>
              <w:right w:val="single" w:sz="8" w:color="2D53A6"/>
            </w:tcBorders>
            <w:vMerge w:val="continue"/>
          </w:tcPr>
          <w:p>
            <w:pPr>
              <w:spacing w:after="0"/>
              <w:rPr>
                <w:sz w:val="9"/>
                <w:szCs w:val="9"/>
                <w:color w:val="auto"/>
              </w:rPr>
            </w:pPr>
          </w:p>
        </w:tc>
        <w:tc>
          <w:tcPr>
            <w:tcW w:w="18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4"/>
                <w:szCs w:val="14"/>
                <w:color w:val="auto"/>
              </w:rPr>
              <w:t>3/12/2024</w:t>
            </w: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32,962</w:t>
            </w:r>
          </w:p>
        </w:tc>
        <w:tc>
          <w:tcPr>
            <w:tcW w:w="22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4"/>
                <w:szCs w:val="14"/>
                <w:color w:val="auto"/>
              </w:rPr>
              <w:t>774,277</w:t>
            </w:r>
          </w:p>
        </w:tc>
        <w:tc>
          <w:tcPr>
            <w:tcW w:w="180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4"/>
                <w:szCs w:val="14"/>
                <w:color w:val="auto"/>
              </w:rPr>
              <w:t>74,165</w:t>
            </w:r>
          </w:p>
        </w:tc>
        <w:tc>
          <w:tcPr>
            <w:tcW w:w="178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4"/>
                <w:szCs w:val="14"/>
                <w:color w:val="auto"/>
              </w:rPr>
              <w:t>1,742,136</w:t>
            </w:r>
          </w:p>
        </w:tc>
        <w:tc>
          <w:tcPr>
            <w:tcW w:w="0" w:type="dxa"/>
            <w:vAlign w:val="bottom"/>
          </w:tcPr>
          <w:p>
            <w:pPr>
              <w:spacing w:after="0"/>
              <w:rPr>
                <w:sz w:val="1"/>
                <w:szCs w:val="1"/>
                <w:color w:val="auto"/>
              </w:rPr>
            </w:pPr>
          </w:p>
        </w:tc>
      </w:tr>
      <w:tr>
        <w:trPr>
          <w:trHeight w:val="108"/>
        </w:trPr>
        <w:tc>
          <w:tcPr>
            <w:tcW w:w="2260" w:type="dxa"/>
            <w:vAlign w:val="bottom"/>
            <w:tcBorders>
              <w:left w:val="single" w:sz="8" w:color="2D53A6"/>
              <w:right w:val="single" w:sz="8" w:color="2D53A6"/>
            </w:tcBorders>
          </w:tcPr>
          <w:p>
            <w:pPr>
              <w:spacing w:after="0"/>
              <w:rPr>
                <w:sz w:val="9"/>
                <w:szCs w:val="9"/>
                <w:color w:val="auto"/>
              </w:rPr>
            </w:pPr>
          </w:p>
        </w:tc>
        <w:tc>
          <w:tcPr>
            <w:tcW w:w="1820" w:type="dxa"/>
            <w:vAlign w:val="bottom"/>
            <w:tcBorders>
              <w:right w:val="single" w:sz="8" w:color="2D53A6"/>
            </w:tcBorders>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220" w:type="dxa"/>
            <w:vAlign w:val="bottom"/>
            <w:tcBorders>
              <w:right w:val="single" w:sz="8" w:color="2D53A6"/>
            </w:tcBorders>
            <w:vMerge w:val="continue"/>
          </w:tcPr>
          <w:p>
            <w:pPr>
              <w:spacing w:after="0"/>
              <w:rPr>
                <w:sz w:val="9"/>
                <w:szCs w:val="9"/>
                <w:color w:val="auto"/>
              </w:rPr>
            </w:pPr>
          </w:p>
        </w:tc>
        <w:tc>
          <w:tcPr>
            <w:tcW w:w="1800" w:type="dxa"/>
            <w:vAlign w:val="bottom"/>
            <w:tcBorders>
              <w:right w:val="single" w:sz="8" w:color="2D53A6"/>
            </w:tcBorders>
            <w:vMerge w:val="continue"/>
          </w:tcPr>
          <w:p>
            <w:pPr>
              <w:spacing w:after="0"/>
              <w:rPr>
                <w:sz w:val="9"/>
                <w:szCs w:val="9"/>
                <w:color w:val="auto"/>
              </w:rPr>
            </w:pPr>
          </w:p>
        </w:tc>
        <w:tc>
          <w:tcPr>
            <w:tcW w:w="1800" w:type="dxa"/>
            <w:vAlign w:val="bottom"/>
            <w:tcBorders>
              <w:right w:val="single" w:sz="8" w:color="2D53A6"/>
            </w:tcBorders>
            <w:vMerge w:val="continue"/>
          </w:tcPr>
          <w:p>
            <w:pPr>
              <w:spacing w:after="0"/>
              <w:rPr>
                <w:sz w:val="9"/>
                <w:szCs w:val="9"/>
                <w:color w:val="auto"/>
              </w:rPr>
            </w:pPr>
          </w:p>
        </w:tc>
        <w:tc>
          <w:tcPr>
            <w:tcW w:w="1780" w:type="dxa"/>
            <w:vAlign w:val="bottom"/>
            <w:tcBorders>
              <w:right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260" w:type="dxa"/>
            <w:vAlign w:val="bottom"/>
            <w:tcBorders>
              <w:left w:val="single" w:sz="8" w:color="2D53A6"/>
              <w:bottom w:val="single" w:sz="8" w:color="2D53A6"/>
              <w:right w:val="single" w:sz="8" w:color="2D53A6"/>
            </w:tcBorders>
          </w:tcPr>
          <w:p>
            <w:pPr>
              <w:spacing w:after="0"/>
              <w:rPr>
                <w:sz w:val="19"/>
                <w:szCs w:val="19"/>
                <w:color w:val="auto"/>
              </w:rPr>
            </w:pPr>
          </w:p>
        </w:tc>
        <w:tc>
          <w:tcPr>
            <w:tcW w:w="18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3/11/2025</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4"/>
                <w:szCs w:val="14"/>
                <w:color w:val="auto"/>
              </w:rPr>
              <w:t>97,067</w:t>
            </w:r>
          </w:p>
        </w:tc>
        <w:tc>
          <w:tcPr>
            <w:tcW w:w="2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2,280,104</w:t>
            </w:r>
          </w:p>
        </w:tc>
        <w:tc>
          <w:tcPr>
            <w:tcW w:w="18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145,601</w:t>
            </w:r>
          </w:p>
        </w:tc>
        <w:tc>
          <w:tcPr>
            <w:tcW w:w="1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3,420,167</w:t>
            </w:r>
          </w:p>
        </w:tc>
        <w:tc>
          <w:tcPr>
            <w:tcW w:w="0" w:type="dxa"/>
            <w:vAlign w:val="bottom"/>
          </w:tcPr>
          <w:p>
            <w:pPr>
              <w:spacing w:after="0"/>
              <w:rPr>
                <w:sz w:val="1"/>
                <w:szCs w:val="1"/>
                <w:color w:val="auto"/>
              </w:rPr>
            </w:pPr>
          </w:p>
        </w:tc>
      </w:tr>
      <w:tr>
        <w:trPr>
          <w:trHeight w:val="205"/>
        </w:trPr>
        <w:tc>
          <w:tcPr>
            <w:tcW w:w="2260" w:type="dxa"/>
            <w:vAlign w:val="bottom"/>
            <w:tcBorders>
              <w:left w:val="single" w:sz="8" w:color="2D53A6"/>
              <w:right w:val="single" w:sz="8" w:color="2D53A6"/>
            </w:tcBorders>
            <w:shd w:val="clear" w:color="auto" w:fill="E6E6E6"/>
          </w:tcPr>
          <w:p>
            <w:pPr>
              <w:spacing w:after="0"/>
              <w:rPr>
                <w:sz w:val="17"/>
                <w:szCs w:val="17"/>
                <w:color w:val="auto"/>
              </w:rPr>
            </w:pPr>
          </w:p>
        </w:tc>
        <w:tc>
          <w:tcPr>
            <w:tcW w:w="182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3/14/2022</w:t>
            </w:r>
          </w:p>
        </w:tc>
        <w:tc>
          <w:tcPr>
            <w:tcW w:w="1560" w:type="dxa"/>
            <w:vAlign w:val="bottom"/>
            <w:shd w:val="clear" w:color="auto" w:fill="E6E6E6"/>
          </w:tcPr>
          <w:p>
            <w:pPr>
              <w:jc w:val="right"/>
              <w:spacing w:after="0"/>
              <w:rPr>
                <w:sz w:val="20"/>
                <w:szCs w:val="20"/>
                <w:color w:val="auto"/>
              </w:rPr>
            </w:pPr>
            <w:r>
              <w:rPr>
                <w:rFonts w:ascii="Arial" w:cs="Arial" w:eastAsia="Arial" w:hAnsi="Arial"/>
                <w:sz w:val="14"/>
                <w:szCs w:val="14"/>
                <w:color w:val="auto"/>
              </w:rPr>
              <w:t>4,433</w:t>
            </w:r>
          </w:p>
        </w:tc>
        <w:tc>
          <w:tcPr>
            <w:tcW w:w="2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104,131</w:t>
            </w:r>
          </w:p>
        </w:tc>
        <w:tc>
          <w:tcPr>
            <w:tcW w:w="18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260" w:type="dxa"/>
            <w:vAlign w:val="bottom"/>
            <w:tcBorders>
              <w:left w:val="single" w:sz="8" w:color="2D53A6"/>
              <w:right w:val="single" w:sz="8" w:color="2D53A6"/>
            </w:tcBorders>
            <w:vMerge w:val="restart"/>
            <w:shd w:val="clear" w:color="auto" w:fill="E6E6E6"/>
          </w:tcPr>
          <w:p>
            <w:pPr>
              <w:ind w:left="40"/>
              <w:spacing w:after="0"/>
              <w:rPr>
                <w:sz w:val="20"/>
                <w:szCs w:val="20"/>
                <w:color w:val="auto"/>
              </w:rPr>
            </w:pPr>
            <w:r>
              <w:rPr>
                <w:rFonts w:ascii="Arial" w:cs="Arial" w:eastAsia="Arial" w:hAnsi="Arial"/>
                <w:sz w:val="14"/>
                <w:szCs w:val="14"/>
                <w:color w:val="auto"/>
              </w:rPr>
              <w:t>Jeffrey D. Jones</w:t>
            </w:r>
          </w:p>
        </w:tc>
        <w:tc>
          <w:tcPr>
            <w:tcW w:w="182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3/14/2023</w:t>
            </w:r>
          </w:p>
        </w:tc>
        <w:tc>
          <w:tcPr>
            <w:tcW w:w="1560" w:type="dxa"/>
            <w:vAlign w:val="bottom"/>
            <w:shd w:val="clear" w:color="auto" w:fill="E6E6E6"/>
          </w:tcPr>
          <w:p>
            <w:pPr>
              <w:jc w:val="right"/>
              <w:spacing w:after="0"/>
              <w:rPr>
                <w:sz w:val="20"/>
                <w:szCs w:val="20"/>
                <w:color w:val="auto"/>
              </w:rPr>
            </w:pPr>
            <w:r>
              <w:rPr>
                <w:rFonts w:ascii="Arial" w:cs="Arial" w:eastAsia="Arial" w:hAnsi="Arial"/>
                <w:sz w:val="14"/>
                <w:szCs w:val="14"/>
                <w:color w:val="auto"/>
              </w:rPr>
              <w:t>7,260</w:t>
            </w:r>
          </w:p>
        </w:tc>
        <w:tc>
          <w:tcPr>
            <w:tcW w:w="2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170,537</w:t>
            </w:r>
          </w:p>
        </w:tc>
        <w:tc>
          <w:tcPr>
            <w:tcW w:w="18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21,782</w:t>
            </w:r>
          </w:p>
        </w:tc>
        <w:tc>
          <w:tcPr>
            <w:tcW w:w="178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511,659</w:t>
            </w:r>
          </w:p>
        </w:tc>
        <w:tc>
          <w:tcPr>
            <w:tcW w:w="0" w:type="dxa"/>
            <w:vAlign w:val="bottom"/>
          </w:tcPr>
          <w:p>
            <w:pPr>
              <w:spacing w:after="0"/>
              <w:rPr>
                <w:sz w:val="1"/>
                <w:szCs w:val="1"/>
                <w:color w:val="auto"/>
              </w:rPr>
            </w:pPr>
          </w:p>
        </w:tc>
      </w:tr>
      <w:tr>
        <w:trPr>
          <w:trHeight w:val="108"/>
        </w:trPr>
        <w:tc>
          <w:tcPr>
            <w:tcW w:w="2260" w:type="dxa"/>
            <w:vAlign w:val="bottom"/>
            <w:tcBorders>
              <w:left w:val="single" w:sz="8" w:color="2D53A6"/>
              <w:right w:val="single" w:sz="8" w:color="2D53A6"/>
            </w:tcBorders>
            <w:vMerge w:val="continue"/>
            <w:shd w:val="clear" w:color="auto" w:fill="E6E6E6"/>
          </w:tcPr>
          <w:p>
            <w:pPr>
              <w:spacing w:after="0"/>
              <w:rPr>
                <w:sz w:val="9"/>
                <w:szCs w:val="9"/>
                <w:color w:val="auto"/>
              </w:rPr>
            </w:pPr>
          </w:p>
        </w:tc>
        <w:tc>
          <w:tcPr>
            <w:tcW w:w="18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4"/>
                <w:szCs w:val="14"/>
                <w:color w:val="auto"/>
              </w:rPr>
              <w:t>3/12/2024</w:t>
            </w:r>
          </w:p>
        </w:tc>
        <w:tc>
          <w:tcPr>
            <w:tcW w:w="1560" w:type="dxa"/>
            <w:vAlign w:val="bottom"/>
            <w:vMerge w:val="restart"/>
            <w:shd w:val="clear" w:color="auto" w:fill="E6E6E6"/>
          </w:tcPr>
          <w:p>
            <w:pPr>
              <w:jc w:val="right"/>
              <w:spacing w:after="0"/>
              <w:rPr>
                <w:sz w:val="20"/>
                <w:szCs w:val="20"/>
                <w:color w:val="auto"/>
              </w:rPr>
            </w:pPr>
            <w:r>
              <w:rPr>
                <w:rFonts w:ascii="Arial" w:cs="Arial" w:eastAsia="Arial" w:hAnsi="Arial"/>
                <w:sz w:val="14"/>
                <w:szCs w:val="14"/>
                <w:color w:val="auto"/>
              </w:rPr>
              <w:t>10,877</w:t>
            </w:r>
          </w:p>
        </w:tc>
        <w:tc>
          <w:tcPr>
            <w:tcW w:w="2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4"/>
                <w:szCs w:val="14"/>
                <w:color w:val="auto"/>
              </w:rPr>
              <w:t>255,501</w:t>
            </w:r>
          </w:p>
        </w:tc>
        <w:tc>
          <w:tcPr>
            <w:tcW w:w="180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4"/>
                <w:szCs w:val="14"/>
                <w:color w:val="auto"/>
              </w:rPr>
              <w:t>24,474</w:t>
            </w:r>
          </w:p>
        </w:tc>
        <w:tc>
          <w:tcPr>
            <w:tcW w:w="178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4"/>
                <w:szCs w:val="14"/>
                <w:color w:val="auto"/>
              </w:rPr>
              <w:t>574,894</w:t>
            </w:r>
          </w:p>
        </w:tc>
        <w:tc>
          <w:tcPr>
            <w:tcW w:w="0" w:type="dxa"/>
            <w:vAlign w:val="bottom"/>
          </w:tcPr>
          <w:p>
            <w:pPr>
              <w:spacing w:after="0"/>
              <w:rPr>
                <w:sz w:val="1"/>
                <w:szCs w:val="1"/>
                <w:color w:val="auto"/>
              </w:rPr>
            </w:pPr>
          </w:p>
        </w:tc>
      </w:tr>
      <w:tr>
        <w:trPr>
          <w:trHeight w:val="108"/>
        </w:trPr>
        <w:tc>
          <w:tcPr>
            <w:tcW w:w="2260" w:type="dxa"/>
            <w:vAlign w:val="bottom"/>
            <w:tcBorders>
              <w:left w:val="single" w:sz="8" w:color="2D53A6"/>
              <w:right w:val="single" w:sz="8" w:color="2D53A6"/>
            </w:tcBorders>
            <w:shd w:val="clear" w:color="auto" w:fill="E6E6E6"/>
          </w:tcPr>
          <w:p>
            <w:pPr>
              <w:spacing w:after="0"/>
              <w:rPr>
                <w:sz w:val="9"/>
                <w:szCs w:val="9"/>
                <w:color w:val="auto"/>
              </w:rPr>
            </w:pPr>
          </w:p>
        </w:tc>
        <w:tc>
          <w:tcPr>
            <w:tcW w:w="1820" w:type="dxa"/>
            <w:vAlign w:val="bottom"/>
            <w:tcBorders>
              <w:right w:val="single" w:sz="8" w:color="2D53A6"/>
            </w:tcBorders>
            <w:vMerge w:val="continue"/>
            <w:shd w:val="clear" w:color="auto" w:fill="E6E6E6"/>
          </w:tcPr>
          <w:p>
            <w:pPr>
              <w:spacing w:after="0"/>
              <w:rPr>
                <w:sz w:val="9"/>
                <w:szCs w:val="9"/>
                <w:color w:val="auto"/>
              </w:rPr>
            </w:pPr>
          </w:p>
        </w:tc>
        <w:tc>
          <w:tcPr>
            <w:tcW w:w="1560" w:type="dxa"/>
            <w:vAlign w:val="bottom"/>
            <w:vMerge w:val="continue"/>
            <w:shd w:val="clear" w:color="auto" w:fill="E6E6E6"/>
          </w:tcPr>
          <w:p>
            <w:pPr>
              <w:spacing w:after="0"/>
              <w:rPr>
                <w:sz w:val="9"/>
                <w:szCs w:val="9"/>
                <w:color w:val="auto"/>
              </w:rPr>
            </w:pPr>
          </w:p>
        </w:tc>
        <w:tc>
          <w:tcPr>
            <w:tcW w:w="220" w:type="dxa"/>
            <w:vAlign w:val="bottom"/>
            <w:tcBorders>
              <w:right w:val="single" w:sz="8" w:color="2D53A6"/>
            </w:tcBorders>
            <w:vMerge w:val="continue"/>
            <w:shd w:val="clear" w:color="auto" w:fill="E6E6E6"/>
          </w:tcPr>
          <w:p>
            <w:pPr>
              <w:spacing w:after="0"/>
              <w:rPr>
                <w:sz w:val="9"/>
                <w:szCs w:val="9"/>
                <w:color w:val="auto"/>
              </w:rPr>
            </w:pPr>
          </w:p>
        </w:tc>
        <w:tc>
          <w:tcPr>
            <w:tcW w:w="1800" w:type="dxa"/>
            <w:vAlign w:val="bottom"/>
            <w:tcBorders>
              <w:right w:val="single" w:sz="8" w:color="2D53A6"/>
            </w:tcBorders>
            <w:vMerge w:val="continue"/>
            <w:shd w:val="clear" w:color="auto" w:fill="E6E6E6"/>
          </w:tcPr>
          <w:p>
            <w:pPr>
              <w:spacing w:after="0"/>
              <w:rPr>
                <w:sz w:val="9"/>
                <w:szCs w:val="9"/>
                <w:color w:val="auto"/>
              </w:rPr>
            </w:pPr>
          </w:p>
        </w:tc>
        <w:tc>
          <w:tcPr>
            <w:tcW w:w="1800" w:type="dxa"/>
            <w:vAlign w:val="bottom"/>
            <w:tcBorders>
              <w:right w:val="single" w:sz="8" w:color="2D53A6"/>
            </w:tcBorders>
            <w:vMerge w:val="continue"/>
            <w:shd w:val="clear" w:color="auto" w:fill="E6E6E6"/>
          </w:tcPr>
          <w:p>
            <w:pPr>
              <w:spacing w:after="0"/>
              <w:rPr>
                <w:sz w:val="9"/>
                <w:szCs w:val="9"/>
                <w:color w:val="auto"/>
              </w:rPr>
            </w:pPr>
          </w:p>
        </w:tc>
        <w:tc>
          <w:tcPr>
            <w:tcW w:w="1780" w:type="dxa"/>
            <w:vAlign w:val="bottom"/>
            <w:tcBorders>
              <w:right w:val="single" w:sz="8" w:color="2D53A6"/>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260" w:type="dxa"/>
            <w:vAlign w:val="bottom"/>
            <w:tcBorders>
              <w:left w:val="single" w:sz="8" w:color="2D53A6"/>
              <w:bottom w:val="single" w:sz="8" w:color="2D53A6"/>
              <w:right w:val="single" w:sz="8" w:color="2D53A6"/>
            </w:tcBorders>
            <w:shd w:val="clear" w:color="auto" w:fill="E6E6E6"/>
          </w:tcPr>
          <w:p>
            <w:pPr>
              <w:spacing w:after="0"/>
              <w:rPr>
                <w:sz w:val="19"/>
                <w:szCs w:val="19"/>
                <w:color w:val="auto"/>
              </w:rPr>
            </w:pPr>
          </w:p>
        </w:tc>
        <w:tc>
          <w:tcPr>
            <w:tcW w:w="18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3/11/2025</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30,333</w:t>
            </w:r>
          </w:p>
        </w:tc>
        <w:tc>
          <w:tcPr>
            <w:tcW w:w="2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712,522</w:t>
            </w:r>
          </w:p>
        </w:tc>
        <w:tc>
          <w:tcPr>
            <w:tcW w:w="18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45,500</w:t>
            </w:r>
          </w:p>
        </w:tc>
        <w:tc>
          <w:tcPr>
            <w:tcW w:w="1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1,068,795</w:t>
            </w:r>
          </w:p>
        </w:tc>
        <w:tc>
          <w:tcPr>
            <w:tcW w:w="0" w:type="dxa"/>
            <w:vAlign w:val="bottom"/>
          </w:tcPr>
          <w:p>
            <w:pPr>
              <w:spacing w:after="0"/>
              <w:rPr>
                <w:sz w:val="1"/>
                <w:szCs w:val="1"/>
                <w:color w:val="auto"/>
              </w:rPr>
            </w:pPr>
          </w:p>
        </w:tc>
      </w:tr>
      <w:tr>
        <w:trPr>
          <w:trHeight w:val="205"/>
        </w:trPr>
        <w:tc>
          <w:tcPr>
            <w:tcW w:w="2260" w:type="dxa"/>
            <w:vAlign w:val="bottom"/>
            <w:tcBorders>
              <w:left w:val="single" w:sz="8" w:color="2D53A6"/>
              <w:right w:val="single" w:sz="8" w:color="2D53A6"/>
            </w:tcBorders>
          </w:tcPr>
          <w:p>
            <w:pPr>
              <w:spacing w:after="0"/>
              <w:rPr>
                <w:sz w:val="17"/>
                <w:szCs w:val="17"/>
                <w:color w:val="auto"/>
              </w:rPr>
            </w:pPr>
          </w:p>
        </w:tc>
        <w:tc>
          <w:tcPr>
            <w:tcW w:w="182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3/14/2022</w:t>
            </w:r>
          </w:p>
        </w:tc>
        <w:tc>
          <w:tcPr>
            <w:tcW w:w="1560" w:type="dxa"/>
            <w:vAlign w:val="bottom"/>
          </w:tcPr>
          <w:p>
            <w:pPr>
              <w:jc w:val="right"/>
              <w:spacing w:after="0"/>
              <w:rPr>
                <w:sz w:val="20"/>
                <w:szCs w:val="20"/>
                <w:color w:val="auto"/>
              </w:rPr>
            </w:pPr>
            <w:r>
              <w:rPr>
                <w:rFonts w:ascii="Arial" w:cs="Arial" w:eastAsia="Arial" w:hAnsi="Arial"/>
                <w:sz w:val="14"/>
                <w:szCs w:val="14"/>
                <w:color w:val="auto"/>
              </w:rPr>
              <w:t>2,925</w:t>
            </w:r>
          </w:p>
        </w:tc>
        <w:tc>
          <w:tcPr>
            <w:tcW w:w="220" w:type="dxa"/>
            <w:vAlign w:val="bottom"/>
            <w:tcBorders>
              <w:right w:val="single" w:sz="8" w:color="2D53A6"/>
            </w:tcBorders>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68,708</w:t>
            </w:r>
          </w:p>
        </w:tc>
        <w:tc>
          <w:tcPr>
            <w:tcW w:w="180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260" w:type="dxa"/>
            <w:vAlign w:val="bottom"/>
            <w:tcBorders>
              <w:left w:val="single" w:sz="8" w:color="2D53A6"/>
              <w:right w:val="single" w:sz="8" w:color="2D53A6"/>
            </w:tcBorders>
            <w:vMerge w:val="restart"/>
          </w:tcPr>
          <w:p>
            <w:pPr>
              <w:ind w:left="40"/>
              <w:spacing w:after="0"/>
              <w:rPr>
                <w:sz w:val="20"/>
                <w:szCs w:val="20"/>
                <w:color w:val="auto"/>
              </w:rPr>
            </w:pPr>
            <w:r>
              <w:rPr>
                <w:rFonts w:ascii="Arial" w:cs="Arial" w:eastAsia="Arial" w:hAnsi="Arial"/>
                <w:sz w:val="14"/>
                <w:szCs w:val="14"/>
                <w:color w:val="auto"/>
              </w:rPr>
              <w:t>Christopher G. Bohrson</w:t>
            </w:r>
          </w:p>
        </w:tc>
        <w:tc>
          <w:tcPr>
            <w:tcW w:w="182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3/14/2023</w:t>
            </w:r>
          </w:p>
        </w:tc>
        <w:tc>
          <w:tcPr>
            <w:tcW w:w="1560" w:type="dxa"/>
            <w:vAlign w:val="bottom"/>
          </w:tcPr>
          <w:p>
            <w:pPr>
              <w:jc w:val="right"/>
              <w:spacing w:after="0"/>
              <w:rPr>
                <w:sz w:val="20"/>
                <w:szCs w:val="20"/>
                <w:color w:val="auto"/>
              </w:rPr>
            </w:pPr>
            <w:r>
              <w:rPr>
                <w:rFonts w:ascii="Arial" w:cs="Arial" w:eastAsia="Arial" w:hAnsi="Arial"/>
                <w:sz w:val="14"/>
                <w:szCs w:val="14"/>
                <w:color w:val="auto"/>
              </w:rPr>
              <w:t>5,500</w:t>
            </w:r>
          </w:p>
        </w:tc>
        <w:tc>
          <w:tcPr>
            <w:tcW w:w="220" w:type="dxa"/>
            <w:vAlign w:val="bottom"/>
            <w:tcBorders>
              <w:right w:val="single" w:sz="8" w:color="2D53A6"/>
            </w:tcBorders>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129,195</w:t>
            </w:r>
          </w:p>
        </w:tc>
        <w:tc>
          <w:tcPr>
            <w:tcW w:w="180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16,501</w:t>
            </w:r>
          </w:p>
        </w:tc>
        <w:tc>
          <w:tcPr>
            <w:tcW w:w="178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387,608</w:t>
            </w:r>
          </w:p>
        </w:tc>
        <w:tc>
          <w:tcPr>
            <w:tcW w:w="0" w:type="dxa"/>
            <w:vAlign w:val="bottom"/>
          </w:tcPr>
          <w:p>
            <w:pPr>
              <w:spacing w:after="0"/>
              <w:rPr>
                <w:sz w:val="1"/>
                <w:szCs w:val="1"/>
                <w:color w:val="auto"/>
              </w:rPr>
            </w:pPr>
          </w:p>
        </w:tc>
      </w:tr>
      <w:tr>
        <w:trPr>
          <w:trHeight w:val="108"/>
        </w:trPr>
        <w:tc>
          <w:tcPr>
            <w:tcW w:w="2260" w:type="dxa"/>
            <w:vAlign w:val="bottom"/>
            <w:tcBorders>
              <w:left w:val="single" w:sz="8" w:color="2D53A6"/>
              <w:right w:val="single" w:sz="8" w:color="2D53A6"/>
            </w:tcBorders>
            <w:vMerge w:val="continue"/>
          </w:tcPr>
          <w:p>
            <w:pPr>
              <w:spacing w:after="0"/>
              <w:rPr>
                <w:sz w:val="9"/>
                <w:szCs w:val="9"/>
                <w:color w:val="auto"/>
              </w:rPr>
            </w:pPr>
          </w:p>
        </w:tc>
        <w:tc>
          <w:tcPr>
            <w:tcW w:w="18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4"/>
                <w:szCs w:val="14"/>
                <w:color w:val="auto"/>
              </w:rPr>
              <w:t>3/12/2024</w:t>
            </w: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8,240</w:t>
            </w:r>
          </w:p>
        </w:tc>
        <w:tc>
          <w:tcPr>
            <w:tcW w:w="22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4"/>
                <w:szCs w:val="14"/>
                <w:color w:val="auto"/>
              </w:rPr>
              <w:t>193,558</w:t>
            </w:r>
          </w:p>
        </w:tc>
        <w:tc>
          <w:tcPr>
            <w:tcW w:w="180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4"/>
                <w:szCs w:val="14"/>
                <w:color w:val="auto"/>
              </w:rPr>
              <w:t>18,541</w:t>
            </w:r>
          </w:p>
        </w:tc>
        <w:tc>
          <w:tcPr>
            <w:tcW w:w="178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4"/>
                <w:szCs w:val="14"/>
                <w:color w:val="auto"/>
              </w:rPr>
              <w:t>435,528</w:t>
            </w:r>
          </w:p>
        </w:tc>
        <w:tc>
          <w:tcPr>
            <w:tcW w:w="0" w:type="dxa"/>
            <w:vAlign w:val="bottom"/>
          </w:tcPr>
          <w:p>
            <w:pPr>
              <w:spacing w:after="0"/>
              <w:rPr>
                <w:sz w:val="1"/>
                <w:szCs w:val="1"/>
                <w:color w:val="auto"/>
              </w:rPr>
            </w:pPr>
          </w:p>
        </w:tc>
      </w:tr>
      <w:tr>
        <w:trPr>
          <w:trHeight w:val="108"/>
        </w:trPr>
        <w:tc>
          <w:tcPr>
            <w:tcW w:w="2260" w:type="dxa"/>
            <w:vAlign w:val="bottom"/>
            <w:tcBorders>
              <w:left w:val="single" w:sz="8" w:color="2D53A6"/>
              <w:right w:val="single" w:sz="8" w:color="2D53A6"/>
            </w:tcBorders>
          </w:tcPr>
          <w:p>
            <w:pPr>
              <w:spacing w:after="0"/>
              <w:rPr>
                <w:sz w:val="9"/>
                <w:szCs w:val="9"/>
                <w:color w:val="auto"/>
              </w:rPr>
            </w:pPr>
          </w:p>
        </w:tc>
        <w:tc>
          <w:tcPr>
            <w:tcW w:w="1820" w:type="dxa"/>
            <w:vAlign w:val="bottom"/>
            <w:tcBorders>
              <w:right w:val="single" w:sz="8" w:color="2D53A6"/>
            </w:tcBorders>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220" w:type="dxa"/>
            <w:vAlign w:val="bottom"/>
            <w:tcBorders>
              <w:right w:val="single" w:sz="8" w:color="2D53A6"/>
            </w:tcBorders>
            <w:vMerge w:val="continue"/>
          </w:tcPr>
          <w:p>
            <w:pPr>
              <w:spacing w:after="0"/>
              <w:rPr>
                <w:sz w:val="9"/>
                <w:szCs w:val="9"/>
                <w:color w:val="auto"/>
              </w:rPr>
            </w:pPr>
          </w:p>
        </w:tc>
        <w:tc>
          <w:tcPr>
            <w:tcW w:w="1800" w:type="dxa"/>
            <w:vAlign w:val="bottom"/>
            <w:tcBorders>
              <w:right w:val="single" w:sz="8" w:color="2D53A6"/>
            </w:tcBorders>
            <w:vMerge w:val="continue"/>
          </w:tcPr>
          <w:p>
            <w:pPr>
              <w:spacing w:after="0"/>
              <w:rPr>
                <w:sz w:val="9"/>
                <w:szCs w:val="9"/>
                <w:color w:val="auto"/>
              </w:rPr>
            </w:pPr>
          </w:p>
        </w:tc>
        <w:tc>
          <w:tcPr>
            <w:tcW w:w="1800" w:type="dxa"/>
            <w:vAlign w:val="bottom"/>
            <w:tcBorders>
              <w:right w:val="single" w:sz="8" w:color="2D53A6"/>
            </w:tcBorders>
            <w:vMerge w:val="continue"/>
          </w:tcPr>
          <w:p>
            <w:pPr>
              <w:spacing w:after="0"/>
              <w:rPr>
                <w:sz w:val="9"/>
                <w:szCs w:val="9"/>
                <w:color w:val="auto"/>
              </w:rPr>
            </w:pPr>
          </w:p>
        </w:tc>
        <w:tc>
          <w:tcPr>
            <w:tcW w:w="1780" w:type="dxa"/>
            <w:vAlign w:val="bottom"/>
            <w:tcBorders>
              <w:right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260" w:type="dxa"/>
            <w:vAlign w:val="bottom"/>
            <w:tcBorders>
              <w:left w:val="single" w:sz="8" w:color="2D53A6"/>
              <w:bottom w:val="single" w:sz="8" w:color="2D53A6"/>
              <w:right w:val="single" w:sz="8" w:color="2D53A6"/>
            </w:tcBorders>
          </w:tcPr>
          <w:p>
            <w:pPr>
              <w:spacing w:after="0"/>
              <w:rPr>
                <w:sz w:val="19"/>
                <w:szCs w:val="19"/>
                <w:color w:val="auto"/>
              </w:rPr>
            </w:pPr>
          </w:p>
        </w:tc>
        <w:tc>
          <w:tcPr>
            <w:tcW w:w="18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3/11/2025</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4"/>
                <w:szCs w:val="14"/>
                <w:color w:val="auto"/>
              </w:rPr>
              <w:t>22,244</w:t>
            </w:r>
          </w:p>
        </w:tc>
        <w:tc>
          <w:tcPr>
            <w:tcW w:w="2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522,512</w:t>
            </w:r>
          </w:p>
        </w:tc>
        <w:tc>
          <w:tcPr>
            <w:tcW w:w="18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33,367</w:t>
            </w:r>
          </w:p>
        </w:tc>
        <w:tc>
          <w:tcPr>
            <w:tcW w:w="1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783,791</w:t>
            </w:r>
          </w:p>
        </w:tc>
        <w:tc>
          <w:tcPr>
            <w:tcW w:w="0" w:type="dxa"/>
            <w:vAlign w:val="bottom"/>
          </w:tcPr>
          <w:p>
            <w:pPr>
              <w:spacing w:after="0"/>
              <w:rPr>
                <w:sz w:val="1"/>
                <w:szCs w:val="1"/>
                <w:color w:val="auto"/>
              </w:rPr>
            </w:pPr>
          </w:p>
        </w:tc>
      </w:tr>
      <w:tr>
        <w:trPr>
          <w:trHeight w:val="205"/>
        </w:trPr>
        <w:tc>
          <w:tcPr>
            <w:tcW w:w="2260" w:type="dxa"/>
            <w:vAlign w:val="bottom"/>
            <w:tcBorders>
              <w:left w:val="single" w:sz="8" w:color="2D53A6"/>
              <w:right w:val="single" w:sz="8" w:color="2D53A6"/>
            </w:tcBorders>
            <w:shd w:val="clear" w:color="auto" w:fill="E6E6E6"/>
          </w:tcPr>
          <w:p>
            <w:pPr>
              <w:spacing w:after="0"/>
              <w:rPr>
                <w:sz w:val="17"/>
                <w:szCs w:val="17"/>
                <w:color w:val="auto"/>
              </w:rPr>
            </w:pPr>
          </w:p>
        </w:tc>
        <w:tc>
          <w:tcPr>
            <w:tcW w:w="182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3/14/2022</w:t>
            </w:r>
          </w:p>
        </w:tc>
        <w:tc>
          <w:tcPr>
            <w:tcW w:w="156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1,256</w:t>
            </w:r>
          </w:p>
        </w:tc>
        <w:tc>
          <w:tcPr>
            <w:tcW w:w="2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29,503</w:t>
            </w:r>
          </w:p>
        </w:tc>
        <w:tc>
          <w:tcPr>
            <w:tcW w:w="18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260" w:type="dxa"/>
            <w:vAlign w:val="bottom"/>
            <w:tcBorders>
              <w:left w:val="single" w:sz="8" w:color="2D53A6"/>
              <w:right w:val="single" w:sz="8" w:color="2D53A6"/>
            </w:tcBorders>
            <w:vMerge w:val="restart"/>
            <w:shd w:val="clear" w:color="auto" w:fill="E6E6E6"/>
          </w:tcPr>
          <w:p>
            <w:pPr>
              <w:ind w:left="40"/>
              <w:spacing w:after="0"/>
              <w:rPr>
                <w:sz w:val="20"/>
                <w:szCs w:val="20"/>
                <w:color w:val="auto"/>
              </w:rPr>
            </w:pPr>
            <w:r>
              <w:rPr>
                <w:rFonts w:ascii="Arial" w:cs="Arial" w:eastAsia="Arial" w:hAnsi="Arial"/>
                <w:sz w:val="14"/>
                <w:szCs w:val="14"/>
                <w:color w:val="auto"/>
              </w:rPr>
              <w:t>Klaus Ilgenfritz</w:t>
            </w:r>
          </w:p>
        </w:tc>
        <w:tc>
          <w:tcPr>
            <w:tcW w:w="182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3/14/2023</w:t>
            </w:r>
          </w:p>
        </w:tc>
        <w:tc>
          <w:tcPr>
            <w:tcW w:w="1560" w:type="dxa"/>
            <w:vAlign w:val="bottom"/>
            <w:shd w:val="clear" w:color="auto" w:fill="E6E6E6"/>
          </w:tcPr>
          <w:p>
            <w:pPr>
              <w:jc w:val="right"/>
              <w:spacing w:after="0"/>
              <w:rPr>
                <w:sz w:val="20"/>
                <w:szCs w:val="20"/>
                <w:color w:val="auto"/>
              </w:rPr>
            </w:pPr>
            <w:r>
              <w:rPr>
                <w:rFonts w:ascii="Arial" w:cs="Arial" w:eastAsia="Arial" w:hAnsi="Arial"/>
                <w:sz w:val="14"/>
                <w:szCs w:val="14"/>
                <w:color w:val="auto"/>
              </w:rPr>
              <w:t>2,474</w:t>
            </w:r>
          </w:p>
        </w:tc>
        <w:tc>
          <w:tcPr>
            <w:tcW w:w="2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58,114</w:t>
            </w:r>
          </w:p>
        </w:tc>
        <w:tc>
          <w:tcPr>
            <w:tcW w:w="18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7,425</w:t>
            </w:r>
          </w:p>
        </w:tc>
        <w:tc>
          <w:tcPr>
            <w:tcW w:w="178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174,413</w:t>
            </w:r>
          </w:p>
        </w:tc>
        <w:tc>
          <w:tcPr>
            <w:tcW w:w="0" w:type="dxa"/>
            <w:vAlign w:val="bottom"/>
          </w:tcPr>
          <w:p>
            <w:pPr>
              <w:spacing w:after="0"/>
              <w:rPr>
                <w:sz w:val="1"/>
                <w:szCs w:val="1"/>
                <w:color w:val="auto"/>
              </w:rPr>
            </w:pPr>
          </w:p>
        </w:tc>
      </w:tr>
      <w:tr>
        <w:trPr>
          <w:trHeight w:val="108"/>
        </w:trPr>
        <w:tc>
          <w:tcPr>
            <w:tcW w:w="2260" w:type="dxa"/>
            <w:vAlign w:val="bottom"/>
            <w:tcBorders>
              <w:left w:val="single" w:sz="8" w:color="2D53A6"/>
              <w:right w:val="single" w:sz="8" w:color="2D53A6"/>
            </w:tcBorders>
            <w:vMerge w:val="continue"/>
            <w:shd w:val="clear" w:color="auto" w:fill="E6E6E6"/>
          </w:tcPr>
          <w:p>
            <w:pPr>
              <w:spacing w:after="0"/>
              <w:rPr>
                <w:sz w:val="9"/>
                <w:szCs w:val="9"/>
                <w:color w:val="auto"/>
              </w:rPr>
            </w:pPr>
          </w:p>
        </w:tc>
        <w:tc>
          <w:tcPr>
            <w:tcW w:w="18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4"/>
                <w:szCs w:val="14"/>
                <w:color w:val="auto"/>
              </w:rPr>
              <w:t>3/12/2024</w:t>
            </w:r>
          </w:p>
        </w:tc>
        <w:tc>
          <w:tcPr>
            <w:tcW w:w="1560" w:type="dxa"/>
            <w:vAlign w:val="bottom"/>
            <w:vMerge w:val="restart"/>
            <w:shd w:val="clear" w:color="auto" w:fill="E6E6E6"/>
          </w:tcPr>
          <w:p>
            <w:pPr>
              <w:jc w:val="right"/>
              <w:spacing w:after="0"/>
              <w:rPr>
                <w:sz w:val="20"/>
                <w:szCs w:val="20"/>
                <w:color w:val="auto"/>
              </w:rPr>
            </w:pPr>
            <w:r>
              <w:rPr>
                <w:rFonts w:ascii="Arial" w:cs="Arial" w:eastAsia="Arial" w:hAnsi="Arial"/>
                <w:sz w:val="14"/>
                <w:szCs w:val="14"/>
                <w:color w:val="auto"/>
              </w:rPr>
              <w:t>4,532</w:t>
            </w:r>
          </w:p>
        </w:tc>
        <w:tc>
          <w:tcPr>
            <w:tcW w:w="2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4"/>
                <w:szCs w:val="14"/>
                <w:color w:val="auto"/>
              </w:rPr>
              <w:t>106,457</w:t>
            </w:r>
          </w:p>
        </w:tc>
        <w:tc>
          <w:tcPr>
            <w:tcW w:w="180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4"/>
                <w:szCs w:val="14"/>
                <w:color w:val="auto"/>
              </w:rPr>
              <w:t>10,197</w:t>
            </w:r>
          </w:p>
        </w:tc>
        <w:tc>
          <w:tcPr>
            <w:tcW w:w="178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4"/>
                <w:szCs w:val="14"/>
                <w:color w:val="auto"/>
              </w:rPr>
              <w:t>239,528</w:t>
            </w:r>
          </w:p>
        </w:tc>
        <w:tc>
          <w:tcPr>
            <w:tcW w:w="0" w:type="dxa"/>
            <w:vAlign w:val="bottom"/>
          </w:tcPr>
          <w:p>
            <w:pPr>
              <w:spacing w:after="0"/>
              <w:rPr>
                <w:sz w:val="1"/>
                <w:szCs w:val="1"/>
                <w:color w:val="auto"/>
              </w:rPr>
            </w:pPr>
          </w:p>
        </w:tc>
      </w:tr>
      <w:tr>
        <w:trPr>
          <w:trHeight w:val="108"/>
        </w:trPr>
        <w:tc>
          <w:tcPr>
            <w:tcW w:w="2260" w:type="dxa"/>
            <w:vAlign w:val="bottom"/>
            <w:tcBorders>
              <w:left w:val="single" w:sz="8" w:color="2D53A6"/>
              <w:right w:val="single" w:sz="8" w:color="2D53A6"/>
            </w:tcBorders>
            <w:shd w:val="clear" w:color="auto" w:fill="E6E6E6"/>
          </w:tcPr>
          <w:p>
            <w:pPr>
              <w:spacing w:after="0"/>
              <w:rPr>
                <w:sz w:val="9"/>
                <w:szCs w:val="9"/>
                <w:color w:val="auto"/>
              </w:rPr>
            </w:pPr>
          </w:p>
        </w:tc>
        <w:tc>
          <w:tcPr>
            <w:tcW w:w="1820" w:type="dxa"/>
            <w:vAlign w:val="bottom"/>
            <w:tcBorders>
              <w:right w:val="single" w:sz="8" w:color="2D53A6"/>
            </w:tcBorders>
            <w:vMerge w:val="continue"/>
            <w:shd w:val="clear" w:color="auto" w:fill="E6E6E6"/>
          </w:tcPr>
          <w:p>
            <w:pPr>
              <w:spacing w:after="0"/>
              <w:rPr>
                <w:sz w:val="9"/>
                <w:szCs w:val="9"/>
                <w:color w:val="auto"/>
              </w:rPr>
            </w:pPr>
          </w:p>
        </w:tc>
        <w:tc>
          <w:tcPr>
            <w:tcW w:w="1560" w:type="dxa"/>
            <w:vAlign w:val="bottom"/>
            <w:vMerge w:val="continue"/>
            <w:shd w:val="clear" w:color="auto" w:fill="E6E6E6"/>
          </w:tcPr>
          <w:p>
            <w:pPr>
              <w:spacing w:after="0"/>
              <w:rPr>
                <w:sz w:val="9"/>
                <w:szCs w:val="9"/>
                <w:color w:val="auto"/>
              </w:rPr>
            </w:pPr>
          </w:p>
        </w:tc>
        <w:tc>
          <w:tcPr>
            <w:tcW w:w="220" w:type="dxa"/>
            <w:vAlign w:val="bottom"/>
            <w:tcBorders>
              <w:right w:val="single" w:sz="8" w:color="2D53A6"/>
            </w:tcBorders>
            <w:vMerge w:val="continue"/>
            <w:shd w:val="clear" w:color="auto" w:fill="E6E6E6"/>
          </w:tcPr>
          <w:p>
            <w:pPr>
              <w:spacing w:after="0"/>
              <w:rPr>
                <w:sz w:val="9"/>
                <w:szCs w:val="9"/>
                <w:color w:val="auto"/>
              </w:rPr>
            </w:pPr>
          </w:p>
        </w:tc>
        <w:tc>
          <w:tcPr>
            <w:tcW w:w="1800" w:type="dxa"/>
            <w:vAlign w:val="bottom"/>
            <w:tcBorders>
              <w:right w:val="single" w:sz="8" w:color="2D53A6"/>
            </w:tcBorders>
            <w:vMerge w:val="continue"/>
            <w:shd w:val="clear" w:color="auto" w:fill="E6E6E6"/>
          </w:tcPr>
          <w:p>
            <w:pPr>
              <w:spacing w:after="0"/>
              <w:rPr>
                <w:sz w:val="9"/>
                <w:szCs w:val="9"/>
                <w:color w:val="auto"/>
              </w:rPr>
            </w:pPr>
          </w:p>
        </w:tc>
        <w:tc>
          <w:tcPr>
            <w:tcW w:w="1800" w:type="dxa"/>
            <w:vAlign w:val="bottom"/>
            <w:tcBorders>
              <w:right w:val="single" w:sz="8" w:color="2D53A6"/>
            </w:tcBorders>
            <w:vMerge w:val="continue"/>
            <w:shd w:val="clear" w:color="auto" w:fill="E6E6E6"/>
          </w:tcPr>
          <w:p>
            <w:pPr>
              <w:spacing w:after="0"/>
              <w:rPr>
                <w:sz w:val="9"/>
                <w:szCs w:val="9"/>
                <w:color w:val="auto"/>
              </w:rPr>
            </w:pPr>
          </w:p>
        </w:tc>
        <w:tc>
          <w:tcPr>
            <w:tcW w:w="1780" w:type="dxa"/>
            <w:vAlign w:val="bottom"/>
            <w:tcBorders>
              <w:right w:val="single" w:sz="8" w:color="2D53A6"/>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260" w:type="dxa"/>
            <w:vAlign w:val="bottom"/>
            <w:tcBorders>
              <w:left w:val="single" w:sz="8" w:color="2D53A6"/>
              <w:bottom w:val="single" w:sz="8" w:color="2D53A6"/>
              <w:right w:val="single" w:sz="8" w:color="2D53A6"/>
            </w:tcBorders>
            <w:shd w:val="clear" w:color="auto" w:fill="E6E6E6"/>
          </w:tcPr>
          <w:p>
            <w:pPr>
              <w:spacing w:after="0"/>
              <w:rPr>
                <w:sz w:val="19"/>
                <w:szCs w:val="19"/>
                <w:color w:val="auto"/>
              </w:rPr>
            </w:pPr>
          </w:p>
        </w:tc>
        <w:tc>
          <w:tcPr>
            <w:tcW w:w="18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3/11/2025</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15,166</w:t>
            </w:r>
          </w:p>
        </w:tc>
        <w:tc>
          <w:tcPr>
            <w:tcW w:w="2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2"/>
                <w:szCs w:val="12"/>
                <w:color w:val="auto"/>
              </w:rPr>
              <w:t>(1)</w:t>
            </w:r>
          </w:p>
        </w:tc>
        <w:tc>
          <w:tcPr>
            <w:tcW w:w="18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356,249</w:t>
            </w:r>
          </w:p>
        </w:tc>
        <w:tc>
          <w:tcPr>
            <w:tcW w:w="18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22,750</w:t>
            </w:r>
          </w:p>
        </w:tc>
        <w:tc>
          <w:tcPr>
            <w:tcW w:w="1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534,398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100" w:hanging="332"/>
        <w:spacing w:after="0" w:line="25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RSUs awarded in 2023 or earlier vest and shares are issued in four equal annual installments over the four year period following the date of grant. RSUs awarded in 2024 vest and shares are issued in three equal annual installments over the three year period following the date of grant.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a closing market price of Cohu’s common stock of $23.49 per share as reported on the Nasdaq Global Select Market on December 27, 2025.</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PSUs granted under the 2023, 2024 and 2025 PSU program at the target award level. PSUs granted in 2023, 2024 and 2025 may be earned at a level ranging from 0%-200% of the target award level on the third anniversary of their grant subject to continued service through the certification date.</w:t>
      </w: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a closing price of Cohu’s common stock of $23.49 as reported on the Nasdaq Global Select Market on December 27, 2025.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Option Exercise and Stock Vested Table</w:t>
      </w:r>
    </w:p>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 shows the value realized upon all stock awards vested and the value realized upon vesting by our NEOs during 2025. No stock options were exercised by our NEOs nor are any stock options outstanding in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7300" w:type="dxa"/>
            <w:vAlign w:val="bottom"/>
            <w:tcBorders>
              <w:right w:val="single" w:sz="8" w:color="2D53A6"/>
            </w:tcBorders>
            <w:shd w:val="clear" w:color="auto" w:fill="2D53A6"/>
          </w:tcPr>
          <w:p>
            <w:pPr>
              <w:spacing w:after="0"/>
              <w:rPr>
                <w:sz w:val="24"/>
                <w:szCs w:val="24"/>
                <w:color w:val="auto"/>
              </w:rPr>
            </w:pPr>
          </w:p>
        </w:tc>
        <w:tc>
          <w:tcPr>
            <w:tcW w:w="120" w:type="dxa"/>
            <w:vAlign w:val="bottom"/>
            <w:shd w:val="clear" w:color="auto" w:fill="2D53A6"/>
          </w:tcPr>
          <w:p>
            <w:pPr>
              <w:spacing w:after="0"/>
              <w:rPr>
                <w:sz w:val="24"/>
                <w:szCs w:val="24"/>
                <w:color w:val="auto"/>
              </w:rPr>
            </w:pPr>
          </w:p>
        </w:tc>
        <w:tc>
          <w:tcPr>
            <w:tcW w:w="3820" w:type="dxa"/>
            <w:vAlign w:val="bottom"/>
            <w:tcBorders>
              <w:right w:val="single" w:sz="8" w:color="2D53A6"/>
            </w:tcBorders>
            <w:gridSpan w:val="2"/>
            <w:shd w:val="clear" w:color="auto" w:fill="2D53A6"/>
          </w:tcPr>
          <w:p>
            <w:pPr>
              <w:jc w:val="right"/>
              <w:ind w:right="1247"/>
              <w:spacing w:after="0"/>
              <w:rPr>
                <w:sz w:val="20"/>
                <w:szCs w:val="20"/>
                <w:color w:val="auto"/>
              </w:rPr>
            </w:pPr>
            <w:r>
              <w:rPr>
                <w:rFonts w:ascii="Arial" w:cs="Arial" w:eastAsia="Arial" w:hAnsi="Arial"/>
                <w:sz w:val="20"/>
                <w:szCs w:val="20"/>
                <w:b w:val="1"/>
                <w:bCs w:val="1"/>
                <w:color w:val="FFFFFF"/>
              </w:rPr>
              <w:t>Stock Awards</w:t>
            </w:r>
          </w:p>
        </w:tc>
        <w:tc>
          <w:tcPr>
            <w:tcW w:w="0" w:type="dxa"/>
            <w:vAlign w:val="bottom"/>
          </w:tcPr>
          <w:p>
            <w:pPr>
              <w:spacing w:after="0"/>
              <w:rPr>
                <w:sz w:val="1"/>
                <w:szCs w:val="1"/>
                <w:color w:val="auto"/>
              </w:rPr>
            </w:pPr>
          </w:p>
        </w:tc>
      </w:tr>
      <w:tr>
        <w:trPr>
          <w:trHeight w:val="253"/>
        </w:trPr>
        <w:tc>
          <w:tcPr>
            <w:tcW w:w="7300" w:type="dxa"/>
            <w:vAlign w:val="bottom"/>
            <w:tcBorders>
              <w:right w:val="single" w:sz="8" w:color="2D53A6"/>
            </w:tcBorders>
            <w:shd w:val="clear" w:color="auto" w:fill="2D53A6"/>
          </w:tcPr>
          <w:p>
            <w:pPr>
              <w:spacing w:after="0"/>
              <w:rPr>
                <w:sz w:val="22"/>
                <w:szCs w:val="22"/>
                <w:color w:val="auto"/>
              </w:rPr>
            </w:pPr>
          </w:p>
        </w:tc>
        <w:tc>
          <w:tcPr>
            <w:tcW w:w="120" w:type="dxa"/>
            <w:vAlign w:val="bottom"/>
            <w:shd w:val="clear" w:color="auto" w:fill="2D53A6"/>
          </w:tcPr>
          <w:p>
            <w:pPr>
              <w:spacing w:after="0"/>
              <w:rPr>
                <w:sz w:val="22"/>
                <w:szCs w:val="22"/>
                <w:color w:val="auto"/>
              </w:rPr>
            </w:pPr>
          </w:p>
        </w:tc>
        <w:tc>
          <w:tcPr>
            <w:tcW w:w="1840" w:type="dxa"/>
            <w:vAlign w:val="bottom"/>
            <w:tcBorders>
              <w:right w:val="single" w:sz="8" w:color="2D53A6"/>
            </w:tcBorders>
            <w:shd w:val="clear" w:color="auto" w:fill="2D53A6"/>
          </w:tcPr>
          <w:p>
            <w:pPr>
              <w:jc w:val="center"/>
              <w:ind w:right="61"/>
              <w:spacing w:after="0"/>
              <w:rPr>
                <w:sz w:val="20"/>
                <w:szCs w:val="20"/>
                <w:color w:val="auto"/>
              </w:rPr>
            </w:pPr>
            <w:r>
              <w:rPr>
                <w:rFonts w:ascii="Arial" w:cs="Arial" w:eastAsia="Arial" w:hAnsi="Arial"/>
                <w:sz w:val="20"/>
                <w:szCs w:val="20"/>
                <w:b w:val="1"/>
                <w:bCs w:val="1"/>
                <w:color w:val="FFFFFF"/>
              </w:rPr>
              <w:t>Number</w:t>
            </w:r>
          </w:p>
        </w:tc>
        <w:tc>
          <w:tcPr>
            <w:tcW w:w="1980" w:type="dxa"/>
            <w:vAlign w:val="bottom"/>
            <w:tcBorders>
              <w:right w:val="single" w:sz="8" w:color="2D53A6"/>
            </w:tcBorders>
            <w:vMerge w:val="restart"/>
            <w:shd w:val="clear" w:color="auto" w:fill="2D53A6"/>
          </w:tcPr>
          <w:p>
            <w:pPr>
              <w:jc w:val="right"/>
              <w:ind w:right="227"/>
              <w:spacing w:after="0"/>
              <w:rPr>
                <w:sz w:val="20"/>
                <w:szCs w:val="20"/>
                <w:color w:val="auto"/>
              </w:rPr>
            </w:pPr>
            <w:r>
              <w:rPr>
                <w:rFonts w:ascii="Arial" w:cs="Arial" w:eastAsia="Arial" w:hAnsi="Arial"/>
                <w:sz w:val="20"/>
                <w:szCs w:val="20"/>
                <w:b w:val="1"/>
                <w:bCs w:val="1"/>
                <w:color w:val="FFFFFF"/>
              </w:rPr>
              <w:t>Value Realized</w:t>
            </w:r>
          </w:p>
        </w:tc>
        <w:tc>
          <w:tcPr>
            <w:tcW w:w="0" w:type="dxa"/>
            <w:vAlign w:val="bottom"/>
          </w:tcPr>
          <w:p>
            <w:pPr>
              <w:spacing w:after="0"/>
              <w:rPr>
                <w:sz w:val="1"/>
                <w:szCs w:val="1"/>
                <w:color w:val="auto"/>
              </w:rPr>
            </w:pPr>
          </w:p>
        </w:tc>
      </w:tr>
      <w:tr>
        <w:trPr>
          <w:trHeight w:val="216"/>
        </w:trPr>
        <w:tc>
          <w:tcPr>
            <w:tcW w:w="7300" w:type="dxa"/>
            <w:vAlign w:val="bottom"/>
            <w:tcBorders>
              <w:right w:val="single" w:sz="8" w:color="2D53A6"/>
            </w:tcBorders>
            <w:vMerge w:val="restart"/>
            <w:shd w:val="clear" w:color="auto" w:fill="2D53A6"/>
          </w:tcPr>
          <w:p>
            <w:pPr>
              <w:ind w:left="100"/>
              <w:spacing w:after="0"/>
              <w:rPr>
                <w:sz w:val="20"/>
                <w:szCs w:val="20"/>
                <w:color w:val="auto"/>
              </w:rPr>
            </w:pPr>
            <w:r>
              <w:rPr>
                <w:rFonts w:ascii="Arial" w:cs="Arial" w:eastAsia="Arial" w:hAnsi="Arial"/>
                <w:sz w:val="20"/>
                <w:szCs w:val="20"/>
                <w:b w:val="1"/>
                <w:bCs w:val="1"/>
                <w:color w:val="FFFFFF"/>
              </w:rPr>
              <w:t>Named Executive Officer</w:t>
            </w:r>
          </w:p>
        </w:tc>
        <w:tc>
          <w:tcPr>
            <w:tcW w:w="120" w:type="dxa"/>
            <w:vAlign w:val="bottom"/>
            <w:shd w:val="clear" w:color="auto" w:fill="2D53A6"/>
          </w:tcPr>
          <w:p>
            <w:pPr>
              <w:spacing w:after="0"/>
              <w:rPr>
                <w:sz w:val="18"/>
                <w:szCs w:val="18"/>
                <w:color w:val="auto"/>
              </w:rPr>
            </w:pPr>
          </w:p>
        </w:tc>
        <w:tc>
          <w:tcPr>
            <w:tcW w:w="1840" w:type="dxa"/>
            <w:vAlign w:val="bottom"/>
            <w:tcBorders>
              <w:right w:val="single" w:sz="8" w:color="2D53A6"/>
            </w:tcBorders>
            <w:shd w:val="clear" w:color="auto" w:fill="2D53A6"/>
          </w:tcPr>
          <w:p>
            <w:pPr>
              <w:jc w:val="center"/>
              <w:ind w:right="41"/>
              <w:spacing w:after="0" w:line="216" w:lineRule="exact"/>
              <w:rPr>
                <w:sz w:val="20"/>
                <w:szCs w:val="20"/>
                <w:color w:val="auto"/>
              </w:rPr>
            </w:pPr>
            <w:r>
              <w:rPr>
                <w:rFonts w:ascii="Arial" w:cs="Arial" w:eastAsia="Arial" w:hAnsi="Arial"/>
                <w:sz w:val="20"/>
                <w:szCs w:val="20"/>
                <w:b w:val="1"/>
                <w:bCs w:val="1"/>
                <w:color w:val="FFFFFF"/>
                <w:w w:val="98"/>
              </w:rPr>
              <w:t>of Shares</w:t>
            </w:r>
          </w:p>
        </w:tc>
        <w:tc>
          <w:tcPr>
            <w:tcW w:w="1980" w:type="dxa"/>
            <w:vAlign w:val="bottom"/>
            <w:tcBorders>
              <w:right w:val="single" w:sz="8" w:color="2D53A6"/>
            </w:tcBorders>
            <w:vMerge w:val="continue"/>
            <w:shd w:val="clear" w:color="auto" w:fill="2D53A6"/>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300" w:type="dxa"/>
            <w:vAlign w:val="bottom"/>
            <w:tcBorders>
              <w:right w:val="single" w:sz="8" w:color="2D53A6"/>
            </w:tcBorders>
            <w:vMerge w:val="continue"/>
            <w:shd w:val="clear" w:color="auto" w:fill="2D53A6"/>
          </w:tcPr>
          <w:p>
            <w:pPr>
              <w:spacing w:after="0"/>
              <w:rPr>
                <w:sz w:val="14"/>
                <w:szCs w:val="14"/>
                <w:color w:val="auto"/>
              </w:rPr>
            </w:pPr>
          </w:p>
        </w:tc>
        <w:tc>
          <w:tcPr>
            <w:tcW w:w="120" w:type="dxa"/>
            <w:vAlign w:val="bottom"/>
            <w:shd w:val="clear" w:color="auto" w:fill="2D53A6"/>
          </w:tcPr>
          <w:p>
            <w:pPr>
              <w:spacing w:after="0"/>
              <w:rPr>
                <w:sz w:val="14"/>
                <w:szCs w:val="14"/>
                <w:color w:val="auto"/>
              </w:rPr>
            </w:pPr>
          </w:p>
        </w:tc>
        <w:tc>
          <w:tcPr>
            <w:tcW w:w="1840" w:type="dxa"/>
            <w:vAlign w:val="bottom"/>
            <w:tcBorders>
              <w:right w:val="single" w:sz="8" w:color="2D53A6"/>
            </w:tcBorders>
            <w:vMerge w:val="restart"/>
            <w:shd w:val="clear" w:color="auto" w:fill="2D53A6"/>
          </w:tcPr>
          <w:p>
            <w:pPr>
              <w:jc w:val="center"/>
              <w:ind w:right="61"/>
              <w:spacing w:after="0" w:line="216" w:lineRule="exact"/>
              <w:rPr>
                <w:sz w:val="20"/>
                <w:szCs w:val="20"/>
                <w:color w:val="auto"/>
              </w:rPr>
            </w:pPr>
            <w:r>
              <w:rPr>
                <w:rFonts w:ascii="Arial" w:cs="Arial" w:eastAsia="Arial" w:hAnsi="Arial"/>
                <w:sz w:val="20"/>
                <w:szCs w:val="20"/>
                <w:b w:val="1"/>
                <w:bCs w:val="1"/>
                <w:color w:val="FFFFFF"/>
                <w:w w:val="99"/>
              </w:rPr>
              <w:t>Acquired on</w:t>
            </w:r>
          </w:p>
        </w:tc>
        <w:tc>
          <w:tcPr>
            <w:tcW w:w="1980" w:type="dxa"/>
            <w:vAlign w:val="bottom"/>
            <w:tcBorders>
              <w:right w:val="single" w:sz="8" w:color="2D53A6"/>
            </w:tcBorders>
            <w:vMerge w:val="restart"/>
            <w:shd w:val="clear" w:color="auto" w:fill="2D53A6"/>
          </w:tcPr>
          <w:p>
            <w:pPr>
              <w:jc w:val="right"/>
              <w:ind w:right="147"/>
              <w:spacing w:after="0" w:line="216" w:lineRule="exact"/>
              <w:rPr>
                <w:sz w:val="20"/>
                <w:szCs w:val="20"/>
                <w:color w:val="auto"/>
              </w:rPr>
            </w:pPr>
            <w:r>
              <w:rPr>
                <w:rFonts w:ascii="Arial" w:cs="Arial" w:eastAsia="Arial" w:hAnsi="Arial"/>
                <w:sz w:val="20"/>
                <w:szCs w:val="20"/>
                <w:b w:val="1"/>
                <w:bCs w:val="1"/>
                <w:color w:val="FFFFFF"/>
              </w:rPr>
              <w:t>on Vesting ($)</w:t>
            </w:r>
            <w:r>
              <w:rPr>
                <w:rFonts w:ascii="Arial" w:cs="Arial" w:eastAsia="Arial" w:hAnsi="Arial"/>
                <w:sz w:val="16"/>
                <w:szCs w:val="16"/>
                <w:b w:val="1"/>
                <w:bCs w:val="1"/>
                <w:color w:val="FFFFFF"/>
              </w:rPr>
              <w:t>(2)</w:t>
            </w:r>
          </w:p>
        </w:tc>
        <w:tc>
          <w:tcPr>
            <w:tcW w:w="0" w:type="dxa"/>
            <w:vAlign w:val="bottom"/>
          </w:tcPr>
          <w:p>
            <w:pPr>
              <w:spacing w:after="0"/>
              <w:rPr>
                <w:sz w:val="1"/>
                <w:szCs w:val="1"/>
                <w:color w:val="auto"/>
              </w:rPr>
            </w:pPr>
          </w:p>
        </w:tc>
      </w:tr>
      <w:tr>
        <w:trPr>
          <w:trHeight w:val="51"/>
        </w:trPr>
        <w:tc>
          <w:tcPr>
            <w:tcW w:w="7300" w:type="dxa"/>
            <w:vAlign w:val="bottom"/>
            <w:tcBorders>
              <w:right w:val="single" w:sz="8" w:color="2D53A6"/>
            </w:tcBorders>
            <w:shd w:val="clear" w:color="auto" w:fill="2D53A6"/>
          </w:tcPr>
          <w:p>
            <w:pPr>
              <w:spacing w:after="0"/>
              <w:rPr>
                <w:sz w:val="4"/>
                <w:szCs w:val="4"/>
                <w:color w:val="auto"/>
              </w:rPr>
            </w:pPr>
          </w:p>
        </w:tc>
        <w:tc>
          <w:tcPr>
            <w:tcW w:w="120" w:type="dxa"/>
            <w:vAlign w:val="bottom"/>
            <w:shd w:val="clear" w:color="auto" w:fill="2D53A6"/>
          </w:tcPr>
          <w:p>
            <w:pPr>
              <w:spacing w:after="0"/>
              <w:rPr>
                <w:sz w:val="4"/>
                <w:szCs w:val="4"/>
                <w:color w:val="auto"/>
              </w:rPr>
            </w:pPr>
          </w:p>
        </w:tc>
        <w:tc>
          <w:tcPr>
            <w:tcW w:w="1840" w:type="dxa"/>
            <w:vAlign w:val="bottom"/>
            <w:tcBorders>
              <w:right w:val="single" w:sz="8" w:color="2D53A6"/>
            </w:tcBorders>
            <w:vMerge w:val="continue"/>
            <w:shd w:val="clear" w:color="auto" w:fill="2D53A6"/>
          </w:tcPr>
          <w:p>
            <w:pPr>
              <w:spacing w:after="0"/>
              <w:rPr>
                <w:sz w:val="4"/>
                <w:szCs w:val="4"/>
                <w:color w:val="auto"/>
              </w:rPr>
            </w:pPr>
          </w:p>
        </w:tc>
        <w:tc>
          <w:tcPr>
            <w:tcW w:w="1980" w:type="dxa"/>
            <w:vAlign w:val="bottom"/>
            <w:tcBorders>
              <w:right w:val="single" w:sz="8" w:color="2D53A6"/>
            </w:tcBorders>
            <w:vMerge w:val="continue"/>
            <w:shd w:val="clear" w:color="auto" w:fill="2D53A6"/>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7300" w:type="dxa"/>
            <w:vAlign w:val="bottom"/>
            <w:tcBorders>
              <w:bottom w:val="single" w:sz="8" w:color="2D53A6"/>
              <w:right w:val="single" w:sz="8" w:color="2D53A6"/>
            </w:tcBorders>
            <w:shd w:val="clear" w:color="auto" w:fill="2D53A6"/>
          </w:tcPr>
          <w:p>
            <w:pPr>
              <w:spacing w:after="0"/>
              <w:rPr>
                <w:sz w:val="23"/>
                <w:szCs w:val="23"/>
                <w:color w:val="auto"/>
              </w:rPr>
            </w:pPr>
          </w:p>
        </w:tc>
        <w:tc>
          <w:tcPr>
            <w:tcW w:w="120" w:type="dxa"/>
            <w:vAlign w:val="bottom"/>
            <w:tcBorders>
              <w:bottom w:val="single" w:sz="8" w:color="2D53A6"/>
            </w:tcBorders>
            <w:shd w:val="clear" w:color="auto" w:fill="2D53A6"/>
          </w:tcPr>
          <w:p>
            <w:pPr>
              <w:spacing w:after="0"/>
              <w:rPr>
                <w:sz w:val="23"/>
                <w:szCs w:val="23"/>
                <w:color w:val="auto"/>
              </w:rPr>
            </w:pPr>
          </w:p>
        </w:tc>
        <w:tc>
          <w:tcPr>
            <w:tcW w:w="1840" w:type="dxa"/>
            <w:vAlign w:val="bottom"/>
            <w:tcBorders>
              <w:bottom w:val="single" w:sz="8" w:color="2D53A6"/>
              <w:right w:val="single" w:sz="8" w:color="2D53A6"/>
            </w:tcBorders>
            <w:shd w:val="clear" w:color="auto" w:fill="2D53A6"/>
          </w:tcPr>
          <w:p>
            <w:pPr>
              <w:jc w:val="center"/>
              <w:ind w:right="61"/>
              <w:spacing w:after="0"/>
              <w:rPr>
                <w:sz w:val="20"/>
                <w:szCs w:val="20"/>
                <w:color w:val="auto"/>
              </w:rPr>
            </w:pPr>
            <w:r>
              <w:rPr>
                <w:rFonts w:ascii="Arial" w:cs="Arial" w:eastAsia="Arial" w:hAnsi="Arial"/>
                <w:sz w:val="20"/>
                <w:szCs w:val="20"/>
                <w:b w:val="1"/>
                <w:bCs w:val="1"/>
                <w:color w:val="FFFFFF"/>
                <w:w w:val="98"/>
              </w:rPr>
              <w:t>Vesting (#)</w:t>
            </w:r>
            <w:r>
              <w:rPr>
                <w:rFonts w:ascii="Arial" w:cs="Arial" w:eastAsia="Arial" w:hAnsi="Arial"/>
                <w:sz w:val="16"/>
                <w:szCs w:val="16"/>
                <w:b w:val="1"/>
                <w:bCs w:val="1"/>
                <w:color w:val="FFFFFF"/>
                <w:w w:val="98"/>
              </w:rPr>
              <w:t>(1)</w:t>
            </w:r>
          </w:p>
        </w:tc>
        <w:tc>
          <w:tcPr>
            <w:tcW w:w="1980" w:type="dxa"/>
            <w:vAlign w:val="bottom"/>
            <w:tcBorders>
              <w:bottom w:val="single" w:sz="8" w:color="2D53A6"/>
              <w:right w:val="single" w:sz="8" w:color="2D53A6"/>
            </w:tcBorders>
            <w:shd w:val="clear" w:color="auto" w:fill="2D53A6"/>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730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1960" w:type="dxa"/>
            <w:vAlign w:val="bottom"/>
            <w:tcBorders>
              <w:right w:val="single" w:sz="8" w:color="2D53A6"/>
            </w:tcBorders>
            <w:gridSpan w:val="2"/>
          </w:tcPr>
          <w:p>
            <w:pPr>
              <w:jc w:val="right"/>
              <w:ind w:right="101"/>
              <w:spacing w:after="0"/>
              <w:rPr>
                <w:sz w:val="20"/>
                <w:szCs w:val="20"/>
                <w:color w:val="auto"/>
              </w:rPr>
            </w:pPr>
            <w:r>
              <w:rPr>
                <w:rFonts w:ascii="Arial" w:cs="Arial" w:eastAsia="Arial" w:hAnsi="Arial"/>
                <w:sz w:val="18"/>
                <w:szCs w:val="18"/>
                <w:color w:val="auto"/>
              </w:rPr>
              <w:t>70,446</w:t>
            </w:r>
          </w:p>
        </w:tc>
        <w:tc>
          <w:tcPr>
            <w:tcW w:w="1980" w:type="dxa"/>
            <w:vAlign w:val="bottom"/>
            <w:tcBorders>
              <w:right w:val="single" w:sz="8" w:color="2D53A6"/>
            </w:tcBorders>
          </w:tcPr>
          <w:p>
            <w:pPr>
              <w:jc w:val="right"/>
              <w:ind w:right="87"/>
              <w:spacing w:after="0"/>
              <w:rPr>
                <w:sz w:val="20"/>
                <w:szCs w:val="20"/>
                <w:color w:val="auto"/>
              </w:rPr>
            </w:pPr>
            <w:r>
              <w:rPr>
                <w:rFonts w:ascii="Arial" w:cs="Arial" w:eastAsia="Arial" w:hAnsi="Arial"/>
                <w:sz w:val="18"/>
                <w:szCs w:val="18"/>
                <w:color w:val="auto"/>
              </w:rPr>
              <w:t>1,191,290</w:t>
            </w:r>
          </w:p>
        </w:tc>
        <w:tc>
          <w:tcPr>
            <w:tcW w:w="0" w:type="dxa"/>
            <w:vAlign w:val="bottom"/>
          </w:tcPr>
          <w:p>
            <w:pPr>
              <w:spacing w:after="0"/>
              <w:rPr>
                <w:sz w:val="1"/>
                <w:szCs w:val="1"/>
                <w:color w:val="auto"/>
              </w:rPr>
            </w:pPr>
          </w:p>
        </w:tc>
      </w:tr>
      <w:tr>
        <w:trPr>
          <w:trHeight w:val="23"/>
        </w:trPr>
        <w:tc>
          <w:tcPr>
            <w:tcW w:w="7300" w:type="dxa"/>
            <w:vAlign w:val="bottom"/>
            <w:tcBorders>
              <w:bottom w:val="single" w:sz="8" w:color="2D53A6"/>
              <w:right w:val="single" w:sz="8" w:color="2D53A6"/>
            </w:tcBorders>
          </w:tcPr>
          <w:p>
            <w:pPr>
              <w:spacing w:after="0"/>
              <w:rPr>
                <w:sz w:val="2"/>
                <w:szCs w:val="2"/>
                <w:color w:val="auto"/>
              </w:rPr>
            </w:pPr>
          </w:p>
        </w:tc>
        <w:tc>
          <w:tcPr>
            <w:tcW w:w="120" w:type="dxa"/>
            <w:vAlign w:val="bottom"/>
            <w:tcBorders>
              <w:bottom w:val="single" w:sz="8" w:color="2D53A6"/>
            </w:tcBorders>
          </w:tcPr>
          <w:p>
            <w:pPr>
              <w:spacing w:after="0"/>
              <w:rPr>
                <w:sz w:val="2"/>
                <w:szCs w:val="2"/>
                <w:color w:val="auto"/>
              </w:rPr>
            </w:pPr>
          </w:p>
        </w:tc>
        <w:tc>
          <w:tcPr>
            <w:tcW w:w="1840" w:type="dxa"/>
            <w:vAlign w:val="bottom"/>
            <w:tcBorders>
              <w:bottom w:val="single" w:sz="8" w:color="2D53A6"/>
              <w:right w:val="single" w:sz="8" w:color="2D53A6"/>
            </w:tcBorders>
          </w:tcPr>
          <w:p>
            <w:pPr>
              <w:spacing w:after="0"/>
              <w:rPr>
                <w:sz w:val="2"/>
                <w:szCs w:val="2"/>
                <w:color w:val="auto"/>
              </w:rPr>
            </w:pPr>
          </w:p>
        </w:tc>
        <w:tc>
          <w:tcPr>
            <w:tcW w:w="1980" w:type="dxa"/>
            <w:vAlign w:val="bottom"/>
            <w:tcBorders>
              <w:bottom w:val="single" w:sz="8" w:color="2D53A6"/>
              <w:right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3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1960" w:type="dxa"/>
            <w:vAlign w:val="bottom"/>
            <w:tcBorders>
              <w:bottom w:val="single" w:sz="8" w:color="E6E6E6"/>
              <w:right w:val="single" w:sz="8" w:color="2D53A6"/>
            </w:tcBorders>
            <w:gridSpan w:val="2"/>
            <w:shd w:val="clear" w:color="auto" w:fill="E6E6E6"/>
          </w:tcPr>
          <w:p>
            <w:pPr>
              <w:jc w:val="right"/>
              <w:ind w:right="101"/>
              <w:spacing w:after="0"/>
              <w:rPr>
                <w:sz w:val="20"/>
                <w:szCs w:val="20"/>
                <w:color w:val="auto"/>
              </w:rPr>
            </w:pPr>
            <w:r>
              <w:rPr>
                <w:rFonts w:ascii="Arial" w:cs="Arial" w:eastAsia="Arial" w:hAnsi="Arial"/>
                <w:sz w:val="18"/>
                <w:szCs w:val="18"/>
                <w:color w:val="auto"/>
              </w:rPr>
              <w:t>22,993</w:t>
            </w:r>
          </w:p>
        </w:tc>
        <w:tc>
          <w:tcPr>
            <w:tcW w:w="1980" w:type="dxa"/>
            <w:vAlign w:val="bottom"/>
            <w:tcBorders>
              <w:bottom w:val="single" w:sz="8" w:color="E6E6E6"/>
              <w:right w:val="single" w:sz="8" w:color="2D53A6"/>
            </w:tcBorders>
            <w:shd w:val="clear" w:color="auto" w:fill="E6E6E6"/>
          </w:tcPr>
          <w:p>
            <w:pPr>
              <w:jc w:val="right"/>
              <w:ind w:right="87"/>
              <w:spacing w:after="0"/>
              <w:rPr>
                <w:sz w:val="20"/>
                <w:szCs w:val="20"/>
                <w:color w:val="auto"/>
              </w:rPr>
            </w:pPr>
            <w:r>
              <w:rPr>
                <w:rFonts w:ascii="Arial" w:cs="Arial" w:eastAsia="Arial" w:hAnsi="Arial"/>
                <w:sz w:val="18"/>
                <w:szCs w:val="18"/>
                <w:color w:val="auto"/>
              </w:rPr>
              <w:t>388,797</w:t>
            </w:r>
          </w:p>
        </w:tc>
        <w:tc>
          <w:tcPr>
            <w:tcW w:w="0" w:type="dxa"/>
            <w:vAlign w:val="bottom"/>
          </w:tcPr>
          <w:p>
            <w:pPr>
              <w:spacing w:after="0"/>
              <w:rPr>
                <w:sz w:val="1"/>
                <w:szCs w:val="1"/>
                <w:color w:val="auto"/>
              </w:rPr>
            </w:pPr>
          </w:p>
        </w:tc>
      </w:tr>
      <w:tr>
        <w:trPr>
          <w:trHeight w:val="254"/>
        </w:trPr>
        <w:tc>
          <w:tcPr>
            <w:tcW w:w="73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1960" w:type="dxa"/>
            <w:vAlign w:val="bottom"/>
            <w:tcBorders>
              <w:top w:val="single" w:sz="8" w:color="2D53A6"/>
              <w:right w:val="single" w:sz="8" w:color="2D53A6"/>
            </w:tcBorders>
            <w:gridSpan w:val="2"/>
          </w:tcPr>
          <w:p>
            <w:pPr>
              <w:jc w:val="right"/>
              <w:ind w:right="101"/>
              <w:spacing w:after="0"/>
              <w:rPr>
                <w:sz w:val="20"/>
                <w:szCs w:val="20"/>
                <w:color w:val="auto"/>
              </w:rPr>
            </w:pPr>
            <w:r>
              <w:rPr>
                <w:rFonts w:ascii="Arial" w:cs="Arial" w:eastAsia="Arial" w:hAnsi="Arial"/>
                <w:sz w:val="18"/>
                <w:szCs w:val="18"/>
                <w:color w:val="auto"/>
              </w:rPr>
              <w:t>16,054</w:t>
            </w:r>
          </w:p>
        </w:tc>
        <w:tc>
          <w:tcPr>
            <w:tcW w:w="1980" w:type="dxa"/>
            <w:vAlign w:val="bottom"/>
            <w:tcBorders>
              <w:top w:val="single" w:sz="8" w:color="2D53A6"/>
              <w:right w:val="single" w:sz="8" w:color="2D53A6"/>
            </w:tcBorders>
          </w:tcPr>
          <w:p>
            <w:pPr>
              <w:jc w:val="right"/>
              <w:ind w:right="87"/>
              <w:spacing w:after="0"/>
              <w:rPr>
                <w:sz w:val="20"/>
                <w:szCs w:val="20"/>
                <w:color w:val="auto"/>
              </w:rPr>
            </w:pPr>
            <w:r>
              <w:rPr>
                <w:rFonts w:ascii="Arial" w:cs="Arial" w:eastAsia="Arial" w:hAnsi="Arial"/>
                <w:sz w:val="18"/>
                <w:szCs w:val="18"/>
                <w:color w:val="auto"/>
              </w:rPr>
              <w:t>271,298</w:t>
            </w:r>
          </w:p>
        </w:tc>
        <w:tc>
          <w:tcPr>
            <w:tcW w:w="0" w:type="dxa"/>
            <w:vAlign w:val="bottom"/>
          </w:tcPr>
          <w:p>
            <w:pPr>
              <w:spacing w:after="0"/>
              <w:rPr>
                <w:sz w:val="1"/>
                <w:szCs w:val="1"/>
                <w:color w:val="auto"/>
              </w:rPr>
            </w:pPr>
          </w:p>
        </w:tc>
      </w:tr>
      <w:tr>
        <w:trPr>
          <w:trHeight w:val="23"/>
        </w:trPr>
        <w:tc>
          <w:tcPr>
            <w:tcW w:w="7300" w:type="dxa"/>
            <w:vAlign w:val="bottom"/>
            <w:tcBorders>
              <w:bottom w:val="single" w:sz="8" w:color="2D53A6"/>
              <w:right w:val="single" w:sz="8" w:color="2D53A6"/>
            </w:tcBorders>
          </w:tcPr>
          <w:p>
            <w:pPr>
              <w:spacing w:after="0"/>
              <w:rPr>
                <w:sz w:val="2"/>
                <w:szCs w:val="2"/>
                <w:color w:val="auto"/>
              </w:rPr>
            </w:pPr>
          </w:p>
        </w:tc>
        <w:tc>
          <w:tcPr>
            <w:tcW w:w="120" w:type="dxa"/>
            <w:vAlign w:val="bottom"/>
            <w:tcBorders>
              <w:bottom w:val="single" w:sz="8" w:color="2D53A6"/>
            </w:tcBorders>
          </w:tcPr>
          <w:p>
            <w:pPr>
              <w:spacing w:after="0"/>
              <w:rPr>
                <w:sz w:val="2"/>
                <w:szCs w:val="2"/>
                <w:color w:val="auto"/>
              </w:rPr>
            </w:pPr>
          </w:p>
        </w:tc>
        <w:tc>
          <w:tcPr>
            <w:tcW w:w="1840" w:type="dxa"/>
            <w:vAlign w:val="bottom"/>
            <w:tcBorders>
              <w:bottom w:val="single" w:sz="8" w:color="2D53A6"/>
              <w:right w:val="single" w:sz="8" w:color="2D53A6"/>
            </w:tcBorders>
          </w:tcPr>
          <w:p>
            <w:pPr>
              <w:spacing w:after="0"/>
              <w:rPr>
                <w:sz w:val="2"/>
                <w:szCs w:val="2"/>
                <w:color w:val="auto"/>
              </w:rPr>
            </w:pPr>
          </w:p>
        </w:tc>
        <w:tc>
          <w:tcPr>
            <w:tcW w:w="1980" w:type="dxa"/>
            <w:vAlign w:val="bottom"/>
            <w:tcBorders>
              <w:bottom w:val="single" w:sz="8" w:color="2D53A6"/>
              <w:right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Klaus Ilgenfritz</w:t>
            </w:r>
          </w:p>
        </w:tc>
        <w:tc>
          <w:tcPr>
            <w:tcW w:w="1960" w:type="dxa"/>
            <w:vAlign w:val="bottom"/>
            <w:tcBorders>
              <w:bottom w:val="single" w:sz="8" w:color="E6E6E6"/>
              <w:right w:val="single" w:sz="8" w:color="2D53A6"/>
            </w:tcBorders>
            <w:gridSpan w:val="2"/>
            <w:shd w:val="clear" w:color="auto" w:fill="E6E6E6"/>
          </w:tcPr>
          <w:p>
            <w:pPr>
              <w:jc w:val="right"/>
              <w:ind w:right="101"/>
              <w:spacing w:after="0"/>
              <w:rPr>
                <w:sz w:val="20"/>
                <w:szCs w:val="20"/>
                <w:color w:val="auto"/>
              </w:rPr>
            </w:pPr>
            <w:r>
              <w:rPr>
                <w:rFonts w:ascii="Arial" w:cs="Arial" w:eastAsia="Arial" w:hAnsi="Arial"/>
                <w:sz w:val="18"/>
                <w:szCs w:val="18"/>
                <w:color w:val="auto"/>
              </w:rPr>
              <w:t>7,300</w:t>
            </w:r>
          </w:p>
        </w:tc>
        <w:tc>
          <w:tcPr>
            <w:tcW w:w="1980" w:type="dxa"/>
            <w:vAlign w:val="bottom"/>
            <w:tcBorders>
              <w:bottom w:val="single" w:sz="8" w:color="E6E6E6"/>
              <w:right w:val="single" w:sz="8" w:color="2D53A6"/>
            </w:tcBorders>
            <w:shd w:val="clear" w:color="auto" w:fill="E6E6E6"/>
          </w:tcPr>
          <w:p>
            <w:pPr>
              <w:jc w:val="right"/>
              <w:ind w:right="87"/>
              <w:spacing w:after="0"/>
              <w:rPr>
                <w:sz w:val="20"/>
                <w:szCs w:val="20"/>
                <w:color w:val="auto"/>
              </w:rPr>
            </w:pPr>
            <w:r>
              <w:rPr>
                <w:rFonts w:ascii="Arial" w:cs="Arial" w:eastAsia="Arial" w:hAnsi="Arial"/>
                <w:sz w:val="18"/>
                <w:szCs w:val="18"/>
                <w:color w:val="auto"/>
              </w:rPr>
              <w:t>123,163</w:t>
            </w:r>
          </w:p>
        </w:tc>
        <w:tc>
          <w:tcPr>
            <w:tcW w:w="0" w:type="dxa"/>
            <w:vAlign w:val="bottom"/>
          </w:tcPr>
          <w:p>
            <w:pPr>
              <w:spacing w:after="0"/>
              <w:rPr>
                <w:sz w:val="1"/>
                <w:szCs w:val="1"/>
                <w:color w:val="auto"/>
              </w:rPr>
            </w:pPr>
          </w:p>
        </w:tc>
      </w:tr>
      <w:tr>
        <w:trPr>
          <w:trHeight w:val="20"/>
        </w:trPr>
        <w:tc>
          <w:tcPr>
            <w:tcW w:w="7300" w:type="dxa"/>
            <w:vAlign w:val="bottom"/>
            <w:tcBorders>
              <w:right w:val="single" w:sz="8" w:color="2D53A6"/>
            </w:tcBorders>
            <w:shd w:val="clear" w:color="auto" w:fill="2D53A6"/>
          </w:tcPr>
          <w:p>
            <w:pPr>
              <w:spacing w:after="0" w:line="20" w:lineRule="exact"/>
              <w:rPr>
                <w:sz w:val="1"/>
                <w:szCs w:val="1"/>
                <w:color w:val="auto"/>
              </w:rPr>
            </w:pPr>
          </w:p>
        </w:tc>
        <w:tc>
          <w:tcPr>
            <w:tcW w:w="120" w:type="dxa"/>
            <w:vAlign w:val="bottom"/>
            <w:shd w:val="clear" w:color="auto" w:fill="2D53A6"/>
          </w:tcPr>
          <w:p>
            <w:pPr>
              <w:spacing w:after="0" w:line="20" w:lineRule="exact"/>
              <w:rPr>
                <w:sz w:val="1"/>
                <w:szCs w:val="1"/>
                <w:color w:val="auto"/>
              </w:rPr>
            </w:pPr>
          </w:p>
        </w:tc>
        <w:tc>
          <w:tcPr>
            <w:tcW w:w="1840" w:type="dxa"/>
            <w:vAlign w:val="bottom"/>
            <w:tcBorders>
              <w:right w:val="single" w:sz="8" w:color="2D53A6"/>
            </w:tcBorders>
            <w:shd w:val="clear" w:color="auto" w:fill="2D53A6"/>
          </w:tcPr>
          <w:p>
            <w:pPr>
              <w:spacing w:after="0" w:line="20" w:lineRule="exact"/>
              <w:rPr>
                <w:sz w:val="1"/>
                <w:szCs w:val="1"/>
                <w:color w:val="auto"/>
              </w:rPr>
            </w:pPr>
          </w:p>
        </w:tc>
        <w:tc>
          <w:tcPr>
            <w:tcW w:w="1980" w:type="dxa"/>
            <w:vAlign w:val="bottom"/>
            <w:tcBorders>
              <w:right w:val="single" w:sz="8" w:color="2D53A6"/>
            </w:tcBorders>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line="25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Number of shares acquired on vesting is before reduction for shares withheld to cover tax withholding. Cohu withheld the following number of shares for tax withholding: Dr. Müller, 70,615 shares; Mr. Jones, 23,523 shares; Mr. Bohrson, 15,713 shares and Mr. Ilgenfritz, 6,217 shares.</w:t>
      </w:r>
    </w:p>
    <w:p>
      <w:pPr>
        <w:spacing w:after="0" w:line="1" w:lineRule="exact"/>
        <w:rPr>
          <w:rFonts w:ascii="Arial" w:cs="Arial" w:eastAsia="Arial" w:hAnsi="Arial"/>
          <w:sz w:val="14"/>
          <w:szCs w:val="14"/>
          <w:color w:val="auto"/>
        </w:rPr>
      </w:pPr>
    </w:p>
    <w:p>
      <w:pPr>
        <w:ind w:left="340" w:right="240" w:hanging="332"/>
        <w:spacing w:after="0" w:line="264"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value realized equals the number of units that vested multiplied by the per-share closing price of Cohu’s common stock on the vesting date. Amounts presented are gross amounts before required tax withholding.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Nonqualified Deferred Compensation</w:t>
      </w:r>
    </w:p>
    <w:p>
      <w:pPr>
        <w:spacing w:after="0" w:line="1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Deferred Compensation Plan, as summarized in the Compensation Discussion and Analysis above, permits eligible participants to defer compensation from salary and cash incentives. The Deferred Compensation Plan limits the amount of participant deferrals to 25% of salary and 100% of cash incentives. Cohu may make matching contributions as summarized in the Compensation Discussion and Analysis.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15 annual installments upon retirement and in lump sum or five, ten or 15 annual installments upon disability, death, termination or change in control of Cohu, as defined in the Deferred Compensation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27, 2025, none of our NEOs have any amounts deferred under the Deferred Compensation Plan.</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summarizes information with respect to equity awards under Cohu’s equity compensation plans at December 27, 2025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 and amounts quoted in footnotes</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Borders>
              <w:right w:val="single" w:sz="8" w:color="2D53A6"/>
            </w:tcBorders>
            <w:shd w:val="clear" w:color="auto" w:fill="2D53A6"/>
          </w:tcPr>
          <w:p>
            <w:pPr>
              <w:spacing w:after="0"/>
              <w:rPr>
                <w:sz w:val="17"/>
                <w:szCs w:val="17"/>
                <w:color w:val="auto"/>
              </w:rPr>
            </w:pPr>
          </w:p>
        </w:tc>
        <w:tc>
          <w:tcPr>
            <w:tcW w:w="120" w:type="dxa"/>
            <w:vAlign w:val="bottom"/>
            <w:shd w:val="clear" w:color="auto" w:fill="2D53A6"/>
          </w:tcPr>
          <w:p>
            <w:pPr>
              <w:spacing w:after="0"/>
              <w:rPr>
                <w:sz w:val="17"/>
                <w:szCs w:val="17"/>
                <w:color w:val="auto"/>
              </w:rPr>
            </w:pPr>
          </w:p>
        </w:tc>
        <w:tc>
          <w:tcPr>
            <w:tcW w:w="2460" w:type="dxa"/>
            <w:vAlign w:val="bottom"/>
            <w:tcBorders>
              <w:right w:val="single" w:sz="8" w:color="2D53A6"/>
            </w:tcBorders>
            <w:vMerge w:val="restart"/>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99"/>
              </w:rPr>
              <w:t>Number of securities</w:t>
            </w:r>
          </w:p>
        </w:tc>
        <w:tc>
          <w:tcPr>
            <w:tcW w:w="2300" w:type="dxa"/>
            <w:vAlign w:val="bottom"/>
            <w:shd w:val="clear" w:color="auto" w:fill="2D53A6"/>
          </w:tcPr>
          <w:p>
            <w:pPr>
              <w:spacing w:after="0"/>
              <w:rPr>
                <w:sz w:val="17"/>
                <w:szCs w:val="17"/>
                <w:color w:val="auto"/>
              </w:rPr>
            </w:pPr>
          </w:p>
        </w:tc>
        <w:tc>
          <w:tcPr>
            <w:tcW w:w="300" w:type="dxa"/>
            <w:vAlign w:val="bottom"/>
            <w:tcBorders>
              <w:right w:val="single" w:sz="8" w:color="2D53A6"/>
            </w:tcBorders>
            <w:shd w:val="clear" w:color="auto" w:fill="2D53A6"/>
          </w:tcPr>
          <w:p>
            <w:pPr>
              <w:spacing w:after="0"/>
              <w:rPr>
                <w:sz w:val="17"/>
                <w:szCs w:val="17"/>
                <w:color w:val="auto"/>
              </w:rPr>
            </w:pPr>
          </w:p>
        </w:tc>
        <w:tc>
          <w:tcPr>
            <w:tcW w:w="25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rPr>
              <w:t>Number of securities</w:t>
            </w:r>
          </w:p>
        </w:tc>
        <w:tc>
          <w:tcPr>
            <w:tcW w:w="0" w:type="dxa"/>
            <w:vAlign w:val="bottom"/>
          </w:tcPr>
          <w:p>
            <w:pPr>
              <w:spacing w:after="0"/>
              <w:rPr>
                <w:sz w:val="1"/>
                <w:szCs w:val="1"/>
                <w:color w:val="auto"/>
              </w:rPr>
            </w:pPr>
          </w:p>
        </w:tc>
      </w:tr>
      <w:tr>
        <w:trPr>
          <w:trHeight w:val="95"/>
        </w:trPr>
        <w:tc>
          <w:tcPr>
            <w:tcW w:w="3500" w:type="dxa"/>
            <w:vAlign w:val="bottom"/>
            <w:tcBorders>
              <w:right w:val="single" w:sz="8" w:color="2D53A6"/>
            </w:tcBorders>
            <w:shd w:val="clear" w:color="auto" w:fill="2D53A6"/>
          </w:tcPr>
          <w:p>
            <w:pPr>
              <w:spacing w:after="0"/>
              <w:rPr>
                <w:sz w:val="8"/>
                <w:szCs w:val="8"/>
                <w:color w:val="auto"/>
              </w:rPr>
            </w:pPr>
          </w:p>
        </w:tc>
        <w:tc>
          <w:tcPr>
            <w:tcW w:w="120" w:type="dxa"/>
            <w:vAlign w:val="bottom"/>
            <w:shd w:val="clear" w:color="auto" w:fill="2D53A6"/>
          </w:tcPr>
          <w:p>
            <w:pPr>
              <w:spacing w:after="0"/>
              <w:rPr>
                <w:sz w:val="8"/>
                <w:szCs w:val="8"/>
                <w:color w:val="auto"/>
              </w:rPr>
            </w:pPr>
          </w:p>
        </w:tc>
        <w:tc>
          <w:tcPr>
            <w:tcW w:w="2460" w:type="dxa"/>
            <w:vAlign w:val="bottom"/>
            <w:tcBorders>
              <w:right w:val="single" w:sz="8" w:color="2D53A6"/>
            </w:tcBorders>
            <w:vMerge w:val="continue"/>
            <w:shd w:val="clear" w:color="auto" w:fill="2D53A6"/>
          </w:tcPr>
          <w:p>
            <w:pPr>
              <w:spacing w:after="0"/>
              <w:rPr>
                <w:sz w:val="8"/>
                <w:szCs w:val="8"/>
                <w:color w:val="auto"/>
              </w:rPr>
            </w:pPr>
          </w:p>
        </w:tc>
        <w:tc>
          <w:tcPr>
            <w:tcW w:w="2300" w:type="dxa"/>
            <w:vAlign w:val="bottom"/>
            <w:vMerge w:val="restart"/>
            <w:shd w:val="clear" w:color="auto" w:fill="2D53A6"/>
          </w:tcPr>
          <w:p>
            <w:pPr>
              <w:jc w:val="center"/>
              <w:ind w:left="210"/>
              <w:spacing w:after="0" w:line="202" w:lineRule="exact"/>
              <w:rPr>
                <w:sz w:val="20"/>
                <w:szCs w:val="20"/>
                <w:color w:val="auto"/>
              </w:rPr>
            </w:pPr>
            <w:r>
              <w:rPr>
                <w:rFonts w:ascii="Arial" w:cs="Arial" w:eastAsia="Arial" w:hAnsi="Arial"/>
                <w:sz w:val="18"/>
                <w:szCs w:val="18"/>
                <w:b w:val="1"/>
                <w:bCs w:val="1"/>
                <w:color w:val="FFFFFF"/>
                <w:w w:val="98"/>
              </w:rPr>
              <w:t>Weighted average</w:t>
            </w:r>
          </w:p>
        </w:tc>
        <w:tc>
          <w:tcPr>
            <w:tcW w:w="300" w:type="dxa"/>
            <w:vAlign w:val="bottom"/>
            <w:tcBorders>
              <w:right w:val="single" w:sz="8" w:color="2D53A6"/>
            </w:tcBorders>
            <w:shd w:val="clear" w:color="auto" w:fill="2D53A6"/>
          </w:tcPr>
          <w:p>
            <w:pPr>
              <w:spacing w:after="0"/>
              <w:rPr>
                <w:sz w:val="8"/>
                <w:szCs w:val="8"/>
                <w:color w:val="auto"/>
              </w:rPr>
            </w:pPr>
          </w:p>
        </w:tc>
        <w:tc>
          <w:tcPr>
            <w:tcW w:w="25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available</w:t>
            </w:r>
          </w:p>
        </w:tc>
        <w:tc>
          <w:tcPr>
            <w:tcW w:w="0" w:type="dxa"/>
            <w:vAlign w:val="bottom"/>
          </w:tcPr>
          <w:p>
            <w:pPr>
              <w:spacing w:after="0"/>
              <w:rPr>
                <w:sz w:val="1"/>
                <w:szCs w:val="1"/>
                <w:color w:val="auto"/>
              </w:rPr>
            </w:pPr>
          </w:p>
        </w:tc>
      </w:tr>
      <w:tr>
        <w:trPr>
          <w:trHeight w:val="108"/>
        </w:trPr>
        <w:tc>
          <w:tcPr>
            <w:tcW w:w="350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2460" w:type="dxa"/>
            <w:vAlign w:val="bottom"/>
            <w:tcBorders>
              <w:right w:val="single" w:sz="8" w:color="2D53A6"/>
            </w:tcBorders>
            <w:vMerge w:val="restart"/>
            <w:shd w:val="clear" w:color="auto" w:fill="2D53A6"/>
          </w:tcPr>
          <w:p>
            <w:pPr>
              <w:jc w:val="center"/>
              <w:ind w:right="30"/>
              <w:spacing w:after="0" w:line="202" w:lineRule="exact"/>
              <w:rPr>
                <w:sz w:val="20"/>
                <w:szCs w:val="20"/>
                <w:color w:val="auto"/>
              </w:rPr>
            </w:pPr>
            <w:r>
              <w:rPr>
                <w:rFonts w:ascii="Arial" w:cs="Arial" w:eastAsia="Arial" w:hAnsi="Arial"/>
                <w:sz w:val="18"/>
                <w:szCs w:val="18"/>
                <w:b w:val="1"/>
                <w:bCs w:val="1"/>
                <w:color w:val="FFFFFF"/>
              </w:rPr>
              <w:t>to be issued</w:t>
            </w:r>
          </w:p>
        </w:tc>
        <w:tc>
          <w:tcPr>
            <w:tcW w:w="2300" w:type="dxa"/>
            <w:vAlign w:val="bottom"/>
            <w:vMerge w:val="continue"/>
            <w:shd w:val="clear" w:color="auto" w:fill="2D53A6"/>
          </w:tcPr>
          <w:p>
            <w:pPr>
              <w:spacing w:after="0"/>
              <w:rPr>
                <w:sz w:val="9"/>
                <w:szCs w:val="9"/>
                <w:color w:val="auto"/>
              </w:rPr>
            </w:pPr>
          </w:p>
        </w:tc>
        <w:tc>
          <w:tcPr>
            <w:tcW w:w="300" w:type="dxa"/>
            <w:vAlign w:val="bottom"/>
            <w:tcBorders>
              <w:right w:val="single" w:sz="8" w:color="2D53A6"/>
            </w:tcBorders>
            <w:shd w:val="clear" w:color="auto" w:fill="2D53A6"/>
          </w:tcPr>
          <w:p>
            <w:pPr>
              <w:spacing w:after="0"/>
              <w:rPr>
                <w:sz w:val="9"/>
                <w:szCs w:val="9"/>
                <w:color w:val="auto"/>
              </w:rPr>
            </w:pPr>
          </w:p>
        </w:tc>
        <w:tc>
          <w:tcPr>
            <w:tcW w:w="25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500" w:type="dxa"/>
            <w:vAlign w:val="bottom"/>
            <w:tcBorders>
              <w:right w:val="single" w:sz="8" w:color="2D53A6"/>
            </w:tcBorders>
            <w:shd w:val="clear" w:color="auto" w:fill="2D53A6"/>
          </w:tcPr>
          <w:p>
            <w:pPr>
              <w:spacing w:after="0"/>
              <w:rPr>
                <w:sz w:val="8"/>
                <w:szCs w:val="8"/>
                <w:color w:val="auto"/>
              </w:rPr>
            </w:pPr>
          </w:p>
        </w:tc>
        <w:tc>
          <w:tcPr>
            <w:tcW w:w="120" w:type="dxa"/>
            <w:vAlign w:val="bottom"/>
            <w:shd w:val="clear" w:color="auto" w:fill="2D53A6"/>
          </w:tcPr>
          <w:p>
            <w:pPr>
              <w:spacing w:after="0"/>
              <w:rPr>
                <w:sz w:val="8"/>
                <w:szCs w:val="8"/>
                <w:color w:val="auto"/>
              </w:rPr>
            </w:pPr>
          </w:p>
        </w:tc>
        <w:tc>
          <w:tcPr>
            <w:tcW w:w="2460" w:type="dxa"/>
            <w:vAlign w:val="bottom"/>
            <w:tcBorders>
              <w:right w:val="single" w:sz="8" w:color="2D53A6"/>
            </w:tcBorders>
            <w:vMerge w:val="continue"/>
            <w:shd w:val="clear" w:color="auto" w:fill="2D53A6"/>
          </w:tcPr>
          <w:p>
            <w:pPr>
              <w:spacing w:after="0"/>
              <w:rPr>
                <w:sz w:val="8"/>
                <w:szCs w:val="8"/>
                <w:color w:val="auto"/>
              </w:rPr>
            </w:pPr>
          </w:p>
        </w:tc>
        <w:tc>
          <w:tcPr>
            <w:tcW w:w="2300" w:type="dxa"/>
            <w:vAlign w:val="bottom"/>
            <w:vMerge w:val="restart"/>
            <w:shd w:val="clear" w:color="auto" w:fill="2D53A6"/>
          </w:tcPr>
          <w:p>
            <w:pPr>
              <w:jc w:val="center"/>
              <w:ind w:left="190"/>
              <w:spacing w:after="0" w:line="202" w:lineRule="exact"/>
              <w:rPr>
                <w:sz w:val="20"/>
                <w:szCs w:val="20"/>
                <w:color w:val="auto"/>
              </w:rPr>
            </w:pPr>
            <w:r>
              <w:rPr>
                <w:rFonts w:ascii="Arial" w:cs="Arial" w:eastAsia="Arial" w:hAnsi="Arial"/>
                <w:sz w:val="18"/>
                <w:szCs w:val="18"/>
                <w:b w:val="1"/>
                <w:bCs w:val="1"/>
                <w:color w:val="FFFFFF"/>
                <w:w w:val="99"/>
              </w:rPr>
              <w:t>exercise price of</w:t>
            </w:r>
          </w:p>
        </w:tc>
        <w:tc>
          <w:tcPr>
            <w:tcW w:w="300" w:type="dxa"/>
            <w:vAlign w:val="bottom"/>
            <w:tcBorders>
              <w:right w:val="single" w:sz="8" w:color="2D53A6"/>
            </w:tcBorders>
            <w:shd w:val="clear" w:color="auto" w:fill="2D53A6"/>
          </w:tcPr>
          <w:p>
            <w:pPr>
              <w:spacing w:after="0"/>
              <w:rPr>
                <w:sz w:val="8"/>
                <w:szCs w:val="8"/>
                <w:color w:val="auto"/>
              </w:rPr>
            </w:pPr>
          </w:p>
        </w:tc>
        <w:tc>
          <w:tcPr>
            <w:tcW w:w="25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for future issuance under</w:t>
            </w:r>
          </w:p>
        </w:tc>
        <w:tc>
          <w:tcPr>
            <w:tcW w:w="0" w:type="dxa"/>
            <w:vAlign w:val="bottom"/>
          </w:tcPr>
          <w:p>
            <w:pPr>
              <w:spacing w:after="0"/>
              <w:rPr>
                <w:sz w:val="1"/>
                <w:szCs w:val="1"/>
                <w:color w:val="auto"/>
              </w:rPr>
            </w:pPr>
          </w:p>
        </w:tc>
      </w:tr>
      <w:tr>
        <w:trPr>
          <w:trHeight w:val="108"/>
        </w:trPr>
        <w:tc>
          <w:tcPr>
            <w:tcW w:w="350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2460" w:type="dxa"/>
            <w:vAlign w:val="bottom"/>
            <w:tcBorders>
              <w:right w:val="single" w:sz="8" w:color="2D53A6"/>
            </w:tcBorders>
            <w:vMerge w:val="restart"/>
            <w:shd w:val="clear" w:color="auto" w:fill="2D53A6"/>
          </w:tcPr>
          <w:p>
            <w:pPr>
              <w:jc w:val="center"/>
              <w:ind w:right="30"/>
              <w:spacing w:after="0" w:line="202" w:lineRule="exact"/>
              <w:rPr>
                <w:sz w:val="20"/>
                <w:szCs w:val="20"/>
                <w:color w:val="auto"/>
              </w:rPr>
            </w:pPr>
            <w:r>
              <w:rPr>
                <w:rFonts w:ascii="Arial" w:cs="Arial" w:eastAsia="Arial" w:hAnsi="Arial"/>
                <w:sz w:val="18"/>
                <w:szCs w:val="18"/>
                <w:b w:val="1"/>
                <w:bCs w:val="1"/>
                <w:color w:val="FFFFFF"/>
                <w:w w:val="99"/>
              </w:rPr>
              <w:t>upon exercise of</w:t>
            </w:r>
          </w:p>
        </w:tc>
        <w:tc>
          <w:tcPr>
            <w:tcW w:w="2300" w:type="dxa"/>
            <w:vAlign w:val="bottom"/>
            <w:vMerge w:val="continue"/>
            <w:shd w:val="clear" w:color="auto" w:fill="2D53A6"/>
          </w:tcPr>
          <w:p>
            <w:pPr>
              <w:spacing w:after="0"/>
              <w:rPr>
                <w:sz w:val="9"/>
                <w:szCs w:val="9"/>
                <w:color w:val="auto"/>
              </w:rPr>
            </w:pPr>
          </w:p>
        </w:tc>
        <w:tc>
          <w:tcPr>
            <w:tcW w:w="300" w:type="dxa"/>
            <w:vAlign w:val="bottom"/>
            <w:tcBorders>
              <w:right w:val="single" w:sz="8" w:color="2D53A6"/>
            </w:tcBorders>
            <w:shd w:val="clear" w:color="auto" w:fill="2D53A6"/>
          </w:tcPr>
          <w:p>
            <w:pPr>
              <w:spacing w:after="0"/>
              <w:rPr>
                <w:sz w:val="9"/>
                <w:szCs w:val="9"/>
                <w:color w:val="auto"/>
              </w:rPr>
            </w:pPr>
          </w:p>
        </w:tc>
        <w:tc>
          <w:tcPr>
            <w:tcW w:w="25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500" w:type="dxa"/>
            <w:vAlign w:val="bottom"/>
            <w:tcBorders>
              <w:right w:val="single" w:sz="8" w:color="2D53A6"/>
            </w:tcBorders>
            <w:vMerge w:val="restart"/>
            <w:shd w:val="clear" w:color="auto" w:fill="2D53A6"/>
          </w:tcPr>
          <w:p>
            <w:pPr>
              <w:ind w:left="20"/>
              <w:spacing w:after="0" w:line="202" w:lineRule="exact"/>
              <w:rPr>
                <w:sz w:val="20"/>
                <w:szCs w:val="20"/>
                <w:color w:val="auto"/>
              </w:rPr>
            </w:pPr>
            <w:r>
              <w:rPr>
                <w:rFonts w:ascii="Arial" w:cs="Arial" w:eastAsia="Arial" w:hAnsi="Arial"/>
                <w:sz w:val="18"/>
                <w:szCs w:val="18"/>
                <w:b w:val="1"/>
                <w:bCs w:val="1"/>
                <w:color w:val="FFFFFF"/>
              </w:rPr>
              <w:t>Plan category</w:t>
            </w:r>
          </w:p>
        </w:tc>
        <w:tc>
          <w:tcPr>
            <w:tcW w:w="120" w:type="dxa"/>
            <w:vAlign w:val="bottom"/>
            <w:shd w:val="clear" w:color="auto" w:fill="2D53A6"/>
          </w:tcPr>
          <w:p>
            <w:pPr>
              <w:spacing w:after="0"/>
              <w:rPr>
                <w:sz w:val="8"/>
                <w:szCs w:val="8"/>
                <w:color w:val="auto"/>
              </w:rPr>
            </w:pPr>
          </w:p>
        </w:tc>
        <w:tc>
          <w:tcPr>
            <w:tcW w:w="2460" w:type="dxa"/>
            <w:vAlign w:val="bottom"/>
            <w:tcBorders>
              <w:right w:val="single" w:sz="8" w:color="2D53A6"/>
            </w:tcBorders>
            <w:vMerge w:val="continue"/>
            <w:shd w:val="clear" w:color="auto" w:fill="2D53A6"/>
          </w:tcPr>
          <w:p>
            <w:pPr>
              <w:spacing w:after="0"/>
              <w:rPr>
                <w:sz w:val="8"/>
                <w:szCs w:val="8"/>
                <w:color w:val="auto"/>
              </w:rPr>
            </w:pPr>
          </w:p>
        </w:tc>
        <w:tc>
          <w:tcPr>
            <w:tcW w:w="2300" w:type="dxa"/>
            <w:vAlign w:val="bottom"/>
            <w:vMerge w:val="restart"/>
            <w:shd w:val="clear" w:color="auto" w:fill="2D53A6"/>
          </w:tcPr>
          <w:p>
            <w:pPr>
              <w:jc w:val="center"/>
              <w:ind w:left="190"/>
              <w:spacing w:after="0" w:line="202" w:lineRule="exact"/>
              <w:rPr>
                <w:sz w:val="20"/>
                <w:szCs w:val="20"/>
                <w:color w:val="auto"/>
              </w:rPr>
            </w:pPr>
            <w:r>
              <w:rPr>
                <w:rFonts w:ascii="Arial" w:cs="Arial" w:eastAsia="Arial" w:hAnsi="Arial"/>
                <w:sz w:val="18"/>
                <w:szCs w:val="18"/>
                <w:b w:val="1"/>
                <w:bCs w:val="1"/>
                <w:color w:val="FFFFFF"/>
                <w:w w:val="99"/>
              </w:rPr>
              <w:t>outstanding options,</w:t>
            </w:r>
          </w:p>
        </w:tc>
        <w:tc>
          <w:tcPr>
            <w:tcW w:w="300" w:type="dxa"/>
            <w:vAlign w:val="bottom"/>
            <w:tcBorders>
              <w:right w:val="single" w:sz="8" w:color="2D53A6"/>
            </w:tcBorders>
            <w:shd w:val="clear" w:color="auto" w:fill="2D53A6"/>
          </w:tcPr>
          <w:p>
            <w:pPr>
              <w:spacing w:after="0"/>
              <w:rPr>
                <w:sz w:val="8"/>
                <w:szCs w:val="8"/>
                <w:color w:val="auto"/>
              </w:rPr>
            </w:pPr>
          </w:p>
        </w:tc>
        <w:tc>
          <w:tcPr>
            <w:tcW w:w="25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equity compensation plans</w:t>
            </w:r>
          </w:p>
        </w:tc>
        <w:tc>
          <w:tcPr>
            <w:tcW w:w="0" w:type="dxa"/>
            <w:vAlign w:val="bottom"/>
          </w:tcPr>
          <w:p>
            <w:pPr>
              <w:spacing w:after="0"/>
              <w:rPr>
                <w:sz w:val="1"/>
                <w:szCs w:val="1"/>
                <w:color w:val="auto"/>
              </w:rPr>
            </w:pPr>
          </w:p>
        </w:tc>
      </w:tr>
      <w:tr>
        <w:trPr>
          <w:trHeight w:val="108"/>
        </w:trPr>
        <w:tc>
          <w:tcPr>
            <w:tcW w:w="3500" w:type="dxa"/>
            <w:vAlign w:val="bottom"/>
            <w:tcBorders>
              <w:right w:val="single" w:sz="8" w:color="2D53A6"/>
            </w:tcBorders>
            <w:vMerge w:val="continue"/>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2460" w:type="dxa"/>
            <w:vAlign w:val="bottom"/>
            <w:tcBorders>
              <w:right w:val="single" w:sz="8" w:color="2D53A6"/>
            </w:tcBorders>
            <w:vMerge w:val="restart"/>
            <w:shd w:val="clear" w:color="auto" w:fill="2D53A6"/>
          </w:tcPr>
          <w:p>
            <w:pPr>
              <w:jc w:val="center"/>
              <w:ind w:right="30"/>
              <w:spacing w:after="0" w:line="202" w:lineRule="exact"/>
              <w:rPr>
                <w:sz w:val="20"/>
                <w:szCs w:val="20"/>
                <w:color w:val="auto"/>
              </w:rPr>
            </w:pPr>
            <w:r>
              <w:rPr>
                <w:rFonts w:ascii="Arial" w:cs="Arial" w:eastAsia="Arial" w:hAnsi="Arial"/>
                <w:sz w:val="18"/>
                <w:szCs w:val="18"/>
                <w:b w:val="1"/>
                <w:bCs w:val="1"/>
                <w:color w:val="FFFFFF"/>
                <w:w w:val="99"/>
              </w:rPr>
              <w:t>outstanding options,</w:t>
            </w:r>
          </w:p>
        </w:tc>
        <w:tc>
          <w:tcPr>
            <w:tcW w:w="2300" w:type="dxa"/>
            <w:vAlign w:val="bottom"/>
            <w:vMerge w:val="continue"/>
            <w:shd w:val="clear" w:color="auto" w:fill="2D53A6"/>
          </w:tcPr>
          <w:p>
            <w:pPr>
              <w:spacing w:after="0"/>
              <w:rPr>
                <w:sz w:val="9"/>
                <w:szCs w:val="9"/>
                <w:color w:val="auto"/>
              </w:rPr>
            </w:pPr>
          </w:p>
        </w:tc>
        <w:tc>
          <w:tcPr>
            <w:tcW w:w="300" w:type="dxa"/>
            <w:vAlign w:val="bottom"/>
            <w:tcBorders>
              <w:right w:val="single" w:sz="8" w:color="2D53A6"/>
            </w:tcBorders>
            <w:shd w:val="clear" w:color="auto" w:fill="2D53A6"/>
          </w:tcPr>
          <w:p>
            <w:pPr>
              <w:spacing w:after="0"/>
              <w:rPr>
                <w:sz w:val="9"/>
                <w:szCs w:val="9"/>
                <w:color w:val="auto"/>
              </w:rPr>
            </w:pPr>
          </w:p>
        </w:tc>
        <w:tc>
          <w:tcPr>
            <w:tcW w:w="25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500" w:type="dxa"/>
            <w:vAlign w:val="bottom"/>
            <w:tcBorders>
              <w:right w:val="single" w:sz="8" w:color="2D53A6"/>
            </w:tcBorders>
            <w:shd w:val="clear" w:color="auto" w:fill="2D53A6"/>
          </w:tcPr>
          <w:p>
            <w:pPr>
              <w:spacing w:after="0"/>
              <w:rPr>
                <w:sz w:val="8"/>
                <w:szCs w:val="8"/>
                <w:color w:val="auto"/>
              </w:rPr>
            </w:pPr>
          </w:p>
        </w:tc>
        <w:tc>
          <w:tcPr>
            <w:tcW w:w="120" w:type="dxa"/>
            <w:vAlign w:val="bottom"/>
            <w:shd w:val="clear" w:color="auto" w:fill="2D53A6"/>
          </w:tcPr>
          <w:p>
            <w:pPr>
              <w:spacing w:after="0"/>
              <w:rPr>
                <w:sz w:val="8"/>
                <w:szCs w:val="8"/>
                <w:color w:val="auto"/>
              </w:rPr>
            </w:pPr>
          </w:p>
        </w:tc>
        <w:tc>
          <w:tcPr>
            <w:tcW w:w="2460" w:type="dxa"/>
            <w:vAlign w:val="bottom"/>
            <w:tcBorders>
              <w:right w:val="single" w:sz="8" w:color="2D53A6"/>
            </w:tcBorders>
            <w:vMerge w:val="continue"/>
            <w:shd w:val="clear" w:color="auto" w:fill="2D53A6"/>
          </w:tcPr>
          <w:p>
            <w:pPr>
              <w:spacing w:after="0"/>
              <w:rPr>
                <w:sz w:val="8"/>
                <w:szCs w:val="8"/>
                <w:color w:val="auto"/>
              </w:rPr>
            </w:pPr>
          </w:p>
        </w:tc>
        <w:tc>
          <w:tcPr>
            <w:tcW w:w="2300" w:type="dxa"/>
            <w:vAlign w:val="bottom"/>
            <w:vMerge w:val="restart"/>
            <w:shd w:val="clear" w:color="auto" w:fill="2D53A6"/>
          </w:tcPr>
          <w:p>
            <w:pPr>
              <w:jc w:val="center"/>
              <w:ind w:left="210"/>
              <w:spacing w:after="0" w:line="202" w:lineRule="exact"/>
              <w:rPr>
                <w:sz w:val="20"/>
                <w:szCs w:val="20"/>
                <w:color w:val="auto"/>
              </w:rPr>
            </w:pPr>
            <w:r>
              <w:rPr>
                <w:rFonts w:ascii="Arial" w:cs="Arial" w:eastAsia="Arial" w:hAnsi="Arial"/>
                <w:sz w:val="18"/>
                <w:szCs w:val="18"/>
                <w:b w:val="1"/>
                <w:bCs w:val="1"/>
                <w:color w:val="FFFFFF"/>
              </w:rPr>
              <w:t>warrants and rights</w:t>
            </w:r>
          </w:p>
        </w:tc>
        <w:tc>
          <w:tcPr>
            <w:tcW w:w="300" w:type="dxa"/>
            <w:vAlign w:val="bottom"/>
            <w:tcBorders>
              <w:right w:val="single" w:sz="8" w:color="2D53A6"/>
            </w:tcBorders>
            <w:shd w:val="clear" w:color="auto" w:fill="2D53A6"/>
          </w:tcPr>
          <w:p>
            <w:pPr>
              <w:spacing w:after="0"/>
              <w:rPr>
                <w:sz w:val="8"/>
                <w:szCs w:val="8"/>
                <w:color w:val="auto"/>
              </w:rPr>
            </w:pPr>
          </w:p>
        </w:tc>
        <w:tc>
          <w:tcPr>
            <w:tcW w:w="25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(excluding securities</w:t>
            </w:r>
          </w:p>
        </w:tc>
        <w:tc>
          <w:tcPr>
            <w:tcW w:w="0" w:type="dxa"/>
            <w:vAlign w:val="bottom"/>
          </w:tcPr>
          <w:p>
            <w:pPr>
              <w:spacing w:after="0"/>
              <w:rPr>
                <w:sz w:val="1"/>
                <w:szCs w:val="1"/>
                <w:color w:val="auto"/>
              </w:rPr>
            </w:pPr>
          </w:p>
        </w:tc>
      </w:tr>
      <w:tr>
        <w:trPr>
          <w:trHeight w:val="108"/>
        </w:trPr>
        <w:tc>
          <w:tcPr>
            <w:tcW w:w="350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2460" w:type="dxa"/>
            <w:vAlign w:val="bottom"/>
            <w:tcBorders>
              <w:right w:val="single" w:sz="8" w:color="2D53A6"/>
            </w:tcBorders>
            <w:vMerge w:val="restart"/>
            <w:shd w:val="clear" w:color="auto" w:fill="2D53A6"/>
          </w:tcPr>
          <w:p>
            <w:pPr>
              <w:jc w:val="center"/>
              <w:ind w:right="30"/>
              <w:spacing w:after="0" w:line="202" w:lineRule="exact"/>
              <w:rPr>
                <w:sz w:val="20"/>
                <w:szCs w:val="20"/>
                <w:color w:val="auto"/>
              </w:rPr>
            </w:pPr>
            <w:r>
              <w:rPr>
                <w:rFonts w:ascii="Arial" w:cs="Arial" w:eastAsia="Arial" w:hAnsi="Arial"/>
                <w:sz w:val="18"/>
                <w:szCs w:val="18"/>
                <w:b w:val="1"/>
                <w:bCs w:val="1"/>
                <w:color w:val="FFFFFF"/>
                <w:w w:val="99"/>
              </w:rPr>
              <w:t>warrants and rights</w:t>
            </w:r>
          </w:p>
        </w:tc>
        <w:tc>
          <w:tcPr>
            <w:tcW w:w="2300" w:type="dxa"/>
            <w:vAlign w:val="bottom"/>
            <w:vMerge w:val="continue"/>
            <w:shd w:val="clear" w:color="auto" w:fill="2D53A6"/>
          </w:tcPr>
          <w:p>
            <w:pPr>
              <w:spacing w:after="0"/>
              <w:rPr>
                <w:sz w:val="9"/>
                <w:szCs w:val="9"/>
                <w:color w:val="auto"/>
              </w:rPr>
            </w:pPr>
          </w:p>
        </w:tc>
        <w:tc>
          <w:tcPr>
            <w:tcW w:w="300" w:type="dxa"/>
            <w:vAlign w:val="bottom"/>
            <w:tcBorders>
              <w:right w:val="single" w:sz="8" w:color="2D53A6"/>
            </w:tcBorders>
            <w:shd w:val="clear" w:color="auto" w:fill="2D53A6"/>
          </w:tcPr>
          <w:p>
            <w:pPr>
              <w:spacing w:after="0"/>
              <w:rPr>
                <w:sz w:val="9"/>
                <w:szCs w:val="9"/>
                <w:color w:val="auto"/>
              </w:rPr>
            </w:pPr>
          </w:p>
        </w:tc>
        <w:tc>
          <w:tcPr>
            <w:tcW w:w="25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500" w:type="dxa"/>
            <w:vAlign w:val="bottom"/>
            <w:tcBorders>
              <w:right w:val="single" w:sz="8" w:color="2D53A6"/>
            </w:tcBorders>
            <w:shd w:val="clear" w:color="auto" w:fill="2D53A6"/>
          </w:tcPr>
          <w:p>
            <w:pPr>
              <w:spacing w:after="0"/>
              <w:rPr>
                <w:sz w:val="8"/>
                <w:szCs w:val="8"/>
                <w:color w:val="auto"/>
              </w:rPr>
            </w:pPr>
          </w:p>
        </w:tc>
        <w:tc>
          <w:tcPr>
            <w:tcW w:w="120" w:type="dxa"/>
            <w:vAlign w:val="bottom"/>
            <w:shd w:val="clear" w:color="auto" w:fill="2D53A6"/>
          </w:tcPr>
          <w:p>
            <w:pPr>
              <w:spacing w:after="0"/>
              <w:rPr>
                <w:sz w:val="8"/>
                <w:szCs w:val="8"/>
                <w:color w:val="auto"/>
              </w:rPr>
            </w:pPr>
          </w:p>
        </w:tc>
        <w:tc>
          <w:tcPr>
            <w:tcW w:w="2460" w:type="dxa"/>
            <w:vAlign w:val="bottom"/>
            <w:tcBorders>
              <w:right w:val="single" w:sz="8" w:color="2D53A6"/>
            </w:tcBorders>
            <w:vMerge w:val="continue"/>
            <w:shd w:val="clear" w:color="auto" w:fill="2D53A6"/>
          </w:tcPr>
          <w:p>
            <w:pPr>
              <w:spacing w:after="0"/>
              <w:rPr>
                <w:sz w:val="8"/>
                <w:szCs w:val="8"/>
                <w:color w:val="auto"/>
              </w:rPr>
            </w:pPr>
          </w:p>
        </w:tc>
        <w:tc>
          <w:tcPr>
            <w:tcW w:w="2300" w:type="dxa"/>
            <w:vAlign w:val="bottom"/>
            <w:vMerge w:val="restart"/>
            <w:shd w:val="clear" w:color="auto" w:fill="2D53A6"/>
          </w:tcPr>
          <w:p>
            <w:pPr>
              <w:jc w:val="center"/>
              <w:ind w:left="210"/>
              <w:spacing w:after="0" w:line="202" w:lineRule="exact"/>
              <w:rPr>
                <w:sz w:val="20"/>
                <w:szCs w:val="20"/>
                <w:color w:val="auto"/>
              </w:rPr>
            </w:pPr>
            <w:r>
              <w:rPr>
                <w:rFonts w:ascii="Arial" w:cs="Arial" w:eastAsia="Arial" w:hAnsi="Arial"/>
                <w:sz w:val="18"/>
                <w:szCs w:val="18"/>
                <w:b w:val="1"/>
                <w:bCs w:val="1"/>
                <w:color w:val="FFFFFF"/>
                <w:w w:val="99"/>
              </w:rPr>
              <w:t>(b)</w:t>
            </w:r>
            <w:r>
              <w:rPr>
                <w:rFonts w:ascii="Arial" w:cs="Arial" w:eastAsia="Arial" w:hAnsi="Arial"/>
                <w:sz w:val="14"/>
                <w:szCs w:val="14"/>
                <w:b w:val="1"/>
                <w:bCs w:val="1"/>
                <w:color w:val="FFFFFF"/>
                <w:w w:val="99"/>
              </w:rPr>
              <w:t>(2)</w:t>
            </w:r>
          </w:p>
        </w:tc>
        <w:tc>
          <w:tcPr>
            <w:tcW w:w="300" w:type="dxa"/>
            <w:vAlign w:val="bottom"/>
            <w:tcBorders>
              <w:right w:val="single" w:sz="8" w:color="2D53A6"/>
            </w:tcBorders>
            <w:shd w:val="clear" w:color="auto" w:fill="2D53A6"/>
          </w:tcPr>
          <w:p>
            <w:pPr>
              <w:spacing w:after="0"/>
              <w:rPr>
                <w:sz w:val="8"/>
                <w:szCs w:val="8"/>
                <w:color w:val="auto"/>
              </w:rPr>
            </w:pPr>
          </w:p>
        </w:tc>
        <w:tc>
          <w:tcPr>
            <w:tcW w:w="25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reflected</w:t>
            </w:r>
          </w:p>
        </w:tc>
        <w:tc>
          <w:tcPr>
            <w:tcW w:w="0" w:type="dxa"/>
            <w:vAlign w:val="bottom"/>
          </w:tcPr>
          <w:p>
            <w:pPr>
              <w:spacing w:after="0"/>
              <w:rPr>
                <w:sz w:val="1"/>
                <w:szCs w:val="1"/>
                <w:color w:val="auto"/>
              </w:rPr>
            </w:pPr>
          </w:p>
        </w:tc>
      </w:tr>
      <w:tr>
        <w:trPr>
          <w:trHeight w:val="108"/>
        </w:trPr>
        <w:tc>
          <w:tcPr>
            <w:tcW w:w="350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2460" w:type="dxa"/>
            <w:vAlign w:val="bottom"/>
            <w:tcBorders>
              <w:right w:val="single" w:sz="8" w:color="2D53A6"/>
            </w:tcBorders>
            <w:vMerge w:val="restart"/>
            <w:shd w:val="clear" w:color="auto" w:fill="2D53A6"/>
          </w:tcPr>
          <w:p>
            <w:pPr>
              <w:jc w:val="center"/>
              <w:ind w:right="10"/>
              <w:spacing w:after="0"/>
              <w:rPr>
                <w:sz w:val="20"/>
                <w:szCs w:val="20"/>
                <w:color w:val="auto"/>
              </w:rPr>
            </w:pPr>
            <w:r>
              <w:rPr>
                <w:rFonts w:ascii="Arial" w:cs="Arial" w:eastAsia="Arial" w:hAnsi="Arial"/>
                <w:sz w:val="18"/>
                <w:szCs w:val="18"/>
                <w:b w:val="1"/>
                <w:bCs w:val="1"/>
                <w:color w:val="FFFFFF"/>
              </w:rPr>
              <w:t>(a)</w:t>
            </w:r>
            <w:r>
              <w:rPr>
                <w:rFonts w:ascii="Arial" w:cs="Arial" w:eastAsia="Arial" w:hAnsi="Arial"/>
                <w:sz w:val="14"/>
                <w:szCs w:val="14"/>
                <w:b w:val="1"/>
                <w:bCs w:val="1"/>
                <w:color w:val="FFFFFF"/>
              </w:rPr>
              <w:t>(1)</w:t>
            </w:r>
          </w:p>
        </w:tc>
        <w:tc>
          <w:tcPr>
            <w:tcW w:w="2300" w:type="dxa"/>
            <w:vAlign w:val="bottom"/>
            <w:vMerge w:val="continue"/>
            <w:shd w:val="clear" w:color="auto" w:fill="2D53A6"/>
          </w:tcPr>
          <w:p>
            <w:pPr>
              <w:spacing w:after="0"/>
              <w:rPr>
                <w:sz w:val="9"/>
                <w:szCs w:val="9"/>
                <w:color w:val="auto"/>
              </w:rPr>
            </w:pPr>
          </w:p>
        </w:tc>
        <w:tc>
          <w:tcPr>
            <w:tcW w:w="300" w:type="dxa"/>
            <w:vAlign w:val="bottom"/>
            <w:tcBorders>
              <w:right w:val="single" w:sz="8" w:color="2D53A6"/>
            </w:tcBorders>
            <w:shd w:val="clear" w:color="auto" w:fill="2D53A6"/>
          </w:tcPr>
          <w:p>
            <w:pPr>
              <w:spacing w:after="0"/>
              <w:rPr>
                <w:sz w:val="9"/>
                <w:szCs w:val="9"/>
                <w:color w:val="auto"/>
              </w:rPr>
            </w:pPr>
          </w:p>
        </w:tc>
        <w:tc>
          <w:tcPr>
            <w:tcW w:w="25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500" w:type="dxa"/>
            <w:vAlign w:val="bottom"/>
            <w:tcBorders>
              <w:right w:val="single" w:sz="8" w:color="2D53A6"/>
            </w:tcBorders>
            <w:shd w:val="clear" w:color="auto" w:fill="2D53A6"/>
          </w:tcPr>
          <w:p>
            <w:pPr>
              <w:spacing w:after="0"/>
              <w:rPr>
                <w:sz w:val="12"/>
                <w:szCs w:val="12"/>
                <w:color w:val="auto"/>
              </w:rPr>
            </w:pPr>
          </w:p>
        </w:tc>
        <w:tc>
          <w:tcPr>
            <w:tcW w:w="120" w:type="dxa"/>
            <w:vAlign w:val="bottom"/>
            <w:shd w:val="clear" w:color="auto" w:fill="2D53A6"/>
          </w:tcPr>
          <w:p>
            <w:pPr>
              <w:spacing w:after="0"/>
              <w:rPr>
                <w:sz w:val="12"/>
                <w:szCs w:val="12"/>
                <w:color w:val="auto"/>
              </w:rPr>
            </w:pPr>
          </w:p>
        </w:tc>
        <w:tc>
          <w:tcPr>
            <w:tcW w:w="2460" w:type="dxa"/>
            <w:vAlign w:val="bottom"/>
            <w:tcBorders>
              <w:right w:val="single" w:sz="8" w:color="2D53A6"/>
            </w:tcBorders>
            <w:vMerge w:val="continue"/>
            <w:shd w:val="clear" w:color="auto" w:fill="2D53A6"/>
          </w:tcPr>
          <w:p>
            <w:pPr>
              <w:spacing w:after="0"/>
              <w:rPr>
                <w:sz w:val="12"/>
                <w:szCs w:val="12"/>
                <w:color w:val="auto"/>
              </w:rPr>
            </w:pPr>
          </w:p>
        </w:tc>
        <w:tc>
          <w:tcPr>
            <w:tcW w:w="2300" w:type="dxa"/>
            <w:vAlign w:val="bottom"/>
            <w:shd w:val="clear" w:color="auto" w:fill="2D53A6"/>
          </w:tcPr>
          <w:p>
            <w:pPr>
              <w:spacing w:after="0"/>
              <w:rPr>
                <w:sz w:val="12"/>
                <w:szCs w:val="12"/>
                <w:color w:val="auto"/>
              </w:rPr>
            </w:pPr>
          </w:p>
        </w:tc>
        <w:tc>
          <w:tcPr>
            <w:tcW w:w="300" w:type="dxa"/>
            <w:vAlign w:val="bottom"/>
            <w:tcBorders>
              <w:right w:val="single" w:sz="8" w:color="2D53A6"/>
            </w:tcBorders>
            <w:shd w:val="clear" w:color="auto" w:fill="2D53A6"/>
          </w:tcPr>
          <w:p>
            <w:pPr>
              <w:spacing w:after="0"/>
              <w:rPr>
                <w:sz w:val="12"/>
                <w:szCs w:val="12"/>
                <w:color w:val="auto"/>
              </w:rPr>
            </w:pPr>
          </w:p>
        </w:tc>
        <w:tc>
          <w:tcPr>
            <w:tcW w:w="25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in column (a)) (c)</w:t>
            </w:r>
            <w:r>
              <w:rPr>
                <w:rFonts w:ascii="Arial" w:cs="Arial" w:eastAsia="Arial" w:hAnsi="Arial"/>
                <w:sz w:val="14"/>
                <w:szCs w:val="14"/>
                <w:b w:val="1"/>
                <w:bCs w:val="1"/>
                <w:color w:val="FFFFFF"/>
              </w:rPr>
              <w:t>(3)</w:t>
            </w:r>
          </w:p>
        </w:tc>
        <w:tc>
          <w:tcPr>
            <w:tcW w:w="0" w:type="dxa"/>
            <w:vAlign w:val="bottom"/>
          </w:tcPr>
          <w:p>
            <w:pPr>
              <w:spacing w:after="0"/>
              <w:rPr>
                <w:sz w:val="1"/>
                <w:szCs w:val="1"/>
                <w:color w:val="auto"/>
              </w:rPr>
            </w:pPr>
          </w:p>
        </w:tc>
      </w:tr>
      <w:tr>
        <w:trPr>
          <w:trHeight w:val="110"/>
        </w:trPr>
        <w:tc>
          <w:tcPr>
            <w:tcW w:w="350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2460" w:type="dxa"/>
            <w:vAlign w:val="bottom"/>
            <w:tcBorders>
              <w:right w:val="single" w:sz="8" w:color="2D53A6"/>
            </w:tcBorders>
            <w:shd w:val="clear" w:color="auto" w:fill="2D53A6"/>
          </w:tcPr>
          <w:p>
            <w:pPr>
              <w:spacing w:after="0"/>
              <w:rPr>
                <w:sz w:val="9"/>
                <w:szCs w:val="9"/>
                <w:color w:val="auto"/>
              </w:rPr>
            </w:pPr>
          </w:p>
        </w:tc>
        <w:tc>
          <w:tcPr>
            <w:tcW w:w="2300" w:type="dxa"/>
            <w:vAlign w:val="bottom"/>
            <w:shd w:val="clear" w:color="auto" w:fill="2D53A6"/>
          </w:tcPr>
          <w:p>
            <w:pPr>
              <w:spacing w:after="0"/>
              <w:rPr>
                <w:sz w:val="9"/>
                <w:szCs w:val="9"/>
                <w:color w:val="auto"/>
              </w:rPr>
            </w:pPr>
          </w:p>
        </w:tc>
        <w:tc>
          <w:tcPr>
            <w:tcW w:w="300" w:type="dxa"/>
            <w:vAlign w:val="bottom"/>
            <w:tcBorders>
              <w:right w:val="single" w:sz="8" w:color="2D53A6"/>
            </w:tcBorders>
            <w:shd w:val="clear" w:color="auto" w:fill="2D53A6"/>
          </w:tcPr>
          <w:p>
            <w:pPr>
              <w:spacing w:after="0"/>
              <w:rPr>
                <w:sz w:val="9"/>
                <w:szCs w:val="9"/>
                <w:color w:val="auto"/>
              </w:rPr>
            </w:pPr>
          </w:p>
        </w:tc>
        <w:tc>
          <w:tcPr>
            <w:tcW w:w="25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500" w:type="dxa"/>
            <w:vAlign w:val="bottom"/>
            <w:tcBorders>
              <w:right w:val="single" w:sz="8" w:color="2D53A6"/>
            </w:tcBorders>
          </w:tcPr>
          <w:p>
            <w:pPr>
              <w:ind w:left="20"/>
              <w:spacing w:after="0" w:line="197" w:lineRule="exact"/>
              <w:rPr>
                <w:sz w:val="20"/>
                <w:szCs w:val="20"/>
                <w:color w:val="auto"/>
              </w:rPr>
            </w:pPr>
            <w:r>
              <w:rPr>
                <w:rFonts w:ascii="Arial" w:cs="Arial" w:eastAsia="Arial" w:hAnsi="Arial"/>
                <w:sz w:val="18"/>
                <w:szCs w:val="18"/>
                <w:color w:val="auto"/>
              </w:rPr>
              <w:t>Equity compensation plans approved by</w:t>
            </w:r>
          </w:p>
        </w:tc>
        <w:tc>
          <w:tcPr>
            <w:tcW w:w="120" w:type="dxa"/>
            <w:vAlign w:val="bottom"/>
          </w:tcPr>
          <w:p>
            <w:pPr>
              <w:spacing w:after="0"/>
              <w:rPr>
                <w:sz w:val="17"/>
                <w:szCs w:val="17"/>
                <w:color w:val="auto"/>
              </w:rPr>
            </w:pPr>
          </w:p>
        </w:tc>
        <w:tc>
          <w:tcPr>
            <w:tcW w:w="2460" w:type="dxa"/>
            <w:vAlign w:val="bottom"/>
            <w:tcBorders>
              <w:right w:val="single" w:sz="8" w:color="2D53A6"/>
            </w:tcBorders>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Borders>
              <w:right w:val="single" w:sz="8" w:color="2D53A6"/>
            </w:tcBorders>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00" w:type="dxa"/>
            <w:vAlign w:val="bottom"/>
            <w:tcBorders>
              <w:bottom w:val="single" w:sz="8" w:color="2D53A6"/>
              <w:right w:val="single" w:sz="8" w:color="2D53A6"/>
            </w:tcBorders>
          </w:tcPr>
          <w:p>
            <w:pPr>
              <w:ind w:left="20"/>
              <w:spacing w:after="0"/>
              <w:rPr>
                <w:sz w:val="20"/>
                <w:szCs w:val="20"/>
                <w:color w:val="auto"/>
              </w:rPr>
            </w:pPr>
            <w:r>
              <w:rPr>
                <w:rFonts w:ascii="Arial" w:cs="Arial" w:eastAsia="Arial" w:hAnsi="Arial"/>
                <w:sz w:val="18"/>
                <w:szCs w:val="18"/>
                <w:color w:val="auto"/>
              </w:rPr>
              <w:t>security holders</w:t>
            </w:r>
          </w:p>
        </w:tc>
        <w:tc>
          <w:tcPr>
            <w:tcW w:w="2580" w:type="dxa"/>
            <w:vAlign w:val="bottom"/>
            <w:tcBorders>
              <w:bottom w:val="single" w:sz="8" w:color="2D53A6"/>
              <w:right w:val="single" w:sz="8" w:color="2D53A6"/>
            </w:tcBorders>
            <w:gridSpan w:val="2"/>
          </w:tcPr>
          <w:p>
            <w:pPr>
              <w:jc w:val="right"/>
              <w:ind w:right="30"/>
              <w:spacing w:after="0"/>
              <w:rPr>
                <w:sz w:val="20"/>
                <w:szCs w:val="20"/>
                <w:color w:val="auto"/>
              </w:rPr>
            </w:pPr>
            <w:r>
              <w:rPr>
                <w:rFonts w:ascii="Arial" w:cs="Arial" w:eastAsia="Arial" w:hAnsi="Arial"/>
                <w:sz w:val="18"/>
                <w:szCs w:val="18"/>
                <w:color w:val="auto"/>
              </w:rPr>
              <w:t>2,087</w:t>
            </w:r>
          </w:p>
        </w:tc>
        <w:tc>
          <w:tcPr>
            <w:tcW w:w="2300" w:type="dxa"/>
            <w:vAlign w:val="bottom"/>
            <w:tcBorders>
              <w:bottom w:val="single" w:sz="8" w:color="2D53A6"/>
            </w:tcBorders>
          </w:tcPr>
          <w:p>
            <w:pPr>
              <w:jc w:val="right"/>
              <w:ind w:right="19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2D53A6"/>
              <w:right w:val="single" w:sz="8" w:color="2D53A6"/>
            </w:tcBorders>
          </w:tcPr>
          <w:p>
            <w:pPr>
              <w:jc w:val="right"/>
              <w:ind w:right="3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2D53A6"/>
            </w:tcBorders>
          </w:tcPr>
          <w:p>
            <w:pPr>
              <w:jc w:val="right"/>
              <w:ind w:right="3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191"/>
        </w:trPr>
        <w:tc>
          <w:tcPr>
            <w:tcW w:w="3500" w:type="dxa"/>
            <w:vAlign w:val="bottom"/>
            <w:tcBorders>
              <w:right w:val="single" w:sz="8" w:color="2D53A6"/>
            </w:tcBorders>
          </w:tcPr>
          <w:p>
            <w:pPr>
              <w:ind w:left="20"/>
              <w:spacing w:after="0" w:line="191" w:lineRule="exact"/>
              <w:rPr>
                <w:sz w:val="20"/>
                <w:szCs w:val="20"/>
                <w:color w:val="auto"/>
              </w:rPr>
            </w:pPr>
            <w:r>
              <w:rPr>
                <w:rFonts w:ascii="Arial" w:cs="Arial" w:eastAsia="Arial" w:hAnsi="Arial"/>
                <w:sz w:val="18"/>
                <w:szCs w:val="18"/>
                <w:color w:val="auto"/>
              </w:rPr>
              <w:t>Equity compensation plans not approved</w:t>
            </w: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00" w:type="dxa"/>
            <w:vAlign w:val="bottom"/>
            <w:tcBorders>
              <w:right w:val="single" w:sz="8" w:color="2D53A6"/>
            </w:tcBorders>
          </w:tcPr>
          <w:p>
            <w:pPr>
              <w:ind w:left="20"/>
              <w:spacing w:after="0"/>
              <w:rPr>
                <w:sz w:val="20"/>
                <w:szCs w:val="20"/>
                <w:color w:val="auto"/>
              </w:rPr>
            </w:pPr>
            <w:r>
              <w:rPr>
                <w:rFonts w:ascii="Arial" w:cs="Arial" w:eastAsia="Arial" w:hAnsi="Arial"/>
                <w:sz w:val="18"/>
                <w:szCs w:val="18"/>
                <w:color w:val="auto"/>
              </w:rPr>
              <w:t>by security holders</w:t>
            </w:r>
          </w:p>
        </w:tc>
        <w:tc>
          <w:tcPr>
            <w:tcW w:w="2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2D53A6"/>
              <w:right w:val="single" w:sz="8" w:color="2D53A6"/>
            </w:tcBorders>
          </w:tcPr>
          <w:p>
            <w:pPr>
              <w:spacing w:after="0"/>
              <w:rPr>
                <w:sz w:val="19"/>
                <w:szCs w:val="19"/>
                <w:color w:val="auto"/>
              </w:rPr>
            </w:pPr>
          </w:p>
        </w:tc>
        <w:tc>
          <w:tcPr>
            <w:tcW w:w="120" w:type="dxa"/>
            <w:vAlign w:val="bottom"/>
            <w:tcBorders>
              <w:top w:val="single" w:sz="8" w:color="2D53A6"/>
            </w:tcBorders>
          </w:tcPr>
          <w:p>
            <w:pPr>
              <w:spacing w:after="0"/>
              <w:rPr>
                <w:sz w:val="19"/>
                <w:szCs w:val="19"/>
                <w:color w:val="auto"/>
              </w:rPr>
            </w:pPr>
          </w:p>
        </w:tc>
        <w:tc>
          <w:tcPr>
            <w:tcW w:w="2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2,087</w:t>
            </w:r>
          </w:p>
        </w:tc>
        <w:tc>
          <w:tcPr>
            <w:tcW w:w="2300" w:type="dxa"/>
            <w:vAlign w:val="bottom"/>
            <w:tcBorders>
              <w:top w:val="single" w:sz="8" w:color="auto"/>
              <w:bottom w:val="single" w:sz="8" w:color="auto"/>
            </w:tcBorders>
          </w:tcPr>
          <w:p>
            <w:pPr>
              <w:jc w:val="right"/>
              <w:ind w:right="199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0"/>
        </w:trPr>
        <w:tc>
          <w:tcPr>
            <w:tcW w:w="3500" w:type="dxa"/>
            <w:vAlign w:val="bottom"/>
            <w:tcBorders>
              <w:bottom w:val="single" w:sz="8" w:color="2D53A6"/>
              <w:right w:val="single" w:sz="8" w:color="2D53A6"/>
            </w:tcBorders>
          </w:tcPr>
          <w:p>
            <w:pPr>
              <w:spacing w:after="0" w:line="20" w:lineRule="exact"/>
              <w:rPr>
                <w:sz w:val="1"/>
                <w:szCs w:val="1"/>
                <w:color w:val="auto"/>
              </w:rPr>
            </w:pPr>
          </w:p>
        </w:tc>
        <w:tc>
          <w:tcPr>
            <w:tcW w:w="120" w:type="dxa"/>
            <w:vAlign w:val="bottom"/>
            <w:tcBorders>
              <w:bottom w:val="single" w:sz="8" w:color="2D53A6"/>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-466725</wp:posOffset>
            </wp:positionV>
            <wp:extent cx="33655" cy="4800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80060"/>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-466725</wp:posOffset>
            </wp:positionV>
            <wp:extent cx="33655" cy="4800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80060"/>
                    </a:xfrm>
                    <a:prstGeom prst="rect">
                      <a:avLst/>
                    </a:prstGeom>
                    <a:noFill/>
                  </pic:spPr>
                </pic:pic>
              </a:graphicData>
            </a:graphic>
          </wp:anchor>
        </w:drawing>
      </w:r>
    </w:p>
    <w:p>
      <w:pPr>
        <w:spacing w:after="0" w:line="173" w:lineRule="exact"/>
        <w:rPr>
          <w:sz w:val="20"/>
          <w:szCs w:val="20"/>
          <w:color w:val="auto"/>
        </w:rPr>
      </w:pPr>
    </w:p>
    <w:p>
      <w:pPr>
        <w:ind w:left="340" w:right="200" w:hanging="332"/>
        <w:spacing w:after="0" w:line="25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options, restricted stock units (RSUs) and performance stock units (PSUs) outstanding under Cohu’s equity incentive plans, as no stock warrants or other rights were outstanding as of December 27, 2025.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weighted average exercise price of outstanding options, warrants and rights does not take RSUs and PSUs into account as RSUs and PSUs have no exercise price.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353,581 shares of common stock reserved for future issuance under the Cohu 1997 Employee Stock Purchase Plan.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0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None of the Compensation Committee’s members during the last fiscal year have, at any time, been an officer or employee of Cohu. During fiscal year 2025, no member of the Compensation Committee had any relationship with Cohu requiring disclosure under Item 404 of Regulation S-K. None of Cohu’s executive officers serves, or in fiscal year 2025 has served, as a member of the board of directors or compensation committee of any entity that has one or more of its executive officers serving on Cohu’s Board or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20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Compensation Committee previously undertook, in consultation with Compensia, a review of its executive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the Company’s named executive officers other than Mr. Ilgenfritz who had an existing managing director services agreement with the Company as further described below (each, an “Executive”), as described below. The Company first entered into the Severance Agreements and Change in Control Agreements with the Executives on September 8, 2020. On November 13, 2024, the Company entered into the Addendum 1 to the Managing Director’s Service Agreement with Mr. Ilgenfritz (the “Ilgenfritz Agreement”).</w:t>
      </w:r>
    </w:p>
    <w:p>
      <w:pPr>
        <w:spacing w:after="0" w:line="16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Severance Agreement provides that if an Executive’s employment is terminated by the Company without Cause, or additionally only in the case of our CEO, if he voluntarily resigns for Good Reason,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any expense reimbursements, wages and other benefits due to Executive under any Company-provided plans, policies and arrangements (the “Accrued Amounts”); (2) a lump sum payment equal to a multiplier (as summarized below) multiplied by the Executive’s annual base salary; and (3) reimbursement for the Executive’s COBRA continuation premiums for the Premium Payment Period (as summarized below). If an Executive’s employment with the Company terminates</w:t>
      </w:r>
    </w:p>
    <w:p>
      <w:pPr>
        <w:spacing w:after="0" w:line="5" w:lineRule="exact"/>
        <w:rPr>
          <w:sz w:val="20"/>
          <w:szCs w:val="20"/>
          <w:color w:val="auto"/>
        </w:rPr>
      </w:pPr>
    </w:p>
    <w:p>
      <w:pPr>
        <w:ind w:right="160" w:firstLine="8"/>
        <w:spacing w:after="0" w:line="242" w:lineRule="auto"/>
        <w:tabs>
          <w:tab w:leader="none" w:pos="2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voluntarily by the Executive (other than for Good Reason in the case of our CEO), (B) for Cause by the Company, or (C) due to Executive’s death or disability, the Executive would not be entitled to receive any severance payments, but in the event of death their estate would be eligible for a pro-rata incentive bonus for the year in which the termination date occurs.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Change in Control Agreement provides that if an Executive’s employment is terminated by the Company without Cause or the Executive voluntarily resigns for Good Reason, in either case beginning 60 days preceding the date of an event constituting a Change in Control and ending on the second anniversary of the date of the event constituting such Change in Control,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the Accrued Amounts; (2) a lump sum payment equal to a multiplier (as summarized below) multiplied by the Executive’s annual base salary; (3) a lump sum payment equal to a multiplier (as summarized below) multiplied by the Executive’s target bonus amount in the year of termination; (4) a lump sum payment equal to the pro-rated portion of Executive’s target bonus amount for the fiscal year in which the termination date occurs; (5) reimbursement for the Executive’s COBRA continuation premiums for the Premium Payment Period (as summarized below); and (6)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 If an Executive’s employment with the Company terminates (A) voluntarily by the Executive, other than for Good Reason, (B) for Cause by the Company, or (C) due to Executive’s death or disability, the Executive would not be entitled to receive any severance payments, but in the event of death the Executive’s estate would be eligible for a pro- rata incentive bonus for the year in which the termination date occurs.</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Ilgenfritz Agreement provides that if Mr. Ilgenfritz’s employment is terminated by the Company without Cause or Mr. Ilgenfritz voluntarily resigns for Good Reason, in either case beginning 60 days preceding the date of an event constituting a Change in Control and ending on the second anniversary of the date of the event constituting such Change in Control, then, subject to the Mr. Ilgenfritz’s continued compliance with the obligations set forth in the Ilgenfritz Agreement and Mr. Ilgenfritz’s signing and not revoking a separation agreement and release of claims in favor of Cohu, Mr. Ilgenfritz would be entitled to: (1) the Accrued Amounts; (2) a lump sum payment equal to a multiplier (as summarized below) multiplied by Mr. Ilgenfritz’s annual base salary; (3) a lump sum payment equal to a multiplier (as summarized below) multiplied by Mr. Ilgenfritz’s target bonus amount in the year of termination; (4) a lump sum payment equal to the pro-rated portion of Mr. Ilgenfritz’s target bonus amount. If Mr. Ilgenfritz’s employment with the Company terminates (A) voluntarily by Mr. Ilgenfritz, other than for Good Reason, (B) for Cause by the Company, or (C) due to Mr. Ilgenfritz’s death or disability, Mr. Ilgenfritz would not be entitled to receive any severance payments other than the Accrued Amounts, but in the event of his death his estate would be eligible for a pro-rata incentive bonus for the year in which the death occurs. Mr. Ilgenfritz’ employment agreement separately provides for a six-month notice period for termination.</w:t>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terms of the stock award agreements for RSUs granted through 2024 provide that in the event of a change in control, the RSUs will accelerate vesting and be settled at the time of the change in control. The terms of the award agreements for RSUs granted to our NEOs beginning in 2025 provide that such vesting acceleration will only occur should the acquiring corporation not assume or substitute for the RSUs in the change in control. The terms of the award agreements for PSUs granted through 2024 provide that in the event of a change in control, the PSUs will accelerate vesting and be settled at the time of the change in control. The terms of the award agreements for PSUs granted to our NEOs beginning in 2025, which cannot reasonably be assumed or substituted, provide for vesting acceleration upon a change in control at the greater of the target level or the level of performance attained through the change in control.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Severance and Change in Control Agreements had a three-year Initial Term and were automatically extended for successive two -year periods starting on September 8, 2023, and September 8, 2025, as neither party had delivered written notice to the other party within six months prior to the completion of the then effective Term that the Agreement would not be extended. The Ilgenfritz Agreement has a three-year Initial Term and will automatically be extended for a two-year period starting on November 13, 2027, as long as neither the Company nor Mr. Ilgenfritz delivers written notice to the other party within six months prior to the completion of the then effective Term that the agreement will not be extended.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4500" w:type="dxa"/>
            <w:vAlign w:val="bottom"/>
            <w:tcBorders>
              <w:right w:val="single" w:sz="8" w:color="2D53A6"/>
            </w:tcBorders>
            <w:shd w:val="clear" w:color="auto" w:fill="2D53A6"/>
          </w:tcPr>
          <w:p>
            <w:pPr>
              <w:spacing w:after="0"/>
              <w:rPr>
                <w:sz w:val="24"/>
                <w:szCs w:val="24"/>
                <w:color w:val="auto"/>
              </w:rPr>
            </w:pPr>
          </w:p>
        </w:tc>
        <w:tc>
          <w:tcPr>
            <w:tcW w:w="3380" w:type="dxa"/>
            <w:vAlign w:val="bottom"/>
            <w:tcBorders>
              <w:right w:val="single" w:sz="8" w:color="2D53A6"/>
            </w:tcBorders>
            <w:gridSpan w:val="2"/>
            <w:shd w:val="clear" w:color="auto" w:fill="2D53A6"/>
          </w:tcPr>
          <w:p>
            <w:pPr>
              <w:ind w:left="640"/>
              <w:spacing w:after="0"/>
              <w:rPr>
                <w:sz w:val="20"/>
                <w:szCs w:val="20"/>
                <w:color w:val="auto"/>
              </w:rPr>
            </w:pPr>
            <w:r>
              <w:rPr>
                <w:rFonts w:ascii="Arial" w:cs="Arial" w:eastAsia="Arial" w:hAnsi="Arial"/>
                <w:sz w:val="20"/>
                <w:szCs w:val="20"/>
                <w:b w:val="1"/>
                <w:bCs w:val="1"/>
                <w:color w:val="FFFFFF"/>
              </w:rPr>
              <w:t>Severance Agreement</w:t>
            </w:r>
          </w:p>
        </w:tc>
        <w:tc>
          <w:tcPr>
            <w:tcW w:w="3360" w:type="dxa"/>
            <w:vAlign w:val="bottom"/>
            <w:gridSpan w:val="2"/>
            <w:shd w:val="clear" w:color="auto" w:fill="2D53A6"/>
          </w:tcPr>
          <w:p>
            <w:pPr>
              <w:ind w:left="280"/>
              <w:spacing w:after="0"/>
              <w:rPr>
                <w:sz w:val="20"/>
                <w:szCs w:val="20"/>
                <w:color w:val="auto"/>
              </w:rPr>
            </w:pPr>
            <w:r>
              <w:rPr>
                <w:rFonts w:ascii="Arial" w:cs="Arial" w:eastAsia="Arial" w:hAnsi="Arial"/>
                <w:sz w:val="20"/>
                <w:szCs w:val="20"/>
                <w:b w:val="1"/>
                <w:bCs w:val="1"/>
                <w:color w:val="FFFFFF"/>
              </w:rPr>
              <w:t>Change in Control Agreement</w:t>
            </w:r>
          </w:p>
        </w:tc>
        <w:tc>
          <w:tcPr>
            <w:tcW w:w="0" w:type="dxa"/>
            <w:vAlign w:val="bottom"/>
          </w:tcPr>
          <w:p>
            <w:pPr>
              <w:spacing w:after="0"/>
              <w:rPr>
                <w:sz w:val="1"/>
                <w:szCs w:val="1"/>
                <w:color w:val="auto"/>
              </w:rPr>
            </w:pPr>
          </w:p>
        </w:tc>
      </w:tr>
      <w:tr>
        <w:trPr>
          <w:trHeight w:val="253"/>
        </w:trPr>
        <w:tc>
          <w:tcPr>
            <w:tcW w:w="4500" w:type="dxa"/>
            <w:vAlign w:val="bottom"/>
            <w:tcBorders>
              <w:right w:val="single" w:sz="8" w:color="2D53A6"/>
            </w:tcBorders>
            <w:shd w:val="clear" w:color="auto" w:fill="2D53A6"/>
          </w:tcPr>
          <w:p>
            <w:pPr>
              <w:spacing w:after="0"/>
              <w:rPr>
                <w:sz w:val="22"/>
                <w:szCs w:val="22"/>
                <w:color w:val="auto"/>
              </w:rPr>
            </w:pPr>
          </w:p>
        </w:tc>
        <w:tc>
          <w:tcPr>
            <w:tcW w:w="1720" w:type="dxa"/>
            <w:vAlign w:val="bottom"/>
            <w:tcBorders>
              <w:right w:val="single" w:sz="8" w:color="2D53A6"/>
            </w:tcBorders>
            <w:shd w:val="clear" w:color="auto" w:fill="2D53A6"/>
          </w:tcPr>
          <w:p>
            <w:pPr>
              <w:spacing w:after="0"/>
              <w:rPr>
                <w:sz w:val="22"/>
                <w:szCs w:val="22"/>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COBRA</w:t>
            </w:r>
          </w:p>
        </w:tc>
        <w:tc>
          <w:tcPr>
            <w:tcW w:w="1700" w:type="dxa"/>
            <w:vAlign w:val="bottom"/>
            <w:tcBorders>
              <w:right w:val="single" w:sz="8" w:color="2D53A6"/>
            </w:tcBorders>
            <w:shd w:val="clear" w:color="auto" w:fill="2D53A6"/>
          </w:tcPr>
          <w:p>
            <w:pPr>
              <w:spacing w:after="0"/>
              <w:rPr>
                <w:sz w:val="22"/>
                <w:szCs w:val="22"/>
                <w:color w:val="auto"/>
              </w:rPr>
            </w:pPr>
          </w:p>
        </w:tc>
        <w:tc>
          <w:tcPr>
            <w:tcW w:w="166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COBRA</w:t>
            </w:r>
          </w:p>
        </w:tc>
        <w:tc>
          <w:tcPr>
            <w:tcW w:w="0" w:type="dxa"/>
            <w:vAlign w:val="bottom"/>
          </w:tcPr>
          <w:p>
            <w:pPr>
              <w:spacing w:after="0"/>
              <w:rPr>
                <w:sz w:val="1"/>
                <w:szCs w:val="1"/>
                <w:color w:val="auto"/>
              </w:rPr>
            </w:pPr>
          </w:p>
        </w:tc>
      </w:tr>
      <w:tr>
        <w:trPr>
          <w:trHeight w:val="216"/>
        </w:trPr>
        <w:tc>
          <w:tcPr>
            <w:tcW w:w="450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20"/>
                <w:szCs w:val="20"/>
                <w:b w:val="1"/>
                <w:bCs w:val="1"/>
                <w:color w:val="FFFFFF"/>
              </w:rPr>
              <w:t>Named Executive Officer</w:t>
            </w:r>
          </w:p>
        </w:tc>
        <w:tc>
          <w:tcPr>
            <w:tcW w:w="1720" w:type="dxa"/>
            <w:vAlign w:val="bottom"/>
            <w:tcBorders>
              <w:right w:val="single" w:sz="8" w:color="2D53A6"/>
            </w:tcBorders>
            <w:vMerge w:val="restart"/>
            <w:shd w:val="clear" w:color="auto" w:fill="2D53A6"/>
          </w:tcPr>
          <w:p>
            <w:pPr>
              <w:ind w:left="400"/>
              <w:spacing w:after="0"/>
              <w:rPr>
                <w:sz w:val="20"/>
                <w:szCs w:val="20"/>
                <w:color w:val="auto"/>
              </w:rPr>
            </w:pPr>
            <w:r>
              <w:rPr>
                <w:rFonts w:ascii="Arial" w:cs="Arial" w:eastAsia="Arial" w:hAnsi="Arial"/>
                <w:sz w:val="20"/>
                <w:szCs w:val="20"/>
                <w:b w:val="1"/>
                <w:bCs w:val="1"/>
                <w:color w:val="FFFFFF"/>
              </w:rPr>
              <w:t>Multiplier</w:t>
            </w:r>
          </w:p>
        </w:tc>
        <w:tc>
          <w:tcPr>
            <w:tcW w:w="166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Premium</w:t>
            </w:r>
          </w:p>
        </w:tc>
        <w:tc>
          <w:tcPr>
            <w:tcW w:w="17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Multiplier</w:t>
            </w:r>
          </w:p>
        </w:tc>
        <w:tc>
          <w:tcPr>
            <w:tcW w:w="1660" w:type="dxa"/>
            <w:vAlign w:val="bottom"/>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Premium</w:t>
            </w:r>
          </w:p>
        </w:tc>
        <w:tc>
          <w:tcPr>
            <w:tcW w:w="0" w:type="dxa"/>
            <w:vAlign w:val="bottom"/>
          </w:tcPr>
          <w:p>
            <w:pPr>
              <w:spacing w:after="0"/>
              <w:rPr>
                <w:sz w:val="1"/>
                <w:szCs w:val="1"/>
                <w:color w:val="auto"/>
              </w:rPr>
            </w:pPr>
          </w:p>
        </w:tc>
      </w:tr>
      <w:tr>
        <w:trPr>
          <w:trHeight w:val="165"/>
        </w:trPr>
        <w:tc>
          <w:tcPr>
            <w:tcW w:w="4500" w:type="dxa"/>
            <w:vAlign w:val="bottom"/>
            <w:tcBorders>
              <w:right w:val="single" w:sz="8" w:color="2D53A6"/>
            </w:tcBorders>
            <w:vMerge w:val="continue"/>
            <w:shd w:val="clear" w:color="auto" w:fill="2D53A6"/>
          </w:tcPr>
          <w:p>
            <w:pPr>
              <w:spacing w:after="0"/>
              <w:rPr>
                <w:sz w:val="14"/>
                <w:szCs w:val="14"/>
                <w:color w:val="auto"/>
              </w:rPr>
            </w:pPr>
          </w:p>
        </w:tc>
        <w:tc>
          <w:tcPr>
            <w:tcW w:w="1720" w:type="dxa"/>
            <w:vAlign w:val="bottom"/>
            <w:tcBorders>
              <w:right w:val="single" w:sz="8" w:color="2D53A6"/>
            </w:tcBorders>
            <w:vMerge w:val="continue"/>
            <w:shd w:val="clear" w:color="auto" w:fill="2D53A6"/>
          </w:tcPr>
          <w:p>
            <w:pPr>
              <w:spacing w:after="0"/>
              <w:rPr>
                <w:sz w:val="14"/>
                <w:szCs w:val="14"/>
                <w:color w:val="auto"/>
              </w:rPr>
            </w:pPr>
          </w:p>
        </w:tc>
        <w:tc>
          <w:tcPr>
            <w:tcW w:w="166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Payment</w:t>
            </w:r>
          </w:p>
        </w:tc>
        <w:tc>
          <w:tcPr>
            <w:tcW w:w="1700" w:type="dxa"/>
            <w:vAlign w:val="bottom"/>
            <w:tcBorders>
              <w:right w:val="single" w:sz="8" w:color="2D53A6"/>
            </w:tcBorders>
            <w:vMerge w:val="continue"/>
            <w:shd w:val="clear" w:color="auto" w:fill="2D53A6"/>
          </w:tcPr>
          <w:p>
            <w:pPr>
              <w:spacing w:after="0"/>
              <w:rPr>
                <w:sz w:val="14"/>
                <w:szCs w:val="14"/>
                <w:color w:val="auto"/>
              </w:rPr>
            </w:pPr>
          </w:p>
        </w:tc>
        <w:tc>
          <w:tcPr>
            <w:tcW w:w="166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Payment</w:t>
            </w:r>
          </w:p>
        </w:tc>
        <w:tc>
          <w:tcPr>
            <w:tcW w:w="0" w:type="dxa"/>
            <w:vAlign w:val="bottom"/>
          </w:tcPr>
          <w:p>
            <w:pPr>
              <w:spacing w:after="0"/>
              <w:rPr>
                <w:sz w:val="1"/>
                <w:szCs w:val="1"/>
                <w:color w:val="auto"/>
              </w:rPr>
            </w:pPr>
          </w:p>
        </w:tc>
      </w:tr>
      <w:tr>
        <w:trPr>
          <w:trHeight w:val="51"/>
        </w:trPr>
        <w:tc>
          <w:tcPr>
            <w:tcW w:w="4500" w:type="dxa"/>
            <w:vAlign w:val="bottom"/>
            <w:tcBorders>
              <w:right w:val="single" w:sz="8" w:color="2D53A6"/>
            </w:tcBorders>
            <w:shd w:val="clear" w:color="auto" w:fill="2D53A6"/>
          </w:tcPr>
          <w:p>
            <w:pPr>
              <w:spacing w:after="0"/>
              <w:rPr>
                <w:sz w:val="4"/>
                <w:szCs w:val="4"/>
                <w:color w:val="auto"/>
              </w:rPr>
            </w:pPr>
          </w:p>
        </w:tc>
        <w:tc>
          <w:tcPr>
            <w:tcW w:w="1720" w:type="dxa"/>
            <w:vAlign w:val="bottom"/>
            <w:tcBorders>
              <w:right w:val="single" w:sz="8" w:color="2D53A6"/>
            </w:tcBorders>
            <w:shd w:val="clear" w:color="auto" w:fill="2D53A6"/>
          </w:tcPr>
          <w:p>
            <w:pPr>
              <w:spacing w:after="0"/>
              <w:rPr>
                <w:sz w:val="4"/>
                <w:szCs w:val="4"/>
                <w:color w:val="auto"/>
              </w:rPr>
            </w:pPr>
          </w:p>
        </w:tc>
        <w:tc>
          <w:tcPr>
            <w:tcW w:w="1660" w:type="dxa"/>
            <w:vAlign w:val="bottom"/>
            <w:tcBorders>
              <w:right w:val="single" w:sz="8" w:color="2D53A6"/>
            </w:tcBorders>
            <w:vMerge w:val="continue"/>
            <w:shd w:val="clear" w:color="auto" w:fill="2D53A6"/>
          </w:tcPr>
          <w:p>
            <w:pPr>
              <w:spacing w:after="0"/>
              <w:rPr>
                <w:sz w:val="4"/>
                <w:szCs w:val="4"/>
                <w:color w:val="auto"/>
              </w:rPr>
            </w:pPr>
          </w:p>
        </w:tc>
        <w:tc>
          <w:tcPr>
            <w:tcW w:w="1700" w:type="dxa"/>
            <w:vAlign w:val="bottom"/>
            <w:tcBorders>
              <w:right w:val="single" w:sz="8" w:color="2D53A6"/>
            </w:tcBorders>
            <w:shd w:val="clear" w:color="auto" w:fill="2D53A6"/>
          </w:tcPr>
          <w:p>
            <w:pPr>
              <w:spacing w:after="0"/>
              <w:rPr>
                <w:sz w:val="4"/>
                <w:szCs w:val="4"/>
                <w:color w:val="auto"/>
              </w:rPr>
            </w:pPr>
          </w:p>
        </w:tc>
        <w:tc>
          <w:tcPr>
            <w:tcW w:w="1660" w:type="dxa"/>
            <w:vAlign w:val="bottom"/>
            <w:vMerge w:val="continue"/>
            <w:shd w:val="clear" w:color="auto" w:fill="2D53A6"/>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4500" w:type="dxa"/>
            <w:vAlign w:val="bottom"/>
            <w:tcBorders>
              <w:bottom w:val="single" w:sz="8" w:color="2D53A6"/>
              <w:right w:val="single" w:sz="8" w:color="2D53A6"/>
            </w:tcBorders>
            <w:shd w:val="clear" w:color="auto" w:fill="2D53A6"/>
          </w:tcPr>
          <w:p>
            <w:pPr>
              <w:spacing w:after="0"/>
              <w:rPr>
                <w:sz w:val="23"/>
                <w:szCs w:val="23"/>
                <w:color w:val="auto"/>
              </w:rPr>
            </w:pPr>
          </w:p>
        </w:tc>
        <w:tc>
          <w:tcPr>
            <w:tcW w:w="1720" w:type="dxa"/>
            <w:vAlign w:val="bottom"/>
            <w:tcBorders>
              <w:bottom w:val="single" w:sz="8" w:color="2D53A6"/>
              <w:right w:val="single" w:sz="8" w:color="2D53A6"/>
            </w:tcBorders>
            <w:shd w:val="clear" w:color="auto" w:fill="2D53A6"/>
          </w:tcPr>
          <w:p>
            <w:pPr>
              <w:spacing w:after="0"/>
              <w:rPr>
                <w:sz w:val="23"/>
                <w:szCs w:val="23"/>
                <w:color w:val="auto"/>
              </w:rPr>
            </w:pPr>
          </w:p>
        </w:tc>
        <w:tc>
          <w:tcPr>
            <w:tcW w:w="16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Period</w:t>
            </w:r>
          </w:p>
        </w:tc>
        <w:tc>
          <w:tcPr>
            <w:tcW w:w="1700" w:type="dxa"/>
            <w:vAlign w:val="bottom"/>
            <w:tcBorders>
              <w:bottom w:val="single" w:sz="8" w:color="2D53A6"/>
              <w:right w:val="single" w:sz="8" w:color="2D53A6"/>
            </w:tcBorders>
            <w:shd w:val="clear" w:color="auto" w:fill="2D53A6"/>
          </w:tcPr>
          <w:p>
            <w:pPr>
              <w:spacing w:after="0"/>
              <w:rPr>
                <w:sz w:val="23"/>
                <w:szCs w:val="23"/>
                <w:color w:val="auto"/>
              </w:rPr>
            </w:pPr>
          </w:p>
        </w:tc>
        <w:tc>
          <w:tcPr>
            <w:tcW w:w="1660" w:type="dxa"/>
            <w:vAlign w:val="bottom"/>
            <w:tcBorders>
              <w:bottom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Period</w:t>
            </w:r>
          </w:p>
        </w:tc>
        <w:tc>
          <w:tcPr>
            <w:tcW w:w="0" w:type="dxa"/>
            <w:vAlign w:val="bottom"/>
          </w:tcPr>
          <w:p>
            <w:pPr>
              <w:spacing w:after="0"/>
              <w:rPr>
                <w:sz w:val="1"/>
                <w:szCs w:val="1"/>
                <w:color w:val="auto"/>
              </w:rPr>
            </w:pPr>
          </w:p>
        </w:tc>
      </w:tr>
      <w:tr>
        <w:trPr>
          <w:trHeight w:val="217"/>
        </w:trPr>
        <w:tc>
          <w:tcPr>
            <w:tcW w:w="4500" w:type="dxa"/>
            <w:vAlign w:val="bottom"/>
            <w:tcBorders>
              <w:right w:val="single" w:sz="8" w:color="2D53A6"/>
            </w:tcBorders>
          </w:tcPr>
          <w:p>
            <w:pPr>
              <w:ind w:left="40"/>
              <w:spacing w:after="0"/>
              <w:rPr>
                <w:sz w:val="20"/>
                <w:szCs w:val="20"/>
                <w:color w:val="auto"/>
              </w:rPr>
            </w:pPr>
            <w:r>
              <w:rPr>
                <w:rFonts w:ascii="Arial" w:cs="Arial" w:eastAsia="Arial" w:hAnsi="Arial"/>
                <w:sz w:val="16"/>
                <w:szCs w:val="16"/>
                <w:color w:val="auto"/>
              </w:rPr>
              <w:t>Luis A. Müller</w:t>
            </w:r>
          </w:p>
        </w:tc>
        <w:tc>
          <w:tcPr>
            <w:tcW w:w="1720" w:type="dxa"/>
            <w:vAlign w:val="bottom"/>
            <w:tcBorders>
              <w:right w:val="single" w:sz="8" w:color="2D53A6"/>
            </w:tcBorders>
            <w:vMerge w:val="restart"/>
          </w:tcPr>
          <w:p>
            <w:pPr>
              <w:ind w:left="640"/>
              <w:spacing w:after="0"/>
              <w:rPr>
                <w:sz w:val="20"/>
                <w:szCs w:val="20"/>
                <w:color w:val="auto"/>
              </w:rPr>
            </w:pPr>
            <w:r>
              <w:rPr>
                <w:rFonts w:ascii="Arial" w:cs="Arial" w:eastAsia="Arial" w:hAnsi="Arial"/>
                <w:sz w:val="16"/>
                <w:szCs w:val="16"/>
                <w:color w:val="auto"/>
              </w:rPr>
              <w:t>150%</w:t>
            </w:r>
          </w:p>
        </w:tc>
        <w:tc>
          <w:tcPr>
            <w:tcW w:w="1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6"/>
                <w:szCs w:val="16"/>
                <w:color w:val="auto"/>
              </w:rPr>
              <w:t>18 months</w:t>
            </w:r>
          </w:p>
        </w:tc>
        <w:tc>
          <w:tcPr>
            <w:tcW w:w="1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6"/>
                <w:szCs w:val="16"/>
                <w:color w:val="auto"/>
              </w:rPr>
              <w:t>200%</w:t>
            </w: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rPr>
              <w:t>24 months</w:t>
            </w:r>
          </w:p>
        </w:tc>
        <w:tc>
          <w:tcPr>
            <w:tcW w:w="0" w:type="dxa"/>
            <w:vAlign w:val="bottom"/>
          </w:tcPr>
          <w:p>
            <w:pPr>
              <w:spacing w:after="0"/>
              <w:rPr>
                <w:sz w:val="1"/>
                <w:szCs w:val="1"/>
                <w:color w:val="auto"/>
              </w:rPr>
            </w:pPr>
          </w:p>
        </w:tc>
      </w:tr>
      <w:tr>
        <w:trPr>
          <w:trHeight w:val="118"/>
        </w:trPr>
        <w:tc>
          <w:tcPr>
            <w:tcW w:w="450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6"/>
                <w:szCs w:val="16"/>
                <w:i w:val="1"/>
                <w:iCs w:val="1"/>
                <w:color w:val="auto"/>
              </w:rPr>
              <w:t>President &amp; CEO</w:t>
            </w:r>
          </w:p>
        </w:tc>
        <w:tc>
          <w:tcPr>
            <w:tcW w:w="1720" w:type="dxa"/>
            <w:vAlign w:val="bottom"/>
            <w:tcBorders>
              <w:right w:val="single" w:sz="8" w:color="2D53A6"/>
            </w:tcBorders>
            <w:vMerge w:val="continue"/>
          </w:tcPr>
          <w:p>
            <w:pPr>
              <w:spacing w:after="0"/>
              <w:rPr>
                <w:sz w:val="10"/>
                <w:szCs w:val="10"/>
                <w:color w:val="auto"/>
              </w:rPr>
            </w:pPr>
          </w:p>
        </w:tc>
        <w:tc>
          <w:tcPr>
            <w:tcW w:w="1660" w:type="dxa"/>
            <w:vAlign w:val="bottom"/>
            <w:tcBorders>
              <w:right w:val="single" w:sz="8" w:color="2D53A6"/>
            </w:tcBorders>
            <w:vMerge w:val="continue"/>
          </w:tcPr>
          <w:p>
            <w:pPr>
              <w:spacing w:after="0"/>
              <w:rPr>
                <w:sz w:val="10"/>
                <w:szCs w:val="10"/>
                <w:color w:val="auto"/>
              </w:rPr>
            </w:pPr>
          </w:p>
        </w:tc>
        <w:tc>
          <w:tcPr>
            <w:tcW w:w="1700" w:type="dxa"/>
            <w:vAlign w:val="bottom"/>
            <w:tcBorders>
              <w:right w:val="single" w:sz="8" w:color="2D53A6"/>
            </w:tcBorders>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00" w:type="dxa"/>
            <w:vAlign w:val="bottom"/>
            <w:tcBorders>
              <w:right w:val="single" w:sz="8" w:color="2D53A6"/>
            </w:tcBorders>
            <w:vMerge w:val="continue"/>
          </w:tcPr>
          <w:p>
            <w:pPr>
              <w:spacing w:after="0"/>
              <w:rPr>
                <w:sz w:val="8"/>
                <w:szCs w:val="8"/>
                <w:color w:val="auto"/>
              </w:rPr>
            </w:pPr>
          </w:p>
        </w:tc>
        <w:tc>
          <w:tcPr>
            <w:tcW w:w="1720" w:type="dxa"/>
            <w:vAlign w:val="bottom"/>
            <w:tcBorders>
              <w:right w:val="single" w:sz="8" w:color="2D53A6"/>
            </w:tcBorders>
          </w:tcPr>
          <w:p>
            <w:pPr>
              <w:spacing w:after="0"/>
              <w:rPr>
                <w:sz w:val="8"/>
                <w:szCs w:val="8"/>
                <w:color w:val="auto"/>
              </w:rPr>
            </w:pPr>
          </w:p>
        </w:tc>
        <w:tc>
          <w:tcPr>
            <w:tcW w:w="1660" w:type="dxa"/>
            <w:vAlign w:val="bottom"/>
            <w:tcBorders>
              <w:right w:val="single" w:sz="8" w:color="2D53A6"/>
            </w:tcBorders>
          </w:tcPr>
          <w:p>
            <w:pPr>
              <w:spacing w:after="0"/>
              <w:rPr>
                <w:sz w:val="8"/>
                <w:szCs w:val="8"/>
                <w:color w:val="auto"/>
              </w:rPr>
            </w:pPr>
          </w:p>
        </w:tc>
        <w:tc>
          <w:tcPr>
            <w:tcW w:w="1700" w:type="dxa"/>
            <w:vAlign w:val="bottom"/>
            <w:tcBorders>
              <w:right w:val="single" w:sz="8" w:color="2D53A6"/>
            </w:tcBorders>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500" w:type="dxa"/>
            <w:vAlign w:val="bottom"/>
            <w:tcBorders>
              <w:bottom w:val="single" w:sz="8" w:color="2D53A6"/>
              <w:right w:val="single" w:sz="8" w:color="2D53A6"/>
            </w:tcBorders>
          </w:tcPr>
          <w:p>
            <w:pPr>
              <w:spacing w:after="0"/>
              <w:rPr>
                <w:sz w:val="2"/>
                <w:szCs w:val="2"/>
                <w:color w:val="auto"/>
              </w:rPr>
            </w:pPr>
          </w:p>
        </w:tc>
        <w:tc>
          <w:tcPr>
            <w:tcW w:w="1720" w:type="dxa"/>
            <w:vAlign w:val="bottom"/>
            <w:tcBorders>
              <w:bottom w:val="single" w:sz="8" w:color="2D53A6"/>
              <w:right w:val="single" w:sz="8" w:color="2D53A6"/>
            </w:tcBorders>
          </w:tcPr>
          <w:p>
            <w:pPr>
              <w:spacing w:after="0"/>
              <w:rPr>
                <w:sz w:val="2"/>
                <w:szCs w:val="2"/>
                <w:color w:val="auto"/>
              </w:rPr>
            </w:pPr>
          </w:p>
        </w:tc>
        <w:tc>
          <w:tcPr>
            <w:tcW w:w="1660" w:type="dxa"/>
            <w:vAlign w:val="bottom"/>
            <w:tcBorders>
              <w:bottom w:val="single" w:sz="8" w:color="2D53A6"/>
              <w:right w:val="single" w:sz="8" w:color="2D53A6"/>
            </w:tcBorders>
          </w:tcPr>
          <w:p>
            <w:pPr>
              <w:spacing w:after="0"/>
              <w:rPr>
                <w:sz w:val="2"/>
                <w:szCs w:val="2"/>
                <w:color w:val="auto"/>
              </w:rPr>
            </w:pPr>
          </w:p>
        </w:tc>
        <w:tc>
          <w:tcPr>
            <w:tcW w:w="1700" w:type="dxa"/>
            <w:vAlign w:val="bottom"/>
            <w:tcBorders>
              <w:bottom w:val="single" w:sz="8" w:color="2D53A6"/>
              <w:right w:val="single" w:sz="8" w:color="2D53A6"/>
            </w:tcBorders>
          </w:tcPr>
          <w:p>
            <w:pPr>
              <w:spacing w:after="0"/>
              <w:rPr>
                <w:sz w:val="2"/>
                <w:szCs w:val="2"/>
                <w:color w:val="auto"/>
              </w:rPr>
            </w:pPr>
          </w:p>
        </w:tc>
        <w:tc>
          <w:tcPr>
            <w:tcW w:w="16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00" w:type="dxa"/>
            <w:vAlign w:val="bottom"/>
            <w:tcBorders>
              <w:right w:val="single" w:sz="8" w:color="2D53A6"/>
            </w:tcBorders>
            <w:shd w:val="clear" w:color="auto" w:fill="E6E6E6"/>
          </w:tcPr>
          <w:p>
            <w:pPr>
              <w:ind w:left="40"/>
              <w:spacing w:after="0"/>
              <w:rPr>
                <w:sz w:val="20"/>
                <w:szCs w:val="20"/>
                <w:color w:val="auto"/>
              </w:rPr>
            </w:pPr>
            <w:r>
              <w:rPr>
                <w:rFonts w:ascii="Arial" w:cs="Arial" w:eastAsia="Arial" w:hAnsi="Arial"/>
                <w:sz w:val="16"/>
                <w:szCs w:val="16"/>
                <w:color w:val="auto"/>
              </w:rPr>
              <w:t>Jeffrey D. Jones</w:t>
            </w:r>
          </w:p>
        </w:tc>
        <w:tc>
          <w:tcPr>
            <w:tcW w:w="1720" w:type="dxa"/>
            <w:vAlign w:val="bottom"/>
            <w:tcBorders>
              <w:right w:val="single" w:sz="8" w:color="2D53A6"/>
            </w:tcBorders>
            <w:vMerge w:val="restart"/>
            <w:shd w:val="clear" w:color="auto" w:fill="E6E6E6"/>
          </w:tcPr>
          <w:p>
            <w:pPr>
              <w:ind w:left="640"/>
              <w:spacing w:after="0"/>
              <w:rPr>
                <w:sz w:val="20"/>
                <w:szCs w:val="20"/>
                <w:color w:val="auto"/>
              </w:rPr>
            </w:pPr>
            <w:r>
              <w:rPr>
                <w:rFonts w:ascii="Arial" w:cs="Arial" w:eastAsia="Arial" w:hAnsi="Arial"/>
                <w:sz w:val="16"/>
                <w:szCs w:val="16"/>
                <w:color w:val="auto"/>
              </w:rPr>
              <w:t>100%</w:t>
            </w:r>
          </w:p>
        </w:tc>
        <w:tc>
          <w:tcPr>
            <w:tcW w:w="16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12 months</w:t>
            </w:r>
          </w:p>
        </w:tc>
        <w:tc>
          <w:tcPr>
            <w:tcW w:w="1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150%</w:t>
            </w:r>
          </w:p>
        </w:tc>
        <w:tc>
          <w:tcPr>
            <w:tcW w:w="1660" w:type="dxa"/>
            <w:vAlign w:val="bottom"/>
            <w:vMerge w:val="restart"/>
            <w:shd w:val="clear" w:color="auto" w:fill="E6E6E6"/>
          </w:tcPr>
          <w:p>
            <w:pPr>
              <w:jc w:val="center"/>
              <w:spacing w:after="0"/>
              <w:rPr>
                <w:sz w:val="20"/>
                <w:szCs w:val="20"/>
                <w:color w:val="auto"/>
              </w:rPr>
            </w:pPr>
            <w:r>
              <w:rPr>
                <w:rFonts w:ascii="Arial" w:cs="Arial" w:eastAsia="Arial" w:hAnsi="Arial"/>
                <w:sz w:val="16"/>
                <w:szCs w:val="16"/>
                <w:color w:val="auto"/>
              </w:rPr>
              <w:t>18 months</w:t>
            </w:r>
          </w:p>
        </w:tc>
        <w:tc>
          <w:tcPr>
            <w:tcW w:w="0" w:type="dxa"/>
            <w:vAlign w:val="bottom"/>
          </w:tcPr>
          <w:p>
            <w:pPr>
              <w:spacing w:after="0"/>
              <w:rPr>
                <w:sz w:val="1"/>
                <w:szCs w:val="1"/>
                <w:color w:val="auto"/>
              </w:rPr>
            </w:pPr>
          </w:p>
        </w:tc>
      </w:tr>
      <w:tr>
        <w:trPr>
          <w:trHeight w:val="118"/>
        </w:trPr>
        <w:tc>
          <w:tcPr>
            <w:tcW w:w="4500" w:type="dxa"/>
            <w:vAlign w:val="bottom"/>
            <w:tcBorders>
              <w:right w:val="single" w:sz="8" w:color="2D53A6"/>
            </w:tcBorders>
            <w:vMerge w:val="restart"/>
            <w:shd w:val="clear" w:color="auto" w:fill="E6E6E6"/>
          </w:tcPr>
          <w:p>
            <w:pPr>
              <w:ind w:left="40"/>
              <w:spacing w:after="0"/>
              <w:rPr>
                <w:sz w:val="20"/>
                <w:szCs w:val="20"/>
                <w:color w:val="auto"/>
              </w:rPr>
            </w:pPr>
            <w:r>
              <w:rPr>
                <w:rFonts w:ascii="Arial" w:cs="Arial" w:eastAsia="Arial" w:hAnsi="Arial"/>
                <w:sz w:val="16"/>
                <w:szCs w:val="16"/>
                <w:i w:val="1"/>
                <w:iCs w:val="1"/>
                <w:color w:val="auto"/>
              </w:rPr>
              <w:t>Sr. Vice President, Finance &amp; Chief Financial Officer</w:t>
            </w:r>
          </w:p>
        </w:tc>
        <w:tc>
          <w:tcPr>
            <w:tcW w:w="1720" w:type="dxa"/>
            <w:vAlign w:val="bottom"/>
            <w:tcBorders>
              <w:right w:val="single" w:sz="8" w:color="2D53A6"/>
            </w:tcBorders>
            <w:vMerge w:val="continue"/>
            <w:shd w:val="clear" w:color="auto" w:fill="E6E6E6"/>
          </w:tcPr>
          <w:p>
            <w:pPr>
              <w:spacing w:after="0"/>
              <w:rPr>
                <w:sz w:val="10"/>
                <w:szCs w:val="10"/>
                <w:color w:val="auto"/>
              </w:rPr>
            </w:pPr>
          </w:p>
        </w:tc>
        <w:tc>
          <w:tcPr>
            <w:tcW w:w="1660" w:type="dxa"/>
            <w:vAlign w:val="bottom"/>
            <w:tcBorders>
              <w:right w:val="single" w:sz="8" w:color="2D53A6"/>
            </w:tcBorders>
            <w:vMerge w:val="continue"/>
            <w:shd w:val="clear" w:color="auto" w:fill="E6E6E6"/>
          </w:tcPr>
          <w:p>
            <w:pPr>
              <w:spacing w:after="0"/>
              <w:rPr>
                <w:sz w:val="10"/>
                <w:szCs w:val="10"/>
                <w:color w:val="auto"/>
              </w:rPr>
            </w:pPr>
          </w:p>
        </w:tc>
        <w:tc>
          <w:tcPr>
            <w:tcW w:w="1700" w:type="dxa"/>
            <w:vAlign w:val="bottom"/>
            <w:tcBorders>
              <w:right w:val="single" w:sz="8" w:color="2D53A6"/>
            </w:tcBorders>
            <w:vMerge w:val="continue"/>
            <w:shd w:val="clear" w:color="auto" w:fill="E6E6E6"/>
          </w:tcPr>
          <w:p>
            <w:pPr>
              <w:spacing w:after="0"/>
              <w:rPr>
                <w:sz w:val="10"/>
                <w:szCs w:val="10"/>
                <w:color w:val="auto"/>
              </w:rPr>
            </w:pPr>
          </w:p>
        </w:tc>
        <w:tc>
          <w:tcPr>
            <w:tcW w:w="1660" w:type="dxa"/>
            <w:vAlign w:val="bottom"/>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00" w:type="dxa"/>
            <w:vAlign w:val="bottom"/>
            <w:tcBorders>
              <w:bottom w:val="single" w:sz="8" w:color="E6E6E6"/>
              <w:right w:val="single" w:sz="8" w:color="2D53A6"/>
            </w:tcBorders>
            <w:vMerge w:val="continue"/>
            <w:shd w:val="clear" w:color="auto" w:fill="E6E6E6"/>
          </w:tcPr>
          <w:p>
            <w:pPr>
              <w:spacing w:after="0"/>
              <w:rPr>
                <w:sz w:val="10"/>
                <w:szCs w:val="10"/>
                <w:color w:val="auto"/>
              </w:rPr>
            </w:pPr>
          </w:p>
        </w:tc>
        <w:tc>
          <w:tcPr>
            <w:tcW w:w="1720" w:type="dxa"/>
            <w:vAlign w:val="bottom"/>
            <w:tcBorders>
              <w:bottom w:val="single" w:sz="8" w:color="E6E6E6"/>
              <w:right w:val="single" w:sz="8" w:color="2D53A6"/>
            </w:tcBorders>
            <w:shd w:val="clear" w:color="auto" w:fill="E6E6E6"/>
          </w:tcPr>
          <w:p>
            <w:pPr>
              <w:spacing w:after="0"/>
              <w:rPr>
                <w:sz w:val="10"/>
                <w:szCs w:val="10"/>
                <w:color w:val="auto"/>
              </w:rPr>
            </w:pPr>
          </w:p>
        </w:tc>
        <w:tc>
          <w:tcPr>
            <w:tcW w:w="1660" w:type="dxa"/>
            <w:vAlign w:val="bottom"/>
            <w:tcBorders>
              <w:bottom w:val="single" w:sz="8" w:color="E6E6E6"/>
              <w:right w:val="single" w:sz="8" w:color="2D53A6"/>
            </w:tcBorders>
            <w:shd w:val="clear" w:color="auto" w:fill="E6E6E6"/>
          </w:tcPr>
          <w:p>
            <w:pPr>
              <w:spacing w:after="0"/>
              <w:rPr>
                <w:sz w:val="10"/>
                <w:szCs w:val="10"/>
                <w:color w:val="auto"/>
              </w:rPr>
            </w:pPr>
          </w:p>
        </w:tc>
        <w:tc>
          <w:tcPr>
            <w:tcW w:w="1700" w:type="dxa"/>
            <w:vAlign w:val="bottom"/>
            <w:tcBorders>
              <w:bottom w:val="single" w:sz="8" w:color="E6E6E6"/>
              <w:right w:val="single" w:sz="8" w:color="2D53A6"/>
            </w:tcBorders>
            <w:shd w:val="clear" w:color="auto" w:fill="E6E6E6"/>
          </w:tcPr>
          <w:p>
            <w:pPr>
              <w:spacing w:after="0"/>
              <w:rPr>
                <w:sz w:val="10"/>
                <w:szCs w:val="10"/>
                <w:color w:val="auto"/>
              </w:rPr>
            </w:pPr>
          </w:p>
        </w:tc>
        <w:tc>
          <w:tcPr>
            <w:tcW w:w="1660" w:type="dxa"/>
            <w:vAlign w:val="bottom"/>
            <w:tcBorders>
              <w:bottom w:val="single" w:sz="8" w:color="E6E6E6"/>
            </w:tcBorders>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45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6"/>
                <w:szCs w:val="16"/>
                <w:color w:val="auto"/>
              </w:rPr>
              <w:t>Christopher G. Bohrson</w:t>
            </w:r>
          </w:p>
        </w:tc>
        <w:tc>
          <w:tcPr>
            <w:tcW w:w="1720" w:type="dxa"/>
            <w:vAlign w:val="bottom"/>
            <w:tcBorders>
              <w:top w:val="single" w:sz="8" w:color="2D53A6"/>
              <w:right w:val="single" w:sz="8" w:color="2D53A6"/>
            </w:tcBorders>
            <w:vMerge w:val="restart"/>
          </w:tcPr>
          <w:p>
            <w:pPr>
              <w:ind w:left="640"/>
              <w:spacing w:after="0"/>
              <w:rPr>
                <w:sz w:val="20"/>
                <w:szCs w:val="20"/>
                <w:color w:val="auto"/>
              </w:rPr>
            </w:pPr>
            <w:r>
              <w:rPr>
                <w:rFonts w:ascii="Arial" w:cs="Arial" w:eastAsia="Arial" w:hAnsi="Arial"/>
                <w:sz w:val="16"/>
                <w:szCs w:val="16"/>
                <w:color w:val="auto"/>
              </w:rPr>
              <w:t>100%</w:t>
            </w:r>
          </w:p>
        </w:tc>
        <w:tc>
          <w:tcPr>
            <w:tcW w:w="166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6"/>
                <w:szCs w:val="16"/>
                <w:color w:val="auto"/>
              </w:rPr>
              <w:t>12 months</w:t>
            </w:r>
          </w:p>
        </w:tc>
        <w:tc>
          <w:tcPr>
            <w:tcW w:w="170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6"/>
                <w:szCs w:val="16"/>
                <w:color w:val="auto"/>
              </w:rPr>
              <w:t>150%</w:t>
            </w:r>
          </w:p>
        </w:tc>
        <w:tc>
          <w:tcPr>
            <w:tcW w:w="1660" w:type="dxa"/>
            <w:vAlign w:val="bottom"/>
            <w:tcBorders>
              <w:top w:val="single" w:sz="8" w:color="2D53A6"/>
            </w:tcBorders>
            <w:vMerge w:val="restart"/>
          </w:tcPr>
          <w:p>
            <w:pPr>
              <w:jc w:val="center"/>
              <w:spacing w:after="0"/>
              <w:rPr>
                <w:sz w:val="20"/>
                <w:szCs w:val="20"/>
                <w:color w:val="auto"/>
              </w:rPr>
            </w:pPr>
            <w:r>
              <w:rPr>
                <w:rFonts w:ascii="Arial" w:cs="Arial" w:eastAsia="Arial" w:hAnsi="Arial"/>
                <w:sz w:val="16"/>
                <w:szCs w:val="16"/>
                <w:color w:val="auto"/>
              </w:rPr>
              <w:t>18 months</w:t>
            </w:r>
          </w:p>
        </w:tc>
        <w:tc>
          <w:tcPr>
            <w:tcW w:w="0" w:type="dxa"/>
            <w:vAlign w:val="bottom"/>
          </w:tcPr>
          <w:p>
            <w:pPr>
              <w:spacing w:after="0"/>
              <w:rPr>
                <w:sz w:val="1"/>
                <w:szCs w:val="1"/>
                <w:color w:val="auto"/>
              </w:rPr>
            </w:pPr>
          </w:p>
        </w:tc>
      </w:tr>
      <w:tr>
        <w:trPr>
          <w:trHeight w:val="118"/>
        </w:trPr>
        <w:tc>
          <w:tcPr>
            <w:tcW w:w="450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6"/>
                <w:szCs w:val="16"/>
                <w:i w:val="1"/>
                <w:iCs w:val="1"/>
                <w:color w:val="auto"/>
              </w:rPr>
              <w:t>Sr. Vice President, Chief Customer Officer</w:t>
            </w:r>
          </w:p>
        </w:tc>
        <w:tc>
          <w:tcPr>
            <w:tcW w:w="1720" w:type="dxa"/>
            <w:vAlign w:val="bottom"/>
            <w:tcBorders>
              <w:right w:val="single" w:sz="8" w:color="2D53A6"/>
            </w:tcBorders>
            <w:vMerge w:val="continue"/>
          </w:tcPr>
          <w:p>
            <w:pPr>
              <w:spacing w:after="0"/>
              <w:rPr>
                <w:sz w:val="10"/>
                <w:szCs w:val="10"/>
                <w:color w:val="auto"/>
              </w:rPr>
            </w:pPr>
          </w:p>
        </w:tc>
        <w:tc>
          <w:tcPr>
            <w:tcW w:w="1660" w:type="dxa"/>
            <w:vAlign w:val="bottom"/>
            <w:tcBorders>
              <w:right w:val="single" w:sz="8" w:color="2D53A6"/>
            </w:tcBorders>
            <w:vMerge w:val="continue"/>
          </w:tcPr>
          <w:p>
            <w:pPr>
              <w:spacing w:after="0"/>
              <w:rPr>
                <w:sz w:val="10"/>
                <w:szCs w:val="10"/>
                <w:color w:val="auto"/>
              </w:rPr>
            </w:pPr>
          </w:p>
        </w:tc>
        <w:tc>
          <w:tcPr>
            <w:tcW w:w="1700" w:type="dxa"/>
            <w:vAlign w:val="bottom"/>
            <w:tcBorders>
              <w:right w:val="single" w:sz="8" w:color="2D53A6"/>
            </w:tcBorders>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00" w:type="dxa"/>
            <w:vAlign w:val="bottom"/>
            <w:tcBorders>
              <w:right w:val="single" w:sz="8" w:color="2D53A6"/>
            </w:tcBorders>
            <w:vMerge w:val="continue"/>
          </w:tcPr>
          <w:p>
            <w:pPr>
              <w:spacing w:after="0"/>
              <w:rPr>
                <w:sz w:val="8"/>
                <w:szCs w:val="8"/>
                <w:color w:val="auto"/>
              </w:rPr>
            </w:pPr>
          </w:p>
        </w:tc>
        <w:tc>
          <w:tcPr>
            <w:tcW w:w="1720" w:type="dxa"/>
            <w:vAlign w:val="bottom"/>
            <w:tcBorders>
              <w:right w:val="single" w:sz="8" w:color="2D53A6"/>
            </w:tcBorders>
          </w:tcPr>
          <w:p>
            <w:pPr>
              <w:spacing w:after="0"/>
              <w:rPr>
                <w:sz w:val="8"/>
                <w:szCs w:val="8"/>
                <w:color w:val="auto"/>
              </w:rPr>
            </w:pPr>
          </w:p>
        </w:tc>
        <w:tc>
          <w:tcPr>
            <w:tcW w:w="1660" w:type="dxa"/>
            <w:vAlign w:val="bottom"/>
            <w:tcBorders>
              <w:right w:val="single" w:sz="8" w:color="2D53A6"/>
            </w:tcBorders>
          </w:tcPr>
          <w:p>
            <w:pPr>
              <w:spacing w:after="0"/>
              <w:rPr>
                <w:sz w:val="8"/>
                <w:szCs w:val="8"/>
                <w:color w:val="auto"/>
              </w:rPr>
            </w:pPr>
          </w:p>
        </w:tc>
        <w:tc>
          <w:tcPr>
            <w:tcW w:w="1700" w:type="dxa"/>
            <w:vAlign w:val="bottom"/>
            <w:tcBorders>
              <w:right w:val="single" w:sz="8" w:color="2D53A6"/>
            </w:tcBorders>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500" w:type="dxa"/>
            <w:vAlign w:val="bottom"/>
            <w:tcBorders>
              <w:bottom w:val="single" w:sz="8" w:color="2D53A6"/>
              <w:right w:val="single" w:sz="8" w:color="2D53A6"/>
            </w:tcBorders>
          </w:tcPr>
          <w:p>
            <w:pPr>
              <w:spacing w:after="0"/>
              <w:rPr>
                <w:sz w:val="2"/>
                <w:szCs w:val="2"/>
                <w:color w:val="auto"/>
              </w:rPr>
            </w:pPr>
          </w:p>
        </w:tc>
        <w:tc>
          <w:tcPr>
            <w:tcW w:w="1720" w:type="dxa"/>
            <w:vAlign w:val="bottom"/>
            <w:tcBorders>
              <w:bottom w:val="single" w:sz="8" w:color="2D53A6"/>
              <w:right w:val="single" w:sz="8" w:color="2D53A6"/>
            </w:tcBorders>
          </w:tcPr>
          <w:p>
            <w:pPr>
              <w:spacing w:after="0"/>
              <w:rPr>
                <w:sz w:val="2"/>
                <w:szCs w:val="2"/>
                <w:color w:val="auto"/>
              </w:rPr>
            </w:pPr>
          </w:p>
        </w:tc>
        <w:tc>
          <w:tcPr>
            <w:tcW w:w="1660" w:type="dxa"/>
            <w:vAlign w:val="bottom"/>
            <w:tcBorders>
              <w:bottom w:val="single" w:sz="8" w:color="2D53A6"/>
              <w:right w:val="single" w:sz="8" w:color="2D53A6"/>
            </w:tcBorders>
          </w:tcPr>
          <w:p>
            <w:pPr>
              <w:spacing w:after="0"/>
              <w:rPr>
                <w:sz w:val="2"/>
                <w:szCs w:val="2"/>
                <w:color w:val="auto"/>
              </w:rPr>
            </w:pPr>
          </w:p>
        </w:tc>
        <w:tc>
          <w:tcPr>
            <w:tcW w:w="1700" w:type="dxa"/>
            <w:vAlign w:val="bottom"/>
            <w:tcBorders>
              <w:bottom w:val="single" w:sz="8" w:color="2D53A6"/>
              <w:right w:val="single" w:sz="8" w:color="2D53A6"/>
            </w:tcBorders>
          </w:tcPr>
          <w:p>
            <w:pPr>
              <w:spacing w:after="0"/>
              <w:rPr>
                <w:sz w:val="2"/>
                <w:szCs w:val="2"/>
                <w:color w:val="auto"/>
              </w:rPr>
            </w:pPr>
          </w:p>
        </w:tc>
        <w:tc>
          <w:tcPr>
            <w:tcW w:w="16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00" w:type="dxa"/>
            <w:vAlign w:val="bottom"/>
            <w:tcBorders>
              <w:right w:val="single" w:sz="8" w:color="2D53A6"/>
            </w:tcBorders>
            <w:shd w:val="clear" w:color="auto" w:fill="E6E6E6"/>
          </w:tcPr>
          <w:p>
            <w:pPr>
              <w:ind w:left="40"/>
              <w:spacing w:after="0"/>
              <w:rPr>
                <w:sz w:val="20"/>
                <w:szCs w:val="20"/>
                <w:color w:val="auto"/>
              </w:rPr>
            </w:pPr>
            <w:r>
              <w:rPr>
                <w:rFonts w:ascii="Arial" w:cs="Arial" w:eastAsia="Arial" w:hAnsi="Arial"/>
                <w:sz w:val="16"/>
                <w:szCs w:val="16"/>
                <w:color w:val="auto"/>
              </w:rPr>
              <w:t>Klaus Ilgenfritz</w:t>
            </w:r>
          </w:p>
        </w:tc>
        <w:tc>
          <w:tcPr>
            <w:tcW w:w="1720" w:type="dxa"/>
            <w:vAlign w:val="bottom"/>
            <w:tcBorders>
              <w:right w:val="single" w:sz="8" w:color="2D53A6"/>
            </w:tcBorders>
            <w:vMerge w:val="restart"/>
            <w:shd w:val="clear" w:color="auto" w:fill="E6E6E6"/>
          </w:tcPr>
          <w:p>
            <w:pPr>
              <w:ind w:left="620"/>
              <w:spacing w:after="0"/>
              <w:rPr>
                <w:sz w:val="20"/>
                <w:szCs w:val="20"/>
                <w:color w:val="auto"/>
              </w:rPr>
            </w:pPr>
            <w:r>
              <w:rPr>
                <w:rFonts w:ascii="Arial" w:cs="Arial" w:eastAsia="Arial" w:hAnsi="Arial"/>
                <w:sz w:val="16"/>
                <w:szCs w:val="16"/>
                <w:color w:val="auto"/>
              </w:rPr>
              <w:t>N/A</w:t>
            </w:r>
            <w:r>
              <w:rPr>
                <w:rFonts w:ascii="Arial" w:cs="Arial" w:eastAsia="Arial" w:hAnsi="Arial"/>
                <w:sz w:val="13"/>
                <w:szCs w:val="13"/>
                <w:color w:val="auto"/>
              </w:rPr>
              <w:t>(1)</w:t>
            </w:r>
          </w:p>
        </w:tc>
        <w:tc>
          <w:tcPr>
            <w:tcW w:w="16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N/A</w:t>
            </w:r>
            <w:r>
              <w:rPr>
                <w:rFonts w:ascii="Arial" w:cs="Arial" w:eastAsia="Arial" w:hAnsi="Arial"/>
                <w:sz w:val="13"/>
                <w:szCs w:val="13"/>
                <w:color w:val="auto"/>
              </w:rPr>
              <w:t>(2)</w:t>
            </w:r>
          </w:p>
        </w:tc>
        <w:tc>
          <w:tcPr>
            <w:tcW w:w="1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150%</w:t>
            </w:r>
          </w:p>
        </w:tc>
        <w:tc>
          <w:tcPr>
            <w:tcW w:w="1660" w:type="dxa"/>
            <w:vAlign w:val="bottom"/>
            <w:vMerge w:val="restart"/>
            <w:shd w:val="clear" w:color="auto" w:fill="E6E6E6"/>
          </w:tcPr>
          <w:p>
            <w:pPr>
              <w:jc w:val="center"/>
              <w:spacing w:after="0"/>
              <w:rPr>
                <w:sz w:val="20"/>
                <w:szCs w:val="20"/>
                <w:color w:val="auto"/>
              </w:rPr>
            </w:pPr>
            <w:r>
              <w:rPr>
                <w:rFonts w:ascii="Arial" w:cs="Arial" w:eastAsia="Arial" w:hAnsi="Arial"/>
                <w:sz w:val="16"/>
                <w:szCs w:val="16"/>
                <w:color w:val="auto"/>
              </w:rPr>
              <w:t>N/A</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18"/>
        </w:trPr>
        <w:tc>
          <w:tcPr>
            <w:tcW w:w="4500" w:type="dxa"/>
            <w:vAlign w:val="bottom"/>
            <w:tcBorders>
              <w:right w:val="single" w:sz="8" w:color="2D53A6"/>
            </w:tcBorders>
            <w:vMerge w:val="restart"/>
            <w:shd w:val="clear" w:color="auto" w:fill="E6E6E6"/>
          </w:tcPr>
          <w:p>
            <w:pPr>
              <w:ind w:left="40"/>
              <w:spacing w:after="0"/>
              <w:rPr>
                <w:sz w:val="20"/>
                <w:szCs w:val="20"/>
                <w:color w:val="auto"/>
              </w:rPr>
            </w:pPr>
            <w:r>
              <w:rPr>
                <w:rFonts w:ascii="Arial" w:cs="Arial" w:eastAsia="Arial" w:hAnsi="Arial"/>
                <w:sz w:val="16"/>
                <w:szCs w:val="16"/>
                <w:i w:val="1"/>
                <w:iCs w:val="1"/>
                <w:color w:val="auto"/>
              </w:rPr>
              <w:t>Sr. Vice President, Chief Product Officer</w:t>
            </w:r>
          </w:p>
        </w:tc>
        <w:tc>
          <w:tcPr>
            <w:tcW w:w="1720" w:type="dxa"/>
            <w:vAlign w:val="bottom"/>
            <w:tcBorders>
              <w:right w:val="single" w:sz="8" w:color="2D53A6"/>
            </w:tcBorders>
            <w:vMerge w:val="continue"/>
            <w:shd w:val="clear" w:color="auto" w:fill="E6E6E6"/>
          </w:tcPr>
          <w:p>
            <w:pPr>
              <w:spacing w:after="0"/>
              <w:rPr>
                <w:sz w:val="10"/>
                <w:szCs w:val="10"/>
                <w:color w:val="auto"/>
              </w:rPr>
            </w:pPr>
          </w:p>
        </w:tc>
        <w:tc>
          <w:tcPr>
            <w:tcW w:w="1660" w:type="dxa"/>
            <w:vAlign w:val="bottom"/>
            <w:tcBorders>
              <w:right w:val="single" w:sz="8" w:color="2D53A6"/>
            </w:tcBorders>
            <w:vMerge w:val="continue"/>
            <w:shd w:val="clear" w:color="auto" w:fill="E6E6E6"/>
          </w:tcPr>
          <w:p>
            <w:pPr>
              <w:spacing w:after="0"/>
              <w:rPr>
                <w:sz w:val="10"/>
                <w:szCs w:val="10"/>
                <w:color w:val="auto"/>
              </w:rPr>
            </w:pPr>
          </w:p>
        </w:tc>
        <w:tc>
          <w:tcPr>
            <w:tcW w:w="1700" w:type="dxa"/>
            <w:vAlign w:val="bottom"/>
            <w:tcBorders>
              <w:right w:val="single" w:sz="8" w:color="2D53A6"/>
            </w:tcBorders>
            <w:vMerge w:val="continue"/>
            <w:shd w:val="clear" w:color="auto" w:fill="E6E6E6"/>
          </w:tcPr>
          <w:p>
            <w:pPr>
              <w:spacing w:after="0"/>
              <w:rPr>
                <w:sz w:val="10"/>
                <w:szCs w:val="10"/>
                <w:color w:val="auto"/>
              </w:rPr>
            </w:pPr>
          </w:p>
        </w:tc>
        <w:tc>
          <w:tcPr>
            <w:tcW w:w="1660" w:type="dxa"/>
            <w:vAlign w:val="bottom"/>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500" w:type="dxa"/>
            <w:vAlign w:val="bottom"/>
            <w:tcBorders>
              <w:bottom w:val="single" w:sz="8" w:color="E6E6E6"/>
              <w:right w:val="single" w:sz="8" w:color="2D53A6"/>
            </w:tcBorders>
            <w:vMerge w:val="continue"/>
            <w:shd w:val="clear" w:color="auto" w:fill="E6E6E6"/>
          </w:tcPr>
          <w:p>
            <w:pPr>
              <w:spacing w:after="0"/>
              <w:rPr>
                <w:sz w:val="9"/>
                <w:szCs w:val="9"/>
                <w:color w:val="auto"/>
              </w:rPr>
            </w:pPr>
          </w:p>
        </w:tc>
        <w:tc>
          <w:tcPr>
            <w:tcW w:w="1720" w:type="dxa"/>
            <w:vAlign w:val="bottom"/>
            <w:tcBorders>
              <w:bottom w:val="single" w:sz="8" w:color="E6E6E6"/>
              <w:right w:val="single" w:sz="8" w:color="2D53A6"/>
            </w:tcBorders>
            <w:shd w:val="clear" w:color="auto" w:fill="E6E6E6"/>
          </w:tcPr>
          <w:p>
            <w:pPr>
              <w:spacing w:after="0"/>
              <w:rPr>
                <w:sz w:val="9"/>
                <w:szCs w:val="9"/>
                <w:color w:val="auto"/>
              </w:rPr>
            </w:pPr>
          </w:p>
        </w:tc>
        <w:tc>
          <w:tcPr>
            <w:tcW w:w="1660" w:type="dxa"/>
            <w:vAlign w:val="bottom"/>
            <w:tcBorders>
              <w:bottom w:val="single" w:sz="8" w:color="E6E6E6"/>
              <w:right w:val="single" w:sz="8" w:color="2D53A6"/>
            </w:tcBorders>
            <w:shd w:val="clear" w:color="auto" w:fill="E6E6E6"/>
          </w:tcPr>
          <w:p>
            <w:pPr>
              <w:spacing w:after="0"/>
              <w:rPr>
                <w:sz w:val="9"/>
                <w:szCs w:val="9"/>
                <w:color w:val="auto"/>
              </w:rPr>
            </w:pPr>
          </w:p>
        </w:tc>
        <w:tc>
          <w:tcPr>
            <w:tcW w:w="1700" w:type="dxa"/>
            <w:vAlign w:val="bottom"/>
            <w:tcBorders>
              <w:bottom w:val="single" w:sz="8" w:color="E6E6E6"/>
              <w:right w:val="single" w:sz="8" w:color="2D53A6"/>
            </w:tcBorders>
            <w:shd w:val="clear" w:color="auto" w:fill="E6E6E6"/>
          </w:tcPr>
          <w:p>
            <w:pPr>
              <w:spacing w:after="0"/>
              <w:rPr>
                <w:sz w:val="9"/>
                <w:szCs w:val="9"/>
                <w:color w:val="auto"/>
              </w:rPr>
            </w:pPr>
          </w:p>
        </w:tc>
        <w:tc>
          <w:tcPr>
            <w:tcW w:w="1660" w:type="dxa"/>
            <w:vAlign w:val="bottom"/>
            <w:tcBorders>
              <w:bottom w:val="single" w:sz="8" w:color="E6E6E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500" w:type="dxa"/>
            <w:vAlign w:val="bottom"/>
            <w:tcBorders>
              <w:right w:val="single" w:sz="8" w:color="2D53A6"/>
            </w:tcBorders>
            <w:shd w:val="clear" w:color="auto" w:fill="2D53A6"/>
          </w:tcPr>
          <w:p>
            <w:pPr>
              <w:spacing w:after="0" w:line="20" w:lineRule="exact"/>
              <w:rPr>
                <w:sz w:val="1"/>
                <w:szCs w:val="1"/>
                <w:color w:val="auto"/>
              </w:rPr>
            </w:pPr>
          </w:p>
        </w:tc>
        <w:tc>
          <w:tcPr>
            <w:tcW w:w="1720" w:type="dxa"/>
            <w:vAlign w:val="bottom"/>
            <w:tcBorders>
              <w:right w:val="single" w:sz="8" w:color="2D53A6"/>
            </w:tcBorders>
            <w:shd w:val="clear" w:color="auto" w:fill="2D53A6"/>
          </w:tcPr>
          <w:p>
            <w:pPr>
              <w:spacing w:after="0" w:line="20" w:lineRule="exact"/>
              <w:rPr>
                <w:sz w:val="1"/>
                <w:szCs w:val="1"/>
                <w:color w:val="auto"/>
              </w:rPr>
            </w:pPr>
          </w:p>
        </w:tc>
        <w:tc>
          <w:tcPr>
            <w:tcW w:w="1660" w:type="dxa"/>
            <w:vAlign w:val="bottom"/>
            <w:tcBorders>
              <w:right w:val="single" w:sz="8" w:color="2D53A6"/>
            </w:tcBorders>
            <w:shd w:val="clear" w:color="auto" w:fill="2D53A6"/>
          </w:tcPr>
          <w:p>
            <w:pPr>
              <w:spacing w:after="0" w:line="20" w:lineRule="exact"/>
              <w:rPr>
                <w:sz w:val="1"/>
                <w:szCs w:val="1"/>
                <w:color w:val="auto"/>
              </w:rPr>
            </w:pPr>
          </w:p>
        </w:tc>
        <w:tc>
          <w:tcPr>
            <w:tcW w:w="1700" w:type="dxa"/>
            <w:vAlign w:val="bottom"/>
            <w:tcBorders>
              <w:right w:val="single" w:sz="8" w:color="2D53A6"/>
            </w:tcBorders>
            <w:shd w:val="clear" w:color="auto" w:fill="2D53A6"/>
          </w:tcPr>
          <w:p>
            <w:pPr>
              <w:spacing w:after="0" w:line="20" w:lineRule="exact"/>
              <w:rPr>
                <w:sz w:val="1"/>
                <w:szCs w:val="1"/>
                <w:color w:val="auto"/>
              </w:rPr>
            </w:pPr>
          </w:p>
        </w:tc>
        <w:tc>
          <w:tcPr>
            <w:tcW w:w="166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80" w:hanging="332"/>
        <w:spacing w:after="0" w:line="248"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Ilgenfritz’s local Managing Director’s Service Agreement provides for six months notice period for termination, during which he will receive his full salary payments, and could be entitled to a pro rata share of any bonus entitlements through the end of the notice period, each of which would be included in the “Accrued Amounts” described above.</w:t>
      </w: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COBRA coverage which is not applicable in Germany where he is employed.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Qualifying Termination in Connection with a Change of Control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a change in control of Cohu means the occurrence of any of the following, in one or a series of related transactions:</w:t>
      </w:r>
    </w:p>
    <w:p>
      <w:pPr>
        <w:spacing w:after="0" w:line="198" w:lineRule="exact"/>
        <w:rPr>
          <w:sz w:val="20"/>
          <w:szCs w:val="20"/>
          <w:color w:val="auto"/>
        </w:rPr>
      </w:pPr>
    </w:p>
    <w:p>
      <w:pPr>
        <w:ind w:left="340" w:right="280" w:hanging="332"/>
        <w:spacing w:after="0" w:line="245"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(“Person”) acquires ownership of Cohu’s securities that, together with the stock held by such Person, constitutes more than 50% of the total voting power of Cohu’s then outstanding stock;</w:t>
      </w:r>
    </w:p>
    <w:p>
      <w:pPr>
        <w:jc w:val="both"/>
        <w:ind w:left="340" w:right="260" w:hanging="332"/>
        <w:spacing w:after="0" w:line="23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change in the effective control of Cohu which occurs on the date that a majority of members of the Board is replaced during any 12-month period (six-month period in the case of our CEO) by members of the Board whose appointment or election is not endorsed by a majority of the members of the Board prior to the date of the appointment or election; or</w:t>
      </w:r>
    </w:p>
    <w:p>
      <w:pPr>
        <w:spacing w:after="0" w:line="2" w:lineRule="exact"/>
        <w:rPr>
          <w:rFonts w:ascii="Arial" w:cs="Arial" w:eastAsia="Arial" w:hAnsi="Arial"/>
          <w:sz w:val="18"/>
          <w:szCs w:val="18"/>
          <w:color w:val="auto"/>
        </w:rPr>
      </w:pPr>
    </w:p>
    <w:p>
      <w:pPr>
        <w:ind w:left="340" w:right="16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closing of any transaction involving a change in ownership of a substantial portion of Cohu’s assets which occurs on the date that any Person acquires (or has acquired during any 12 month period ending on the date of the most recent acquisition by such Person or Persons) assets from Cohu that have a total gross fair market value equal to or more than 50% of the total gross fair market value of all of the assets of Cohu immediately prior to such acquisition or acquisitions.</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term “change in control” shall not include a consolidation, merger, or other reorganization if upon consummation of such transaction all of the outstanding voting stock of Cohu is owned, directly or indirectly, by a holding company, and the holders of Cohu’s common stock immediately prior to the transaction have substantially the same proportionate ownership and voting control of such holding company after such transaction.</w:t>
      </w:r>
    </w:p>
    <w:p>
      <w:pPr>
        <w:spacing w:after="0" w:line="16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 transaction will not be deemed a change in control unless the transaction qualifies as a change in control event for the purposes of Section 409A of the Internal Revenue Code.</w:t>
      </w:r>
    </w:p>
    <w:p>
      <w:pPr>
        <w:spacing w:after="0" w:line="14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Additionally, 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event of the occurrence of both a change in control and the subsequent termination of employment (as applicable), as of December 27, 2025, the amounts payable to our NEOs would have been as follows. In the event of the occurrence of a change in control on December 27, 2025, the amounts payable to our NEOs would have been as set forth in the following chart solely under the RSUs/PSUs column.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640" w:type="dxa"/>
            <w:vAlign w:val="bottom"/>
            <w:tcBorders>
              <w:right w:val="single" w:sz="8" w:color="2D53A6"/>
            </w:tcBorders>
            <w:shd w:val="clear" w:color="auto" w:fill="2D53A6"/>
          </w:tcPr>
          <w:p>
            <w:pPr>
              <w:spacing w:after="0"/>
              <w:rPr>
                <w:sz w:val="21"/>
                <w:szCs w:val="21"/>
                <w:color w:val="auto"/>
              </w:rPr>
            </w:pPr>
          </w:p>
        </w:tc>
        <w:tc>
          <w:tcPr>
            <w:tcW w:w="1740" w:type="dxa"/>
            <w:vAlign w:val="bottom"/>
            <w:tcBorders>
              <w:right w:val="single" w:sz="8" w:color="2D53A6"/>
            </w:tcBorders>
            <w:vMerge w:val="restart"/>
            <w:shd w:val="clear" w:color="auto" w:fill="2D53A6"/>
          </w:tcPr>
          <w:p>
            <w:pPr>
              <w:jc w:val="right"/>
              <w:ind w:right="567"/>
              <w:spacing w:after="0"/>
              <w:rPr>
                <w:sz w:val="20"/>
                <w:szCs w:val="20"/>
                <w:color w:val="auto"/>
              </w:rPr>
            </w:pPr>
            <w:r>
              <w:rPr>
                <w:rFonts w:ascii="Arial" w:cs="Arial" w:eastAsia="Arial" w:hAnsi="Arial"/>
                <w:sz w:val="20"/>
                <w:szCs w:val="20"/>
                <w:b w:val="1"/>
                <w:bCs w:val="1"/>
                <w:color w:val="FFFFFF"/>
              </w:rPr>
              <w:t>Total</w:t>
            </w:r>
          </w:p>
        </w:tc>
        <w:tc>
          <w:tcPr>
            <w:tcW w:w="1720" w:type="dxa"/>
            <w:vAlign w:val="bottom"/>
            <w:tcBorders>
              <w:right w:val="single" w:sz="8" w:color="2D53A6"/>
            </w:tcBorders>
            <w:vMerge w:val="restart"/>
            <w:shd w:val="clear" w:color="auto" w:fill="2D53A6"/>
          </w:tcPr>
          <w:p>
            <w:pPr>
              <w:jc w:val="right"/>
              <w:ind w:right="287"/>
              <w:spacing w:after="0"/>
              <w:rPr>
                <w:sz w:val="20"/>
                <w:szCs w:val="20"/>
                <w:color w:val="auto"/>
              </w:rPr>
            </w:pPr>
            <w:r>
              <w:rPr>
                <w:rFonts w:ascii="Arial" w:cs="Arial" w:eastAsia="Arial" w:hAnsi="Arial"/>
                <w:sz w:val="20"/>
                <w:szCs w:val="20"/>
                <w:b w:val="1"/>
                <w:bCs w:val="1"/>
                <w:color w:val="FFFFFF"/>
              </w:rPr>
              <w:t>Severance</w:t>
            </w:r>
          </w:p>
        </w:tc>
        <w:tc>
          <w:tcPr>
            <w:tcW w:w="1700" w:type="dxa"/>
            <w:vAlign w:val="bottom"/>
            <w:tcBorders>
              <w:right w:val="single" w:sz="8" w:color="2D53A6"/>
            </w:tcBorders>
            <w:vMerge w:val="restart"/>
            <w:shd w:val="clear" w:color="auto" w:fill="2D53A6"/>
          </w:tcPr>
          <w:p>
            <w:pPr>
              <w:jc w:val="right"/>
              <w:ind w:right="427"/>
              <w:spacing w:after="0"/>
              <w:rPr>
                <w:sz w:val="20"/>
                <w:szCs w:val="20"/>
                <w:color w:val="auto"/>
              </w:rPr>
            </w:pPr>
            <w:r>
              <w:rPr>
                <w:rFonts w:ascii="Arial" w:cs="Arial" w:eastAsia="Arial" w:hAnsi="Arial"/>
                <w:sz w:val="20"/>
                <w:szCs w:val="20"/>
                <w:b w:val="1"/>
                <w:bCs w:val="1"/>
                <w:color w:val="FFFFFF"/>
              </w:rPr>
              <w:t>Annual</w:t>
            </w:r>
          </w:p>
        </w:tc>
        <w:tc>
          <w:tcPr>
            <w:tcW w:w="17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rPr>
              <w:t>Medical</w:t>
            </w:r>
          </w:p>
        </w:tc>
        <w:tc>
          <w:tcPr>
            <w:tcW w:w="1720" w:type="dxa"/>
            <w:vAlign w:val="bottom"/>
            <w:vMerge w:val="restart"/>
            <w:shd w:val="clear" w:color="auto" w:fill="2D53A6"/>
          </w:tcPr>
          <w:p>
            <w:pPr>
              <w:jc w:val="right"/>
              <w:ind w:right="227"/>
              <w:spacing w:after="0"/>
              <w:rPr>
                <w:sz w:val="20"/>
                <w:szCs w:val="20"/>
                <w:color w:val="auto"/>
              </w:rPr>
            </w:pPr>
            <w:r>
              <w:rPr>
                <w:rFonts w:ascii="Arial" w:cs="Arial" w:eastAsia="Arial" w:hAnsi="Arial"/>
                <w:sz w:val="20"/>
                <w:szCs w:val="20"/>
                <w:b w:val="1"/>
                <w:bCs w:val="1"/>
                <w:color w:val="FFFFFF"/>
              </w:rPr>
              <w:t>RSUs/PSUs</w:t>
            </w:r>
          </w:p>
        </w:tc>
        <w:tc>
          <w:tcPr>
            <w:tcW w:w="0" w:type="dxa"/>
            <w:vAlign w:val="bottom"/>
          </w:tcPr>
          <w:p>
            <w:pPr>
              <w:spacing w:after="0"/>
              <w:rPr>
                <w:sz w:val="1"/>
                <w:szCs w:val="1"/>
                <w:color w:val="auto"/>
              </w:rPr>
            </w:pPr>
          </w:p>
        </w:tc>
      </w:tr>
      <w:tr>
        <w:trPr>
          <w:trHeight w:val="108"/>
        </w:trPr>
        <w:tc>
          <w:tcPr>
            <w:tcW w:w="2640" w:type="dxa"/>
            <w:vAlign w:val="bottom"/>
            <w:tcBorders>
              <w:right w:val="single" w:sz="8" w:color="2D53A6"/>
            </w:tcBorders>
            <w:vMerge w:val="restart"/>
            <w:shd w:val="clear" w:color="auto" w:fill="2D53A6"/>
          </w:tcPr>
          <w:p>
            <w:pPr>
              <w:ind w:left="40"/>
              <w:spacing w:after="0" w:line="216" w:lineRule="exact"/>
              <w:rPr>
                <w:sz w:val="20"/>
                <w:szCs w:val="20"/>
                <w:color w:val="auto"/>
              </w:rPr>
            </w:pPr>
            <w:r>
              <w:rPr>
                <w:rFonts w:ascii="Arial" w:cs="Arial" w:eastAsia="Arial" w:hAnsi="Arial"/>
                <w:sz w:val="20"/>
                <w:szCs w:val="20"/>
                <w:b w:val="1"/>
                <w:bCs w:val="1"/>
                <w:color w:val="FFFFFF"/>
              </w:rPr>
              <w:t>Named Executive Officer</w:t>
            </w:r>
          </w:p>
        </w:tc>
        <w:tc>
          <w:tcPr>
            <w:tcW w:w="1740" w:type="dxa"/>
            <w:vAlign w:val="bottom"/>
            <w:tcBorders>
              <w:right w:val="single" w:sz="8" w:color="2D53A6"/>
            </w:tcBorders>
            <w:vMerge w:val="continue"/>
            <w:shd w:val="clear" w:color="auto" w:fill="2D53A6"/>
          </w:tcPr>
          <w:p>
            <w:pPr>
              <w:spacing w:after="0"/>
              <w:rPr>
                <w:sz w:val="9"/>
                <w:szCs w:val="9"/>
                <w:color w:val="auto"/>
              </w:rPr>
            </w:pPr>
          </w:p>
        </w:tc>
        <w:tc>
          <w:tcPr>
            <w:tcW w:w="1720" w:type="dxa"/>
            <w:vAlign w:val="bottom"/>
            <w:tcBorders>
              <w:right w:val="single" w:sz="8" w:color="2D53A6"/>
            </w:tcBorders>
            <w:vMerge w:val="continue"/>
            <w:shd w:val="clear" w:color="auto" w:fill="2D53A6"/>
          </w:tcPr>
          <w:p>
            <w:pPr>
              <w:spacing w:after="0"/>
              <w:rPr>
                <w:sz w:val="9"/>
                <w:szCs w:val="9"/>
                <w:color w:val="auto"/>
              </w:rPr>
            </w:pPr>
          </w:p>
        </w:tc>
        <w:tc>
          <w:tcPr>
            <w:tcW w:w="1700" w:type="dxa"/>
            <w:vAlign w:val="bottom"/>
            <w:tcBorders>
              <w:right w:val="single" w:sz="8" w:color="2D53A6"/>
            </w:tcBorders>
            <w:vMerge w:val="continue"/>
            <w:shd w:val="clear" w:color="auto" w:fill="2D53A6"/>
          </w:tcPr>
          <w:p>
            <w:pPr>
              <w:spacing w:after="0"/>
              <w:rPr>
                <w:sz w:val="9"/>
                <w:szCs w:val="9"/>
                <w:color w:val="auto"/>
              </w:rPr>
            </w:pPr>
          </w:p>
        </w:tc>
        <w:tc>
          <w:tcPr>
            <w:tcW w:w="172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Benefits</w:t>
            </w:r>
          </w:p>
        </w:tc>
        <w:tc>
          <w:tcPr>
            <w:tcW w:w="172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Borders>
              <w:right w:val="single" w:sz="8" w:color="2D53A6"/>
            </w:tcBorders>
            <w:vMerge w:val="continue"/>
            <w:shd w:val="clear" w:color="auto" w:fill="2D53A6"/>
          </w:tcPr>
          <w:p>
            <w:pPr>
              <w:spacing w:after="0"/>
              <w:rPr>
                <w:sz w:val="9"/>
                <w:szCs w:val="9"/>
                <w:color w:val="auto"/>
              </w:rPr>
            </w:pPr>
          </w:p>
        </w:tc>
        <w:tc>
          <w:tcPr>
            <w:tcW w:w="1740" w:type="dxa"/>
            <w:vAlign w:val="bottom"/>
            <w:tcBorders>
              <w:right w:val="single" w:sz="8" w:color="2D53A6"/>
            </w:tcBorders>
            <w:vMerge w:val="restart"/>
            <w:shd w:val="clear" w:color="auto" w:fill="2D53A6"/>
          </w:tcPr>
          <w:p>
            <w:pPr>
              <w:jc w:val="right"/>
              <w:ind w:right="667"/>
              <w:spacing w:after="0"/>
              <w:rPr>
                <w:sz w:val="20"/>
                <w:szCs w:val="20"/>
                <w:color w:val="auto"/>
              </w:rPr>
            </w:pPr>
            <w:r>
              <w:rPr>
                <w:rFonts w:ascii="Arial" w:cs="Arial" w:eastAsia="Arial" w:hAnsi="Arial"/>
                <w:sz w:val="20"/>
                <w:szCs w:val="20"/>
                <w:b w:val="1"/>
                <w:bCs w:val="1"/>
                <w:color w:val="FFFFFF"/>
              </w:rPr>
              <w:t>($)</w:t>
            </w:r>
          </w:p>
        </w:tc>
        <w:tc>
          <w:tcPr>
            <w:tcW w:w="1720" w:type="dxa"/>
            <w:vAlign w:val="bottom"/>
            <w:tcBorders>
              <w:right w:val="single" w:sz="8" w:color="2D53A6"/>
            </w:tcBorders>
            <w:vMerge w:val="restart"/>
            <w:shd w:val="clear" w:color="auto" w:fill="2D53A6"/>
          </w:tcPr>
          <w:p>
            <w:pPr>
              <w:jc w:val="right"/>
              <w:ind w:right="567"/>
              <w:spacing w:after="0"/>
              <w:rPr>
                <w:sz w:val="20"/>
                <w:szCs w:val="20"/>
                <w:color w:val="auto"/>
              </w:rPr>
            </w:pPr>
            <w:r>
              <w:rPr>
                <w:rFonts w:ascii="Arial" w:cs="Arial" w:eastAsia="Arial" w:hAnsi="Arial"/>
                <w:sz w:val="20"/>
                <w:szCs w:val="20"/>
                <w:b w:val="1"/>
                <w:bCs w:val="1"/>
                <w:color w:val="FFFFFF"/>
              </w:rPr>
              <w:t>($)</w:t>
            </w:r>
            <w:r>
              <w:rPr>
                <w:rFonts w:ascii="Arial" w:cs="Arial" w:eastAsia="Arial" w:hAnsi="Arial"/>
                <w:sz w:val="16"/>
                <w:szCs w:val="16"/>
                <w:b w:val="1"/>
                <w:bCs w:val="1"/>
                <w:color w:val="FFFFFF"/>
              </w:rPr>
              <w:t>(1)</w:t>
            </w:r>
          </w:p>
        </w:tc>
        <w:tc>
          <w:tcPr>
            <w:tcW w:w="1700" w:type="dxa"/>
            <w:vAlign w:val="bottom"/>
            <w:tcBorders>
              <w:right w:val="single" w:sz="8" w:color="2D53A6"/>
            </w:tcBorders>
            <w:vMerge w:val="restart"/>
            <w:shd w:val="clear" w:color="auto" w:fill="2D53A6"/>
          </w:tcPr>
          <w:p>
            <w:pPr>
              <w:jc w:val="right"/>
              <w:ind w:right="207"/>
              <w:spacing w:after="0"/>
              <w:rPr>
                <w:sz w:val="20"/>
                <w:szCs w:val="20"/>
                <w:color w:val="auto"/>
              </w:rPr>
            </w:pPr>
            <w:r>
              <w:rPr>
                <w:rFonts w:ascii="Arial" w:cs="Arial" w:eastAsia="Arial" w:hAnsi="Arial"/>
                <w:sz w:val="20"/>
                <w:szCs w:val="20"/>
                <w:b w:val="1"/>
                <w:bCs w:val="1"/>
                <w:color w:val="FFFFFF"/>
              </w:rPr>
              <w:t>Bonus ($)</w:t>
            </w:r>
            <w:r>
              <w:rPr>
                <w:rFonts w:ascii="Arial" w:cs="Arial" w:eastAsia="Arial" w:hAnsi="Arial"/>
                <w:sz w:val="16"/>
                <w:szCs w:val="16"/>
                <w:b w:val="1"/>
                <w:bCs w:val="1"/>
                <w:color w:val="FFFFFF"/>
              </w:rPr>
              <w:t>(1)</w:t>
            </w:r>
          </w:p>
        </w:tc>
        <w:tc>
          <w:tcPr>
            <w:tcW w:w="1720" w:type="dxa"/>
            <w:vAlign w:val="bottom"/>
            <w:tcBorders>
              <w:right w:val="single" w:sz="8" w:color="2D53A6"/>
            </w:tcBorders>
            <w:vMerge w:val="continue"/>
            <w:shd w:val="clear" w:color="auto" w:fill="2D53A6"/>
          </w:tcPr>
          <w:p>
            <w:pPr>
              <w:spacing w:after="0"/>
              <w:rPr>
                <w:sz w:val="9"/>
                <w:szCs w:val="9"/>
                <w:color w:val="auto"/>
              </w:rPr>
            </w:pPr>
          </w:p>
        </w:tc>
        <w:tc>
          <w:tcPr>
            <w:tcW w:w="1720" w:type="dxa"/>
            <w:vAlign w:val="bottom"/>
            <w:vMerge w:val="restart"/>
            <w:shd w:val="clear" w:color="auto" w:fill="2D53A6"/>
          </w:tcPr>
          <w:p>
            <w:pPr>
              <w:jc w:val="right"/>
              <w:ind w:right="547"/>
              <w:spacing w:after="0"/>
              <w:rPr>
                <w:sz w:val="20"/>
                <w:szCs w:val="20"/>
                <w:color w:val="auto"/>
              </w:rPr>
            </w:pPr>
            <w:r>
              <w:rPr>
                <w:rFonts w:ascii="Arial" w:cs="Arial" w:eastAsia="Arial" w:hAnsi="Arial"/>
                <w:sz w:val="20"/>
                <w:szCs w:val="20"/>
                <w:b w:val="1"/>
                <w:bCs w:val="1"/>
                <w:color w:val="FFFFFF"/>
              </w:rPr>
              <w:t>($)</w:t>
            </w:r>
            <w:r>
              <w:rPr>
                <w:rFonts w:ascii="Arial" w:cs="Arial" w:eastAsia="Arial" w:hAnsi="Arial"/>
                <w:sz w:val="16"/>
                <w:szCs w:val="16"/>
                <w:b w:val="1"/>
                <w:bCs w:val="1"/>
                <w:color w:val="FFFFFF"/>
              </w:rPr>
              <w:t>(3)</w:t>
            </w:r>
          </w:p>
        </w:tc>
        <w:tc>
          <w:tcPr>
            <w:tcW w:w="0" w:type="dxa"/>
            <w:vAlign w:val="bottom"/>
          </w:tcPr>
          <w:p>
            <w:pPr>
              <w:spacing w:after="0"/>
              <w:rPr>
                <w:sz w:val="1"/>
                <w:szCs w:val="1"/>
                <w:color w:val="auto"/>
              </w:rPr>
            </w:pPr>
          </w:p>
        </w:tc>
      </w:tr>
      <w:tr>
        <w:trPr>
          <w:trHeight w:val="165"/>
        </w:trPr>
        <w:tc>
          <w:tcPr>
            <w:tcW w:w="2640" w:type="dxa"/>
            <w:vAlign w:val="bottom"/>
            <w:tcBorders>
              <w:right w:val="single" w:sz="8" w:color="2D53A6"/>
            </w:tcBorders>
            <w:shd w:val="clear" w:color="auto" w:fill="2D53A6"/>
          </w:tcPr>
          <w:p>
            <w:pPr>
              <w:spacing w:after="0"/>
              <w:rPr>
                <w:sz w:val="14"/>
                <w:szCs w:val="14"/>
                <w:color w:val="auto"/>
              </w:rPr>
            </w:pPr>
          </w:p>
        </w:tc>
        <w:tc>
          <w:tcPr>
            <w:tcW w:w="1740" w:type="dxa"/>
            <w:vAlign w:val="bottom"/>
            <w:tcBorders>
              <w:right w:val="single" w:sz="8" w:color="2D53A6"/>
            </w:tcBorders>
            <w:vMerge w:val="continue"/>
            <w:shd w:val="clear" w:color="auto" w:fill="2D53A6"/>
          </w:tcPr>
          <w:p>
            <w:pPr>
              <w:spacing w:after="0"/>
              <w:rPr>
                <w:sz w:val="14"/>
                <w:szCs w:val="14"/>
                <w:color w:val="auto"/>
              </w:rPr>
            </w:pPr>
          </w:p>
        </w:tc>
        <w:tc>
          <w:tcPr>
            <w:tcW w:w="1720" w:type="dxa"/>
            <w:vAlign w:val="bottom"/>
            <w:tcBorders>
              <w:right w:val="single" w:sz="8" w:color="2D53A6"/>
            </w:tcBorders>
            <w:vMerge w:val="continue"/>
            <w:shd w:val="clear" w:color="auto" w:fill="2D53A6"/>
          </w:tcPr>
          <w:p>
            <w:pPr>
              <w:spacing w:after="0"/>
              <w:rPr>
                <w:sz w:val="14"/>
                <w:szCs w:val="14"/>
                <w:color w:val="auto"/>
              </w:rPr>
            </w:pPr>
          </w:p>
        </w:tc>
        <w:tc>
          <w:tcPr>
            <w:tcW w:w="1700" w:type="dxa"/>
            <w:vAlign w:val="bottom"/>
            <w:tcBorders>
              <w:right w:val="single" w:sz="8" w:color="2D53A6"/>
            </w:tcBorders>
            <w:vMerge w:val="continue"/>
            <w:shd w:val="clear" w:color="auto" w:fill="2D53A6"/>
          </w:tcPr>
          <w:p>
            <w:pPr>
              <w:spacing w:after="0"/>
              <w:rPr>
                <w:sz w:val="14"/>
                <w:szCs w:val="14"/>
                <w:color w:val="auto"/>
              </w:rPr>
            </w:pPr>
          </w:p>
        </w:tc>
        <w:tc>
          <w:tcPr>
            <w:tcW w:w="17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w:t>
            </w:r>
            <w:r>
              <w:rPr>
                <w:rFonts w:ascii="Arial" w:cs="Arial" w:eastAsia="Arial" w:hAnsi="Arial"/>
                <w:sz w:val="16"/>
                <w:szCs w:val="16"/>
                <w:b w:val="1"/>
                <w:bCs w:val="1"/>
                <w:color w:val="FFFFFF"/>
                <w:w w:val="99"/>
              </w:rPr>
              <w:t>(2)</w:t>
            </w:r>
          </w:p>
        </w:tc>
        <w:tc>
          <w:tcPr>
            <w:tcW w:w="1720" w:type="dxa"/>
            <w:vAlign w:val="bottom"/>
            <w:vMerge w:val="continue"/>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40" w:type="dxa"/>
            <w:vAlign w:val="bottom"/>
            <w:tcBorders>
              <w:bottom w:val="single" w:sz="8" w:color="2D53A6"/>
              <w:right w:val="single" w:sz="8" w:color="2D53A6"/>
            </w:tcBorders>
            <w:shd w:val="clear" w:color="auto" w:fill="2D53A6"/>
          </w:tcPr>
          <w:p>
            <w:pPr>
              <w:spacing w:after="0"/>
              <w:rPr>
                <w:sz w:val="9"/>
                <w:szCs w:val="9"/>
                <w:color w:val="auto"/>
              </w:rPr>
            </w:pPr>
          </w:p>
        </w:tc>
        <w:tc>
          <w:tcPr>
            <w:tcW w:w="1740" w:type="dxa"/>
            <w:vAlign w:val="bottom"/>
            <w:tcBorders>
              <w:bottom w:val="single" w:sz="8" w:color="2D53A6"/>
              <w:right w:val="single" w:sz="8" w:color="2D53A6"/>
            </w:tcBorders>
            <w:shd w:val="clear" w:color="auto" w:fill="2D53A6"/>
          </w:tcPr>
          <w:p>
            <w:pPr>
              <w:spacing w:after="0"/>
              <w:rPr>
                <w:sz w:val="9"/>
                <w:szCs w:val="9"/>
                <w:color w:val="auto"/>
              </w:rPr>
            </w:pPr>
          </w:p>
        </w:tc>
        <w:tc>
          <w:tcPr>
            <w:tcW w:w="1720" w:type="dxa"/>
            <w:vAlign w:val="bottom"/>
            <w:tcBorders>
              <w:bottom w:val="single" w:sz="8" w:color="2D53A6"/>
              <w:right w:val="single" w:sz="8" w:color="2D53A6"/>
            </w:tcBorders>
            <w:shd w:val="clear" w:color="auto" w:fill="2D53A6"/>
          </w:tcPr>
          <w:p>
            <w:pPr>
              <w:spacing w:after="0"/>
              <w:rPr>
                <w:sz w:val="9"/>
                <w:szCs w:val="9"/>
                <w:color w:val="auto"/>
              </w:rPr>
            </w:pPr>
          </w:p>
        </w:tc>
        <w:tc>
          <w:tcPr>
            <w:tcW w:w="1700" w:type="dxa"/>
            <w:vAlign w:val="bottom"/>
            <w:tcBorders>
              <w:bottom w:val="single" w:sz="8" w:color="2D53A6"/>
              <w:right w:val="single" w:sz="8" w:color="2D53A6"/>
            </w:tcBorders>
            <w:shd w:val="clear" w:color="auto" w:fill="2D53A6"/>
          </w:tcPr>
          <w:p>
            <w:pPr>
              <w:spacing w:after="0"/>
              <w:rPr>
                <w:sz w:val="9"/>
                <w:szCs w:val="9"/>
                <w:color w:val="auto"/>
              </w:rPr>
            </w:pPr>
          </w:p>
        </w:tc>
        <w:tc>
          <w:tcPr>
            <w:tcW w:w="1720" w:type="dxa"/>
            <w:vAlign w:val="bottom"/>
            <w:tcBorders>
              <w:bottom w:val="single" w:sz="8" w:color="2D53A6"/>
              <w:right w:val="single" w:sz="8" w:color="2D53A6"/>
            </w:tcBorders>
            <w:vMerge w:val="continue"/>
            <w:shd w:val="clear" w:color="auto" w:fill="2D53A6"/>
          </w:tcPr>
          <w:p>
            <w:pPr>
              <w:spacing w:after="0"/>
              <w:rPr>
                <w:sz w:val="9"/>
                <w:szCs w:val="9"/>
                <w:color w:val="auto"/>
              </w:rPr>
            </w:pPr>
          </w:p>
        </w:tc>
        <w:tc>
          <w:tcPr>
            <w:tcW w:w="1720" w:type="dxa"/>
            <w:vAlign w:val="bottom"/>
            <w:tcBorders>
              <w:bottom w:val="single" w:sz="8" w:color="2D53A6"/>
            </w:tcBorders>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26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1740" w:type="dxa"/>
            <w:vAlign w:val="bottom"/>
            <w:tcBorders>
              <w:right w:val="single" w:sz="8" w:color="2D53A6"/>
            </w:tcBorders>
          </w:tcPr>
          <w:p>
            <w:pPr>
              <w:jc w:val="right"/>
              <w:ind w:right="107"/>
              <w:spacing w:after="0"/>
              <w:rPr>
                <w:sz w:val="20"/>
                <w:szCs w:val="20"/>
                <w:color w:val="auto"/>
              </w:rPr>
            </w:pPr>
            <w:r>
              <w:rPr>
                <w:rFonts w:ascii="Arial" w:cs="Arial" w:eastAsia="Arial" w:hAnsi="Arial"/>
                <w:sz w:val="18"/>
                <w:szCs w:val="18"/>
                <w:color w:val="auto"/>
              </w:rPr>
              <w:t>14,507,704</w:t>
            </w:r>
          </w:p>
        </w:tc>
        <w:tc>
          <w:tcPr>
            <w:tcW w:w="1720" w:type="dxa"/>
            <w:vAlign w:val="bottom"/>
            <w:tcBorders>
              <w:right w:val="single" w:sz="8" w:color="2D53A6"/>
            </w:tcBorders>
          </w:tcPr>
          <w:p>
            <w:pPr>
              <w:jc w:val="right"/>
              <w:ind w:right="107"/>
              <w:spacing w:after="0"/>
              <w:rPr>
                <w:sz w:val="20"/>
                <w:szCs w:val="20"/>
                <w:color w:val="auto"/>
              </w:rPr>
            </w:pPr>
            <w:r>
              <w:rPr>
                <w:rFonts w:ascii="Arial" w:cs="Arial" w:eastAsia="Arial" w:hAnsi="Arial"/>
                <w:sz w:val="18"/>
                <w:szCs w:val="18"/>
                <w:color w:val="auto"/>
              </w:rPr>
              <w:t>3,003,000</w:t>
            </w:r>
          </w:p>
        </w:tc>
        <w:tc>
          <w:tcPr>
            <w:tcW w:w="1700" w:type="dxa"/>
            <w:vAlign w:val="bottom"/>
            <w:tcBorders>
              <w:right w:val="single" w:sz="8" w:color="2D53A6"/>
            </w:tcBorders>
          </w:tcPr>
          <w:p>
            <w:pPr>
              <w:jc w:val="right"/>
              <w:ind w:right="107"/>
              <w:spacing w:after="0"/>
              <w:rPr>
                <w:sz w:val="20"/>
                <w:szCs w:val="20"/>
                <w:color w:val="auto"/>
              </w:rPr>
            </w:pPr>
            <w:r>
              <w:rPr>
                <w:rFonts w:ascii="Arial" w:cs="Arial" w:eastAsia="Arial" w:hAnsi="Arial"/>
                <w:sz w:val="18"/>
                <w:szCs w:val="18"/>
                <w:color w:val="auto"/>
              </w:rPr>
              <w:t>786,500</w:t>
            </w:r>
          </w:p>
        </w:tc>
        <w:tc>
          <w:tcPr>
            <w:tcW w:w="1720" w:type="dxa"/>
            <w:vAlign w:val="bottom"/>
            <w:tcBorders>
              <w:right w:val="single" w:sz="8" w:color="2D53A6"/>
            </w:tcBorders>
          </w:tcPr>
          <w:p>
            <w:pPr>
              <w:jc w:val="right"/>
              <w:ind w:right="106"/>
              <w:spacing w:after="0"/>
              <w:rPr>
                <w:sz w:val="20"/>
                <w:szCs w:val="20"/>
                <w:color w:val="auto"/>
              </w:rPr>
            </w:pPr>
            <w:r>
              <w:rPr>
                <w:rFonts w:ascii="Arial" w:cs="Arial" w:eastAsia="Arial" w:hAnsi="Arial"/>
                <w:sz w:val="18"/>
                <w:szCs w:val="18"/>
                <w:color w:val="auto"/>
              </w:rPr>
              <w:t>112,140</w:t>
            </w:r>
          </w:p>
        </w:tc>
        <w:tc>
          <w:tcPr>
            <w:tcW w:w="1720" w:type="dxa"/>
            <w:vAlign w:val="bottom"/>
          </w:tcPr>
          <w:p>
            <w:pPr>
              <w:jc w:val="right"/>
              <w:ind w:right="87"/>
              <w:spacing w:after="0"/>
              <w:rPr>
                <w:sz w:val="20"/>
                <w:szCs w:val="20"/>
                <w:color w:val="auto"/>
              </w:rPr>
            </w:pPr>
            <w:r>
              <w:rPr>
                <w:rFonts w:ascii="Arial" w:cs="Arial" w:eastAsia="Arial" w:hAnsi="Arial"/>
                <w:sz w:val="18"/>
                <w:szCs w:val="18"/>
                <w:color w:val="auto"/>
              </w:rPr>
              <w:t>10,606,064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2D53A6"/>
              <w:right w:val="single" w:sz="8" w:color="2D53A6"/>
            </w:tcBorders>
          </w:tcPr>
          <w:p>
            <w:pPr>
              <w:spacing w:after="0"/>
              <w:rPr>
                <w:sz w:val="2"/>
                <w:szCs w:val="2"/>
                <w:color w:val="auto"/>
              </w:rPr>
            </w:pPr>
          </w:p>
        </w:tc>
        <w:tc>
          <w:tcPr>
            <w:tcW w:w="1740" w:type="dxa"/>
            <w:vAlign w:val="bottom"/>
            <w:tcBorders>
              <w:bottom w:val="single" w:sz="8" w:color="2D53A6"/>
              <w:right w:val="single" w:sz="8" w:color="2D53A6"/>
            </w:tcBorders>
          </w:tcPr>
          <w:p>
            <w:pPr>
              <w:spacing w:after="0"/>
              <w:rPr>
                <w:sz w:val="2"/>
                <w:szCs w:val="2"/>
                <w:color w:val="auto"/>
              </w:rPr>
            </w:pPr>
          </w:p>
        </w:tc>
        <w:tc>
          <w:tcPr>
            <w:tcW w:w="1720" w:type="dxa"/>
            <w:vAlign w:val="bottom"/>
            <w:tcBorders>
              <w:bottom w:val="single" w:sz="8" w:color="2D53A6"/>
              <w:right w:val="single" w:sz="8" w:color="2D53A6"/>
            </w:tcBorders>
          </w:tcPr>
          <w:p>
            <w:pPr>
              <w:spacing w:after="0"/>
              <w:rPr>
                <w:sz w:val="2"/>
                <w:szCs w:val="2"/>
                <w:color w:val="auto"/>
              </w:rPr>
            </w:pPr>
          </w:p>
        </w:tc>
        <w:tc>
          <w:tcPr>
            <w:tcW w:w="1700" w:type="dxa"/>
            <w:vAlign w:val="bottom"/>
            <w:tcBorders>
              <w:bottom w:val="single" w:sz="8" w:color="2D53A6"/>
              <w:right w:val="single" w:sz="8" w:color="2D53A6"/>
            </w:tcBorders>
          </w:tcPr>
          <w:p>
            <w:pPr>
              <w:spacing w:after="0"/>
              <w:rPr>
                <w:sz w:val="2"/>
                <w:szCs w:val="2"/>
                <w:color w:val="auto"/>
              </w:rPr>
            </w:pPr>
          </w:p>
        </w:tc>
        <w:tc>
          <w:tcPr>
            <w:tcW w:w="1720" w:type="dxa"/>
            <w:vAlign w:val="bottom"/>
            <w:tcBorders>
              <w:bottom w:val="single" w:sz="8" w:color="2D53A6"/>
              <w:right w:val="single" w:sz="8" w:color="2D53A6"/>
            </w:tcBorders>
          </w:tcPr>
          <w:p>
            <w:pPr>
              <w:spacing w:after="0"/>
              <w:rPr>
                <w:sz w:val="2"/>
                <w:szCs w:val="2"/>
                <w:color w:val="auto"/>
              </w:rPr>
            </w:pPr>
          </w:p>
        </w:tc>
        <w:tc>
          <w:tcPr>
            <w:tcW w:w="17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6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174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4,992,112</w:t>
            </w:r>
          </w:p>
        </w:tc>
        <w:tc>
          <w:tcPr>
            <w:tcW w:w="172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1,194,375</w:t>
            </w:r>
          </w:p>
        </w:tc>
        <w:tc>
          <w:tcPr>
            <w:tcW w:w="170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341,250</w:t>
            </w:r>
          </w:p>
        </w:tc>
        <w:tc>
          <w:tcPr>
            <w:tcW w:w="1720" w:type="dxa"/>
            <w:vAlign w:val="bottom"/>
            <w:tcBorders>
              <w:bottom w:val="single" w:sz="8" w:color="E6E6E6"/>
              <w:right w:val="single" w:sz="8" w:color="2D53A6"/>
            </w:tcBorders>
            <w:shd w:val="clear" w:color="auto" w:fill="E6E6E6"/>
          </w:tcPr>
          <w:p>
            <w:pPr>
              <w:jc w:val="right"/>
              <w:ind w:right="106"/>
              <w:spacing w:after="0"/>
              <w:rPr>
                <w:sz w:val="20"/>
                <w:szCs w:val="20"/>
                <w:color w:val="auto"/>
              </w:rPr>
            </w:pPr>
            <w:r>
              <w:rPr>
                <w:rFonts w:ascii="Arial" w:cs="Arial" w:eastAsia="Arial" w:hAnsi="Arial"/>
                <w:sz w:val="18"/>
                <w:szCs w:val="18"/>
                <w:color w:val="auto"/>
              </w:rPr>
              <w:t>58,447</w:t>
            </w:r>
          </w:p>
        </w:tc>
        <w:tc>
          <w:tcPr>
            <w:tcW w:w="1720" w:type="dxa"/>
            <w:vAlign w:val="bottom"/>
            <w:tcBorders>
              <w:bottom w:val="single" w:sz="8" w:color="E6E6E6"/>
            </w:tcBorders>
            <w:shd w:val="clear" w:color="auto" w:fill="E6E6E6"/>
          </w:tcPr>
          <w:p>
            <w:pPr>
              <w:jc w:val="right"/>
              <w:ind w:right="87"/>
              <w:spacing w:after="0"/>
              <w:rPr>
                <w:sz w:val="20"/>
                <w:szCs w:val="20"/>
                <w:color w:val="auto"/>
              </w:rPr>
            </w:pPr>
            <w:r>
              <w:rPr>
                <w:rFonts w:ascii="Arial" w:cs="Arial" w:eastAsia="Arial" w:hAnsi="Arial"/>
                <w:sz w:val="18"/>
                <w:szCs w:val="18"/>
                <w:color w:val="auto"/>
              </w:rPr>
              <w:t>3,398,040</w:t>
            </w:r>
          </w:p>
        </w:tc>
        <w:tc>
          <w:tcPr>
            <w:tcW w:w="0" w:type="dxa"/>
            <w:vAlign w:val="bottom"/>
          </w:tcPr>
          <w:p>
            <w:pPr>
              <w:spacing w:after="0"/>
              <w:rPr>
                <w:sz w:val="1"/>
                <w:szCs w:val="1"/>
                <w:color w:val="auto"/>
              </w:rPr>
            </w:pPr>
          </w:p>
        </w:tc>
      </w:tr>
      <w:tr>
        <w:trPr>
          <w:trHeight w:val="254"/>
        </w:trPr>
        <w:tc>
          <w:tcPr>
            <w:tcW w:w="264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1740" w:type="dxa"/>
            <w:vAlign w:val="bottom"/>
            <w:tcBorders>
              <w:top w:val="single" w:sz="8" w:color="2D53A6"/>
              <w:right w:val="single" w:sz="8" w:color="2D53A6"/>
            </w:tcBorders>
          </w:tcPr>
          <w:p>
            <w:pPr>
              <w:jc w:val="right"/>
              <w:ind w:right="107"/>
              <w:spacing w:after="0"/>
              <w:rPr>
                <w:sz w:val="20"/>
                <w:szCs w:val="20"/>
                <w:color w:val="auto"/>
              </w:rPr>
            </w:pPr>
            <w:r>
              <w:rPr>
                <w:rFonts w:ascii="Arial" w:cs="Arial" w:eastAsia="Arial" w:hAnsi="Arial"/>
                <w:sz w:val="18"/>
                <w:szCs w:val="18"/>
                <w:color w:val="auto"/>
              </w:rPr>
              <w:t>4,013,722</w:t>
            </w:r>
          </w:p>
        </w:tc>
        <w:tc>
          <w:tcPr>
            <w:tcW w:w="1720" w:type="dxa"/>
            <w:vAlign w:val="bottom"/>
            <w:tcBorders>
              <w:top w:val="single" w:sz="8" w:color="2D53A6"/>
              <w:right w:val="single" w:sz="8" w:color="2D53A6"/>
            </w:tcBorders>
          </w:tcPr>
          <w:p>
            <w:pPr>
              <w:jc w:val="right"/>
              <w:ind w:right="107"/>
              <w:spacing w:after="0"/>
              <w:rPr>
                <w:sz w:val="20"/>
                <w:szCs w:val="20"/>
                <w:color w:val="auto"/>
              </w:rPr>
            </w:pPr>
            <w:r>
              <w:rPr>
                <w:rFonts w:ascii="Arial" w:cs="Arial" w:eastAsia="Arial" w:hAnsi="Arial"/>
                <w:sz w:val="18"/>
                <w:szCs w:val="18"/>
                <w:color w:val="auto"/>
              </w:rPr>
              <w:t>1,115,625</w:t>
            </w:r>
          </w:p>
        </w:tc>
        <w:tc>
          <w:tcPr>
            <w:tcW w:w="1700" w:type="dxa"/>
            <w:vAlign w:val="bottom"/>
            <w:tcBorders>
              <w:top w:val="single" w:sz="8" w:color="2D53A6"/>
              <w:right w:val="single" w:sz="8" w:color="2D53A6"/>
            </w:tcBorders>
          </w:tcPr>
          <w:p>
            <w:pPr>
              <w:jc w:val="right"/>
              <w:ind w:right="107"/>
              <w:spacing w:after="0"/>
              <w:rPr>
                <w:sz w:val="20"/>
                <w:szCs w:val="20"/>
                <w:color w:val="auto"/>
              </w:rPr>
            </w:pPr>
            <w:r>
              <w:rPr>
                <w:rFonts w:ascii="Arial" w:cs="Arial" w:eastAsia="Arial" w:hAnsi="Arial"/>
                <w:sz w:val="18"/>
                <w:szCs w:val="18"/>
                <w:color w:val="auto"/>
              </w:rPr>
              <w:t>318,750</w:t>
            </w:r>
          </w:p>
        </w:tc>
        <w:tc>
          <w:tcPr>
            <w:tcW w:w="1720" w:type="dxa"/>
            <w:vAlign w:val="bottom"/>
            <w:tcBorders>
              <w:top w:val="single" w:sz="8" w:color="2D53A6"/>
              <w:right w:val="single" w:sz="8" w:color="2D53A6"/>
            </w:tcBorders>
          </w:tcPr>
          <w:p>
            <w:pPr>
              <w:jc w:val="right"/>
              <w:ind w:right="106"/>
              <w:spacing w:after="0"/>
              <w:rPr>
                <w:sz w:val="20"/>
                <w:szCs w:val="20"/>
                <w:color w:val="auto"/>
              </w:rPr>
            </w:pPr>
            <w:r>
              <w:rPr>
                <w:rFonts w:ascii="Arial" w:cs="Arial" w:eastAsia="Arial" w:hAnsi="Arial"/>
                <w:sz w:val="18"/>
                <w:szCs w:val="18"/>
                <w:color w:val="auto"/>
              </w:rPr>
              <w:t>58,447</w:t>
            </w:r>
          </w:p>
        </w:tc>
        <w:tc>
          <w:tcPr>
            <w:tcW w:w="1720" w:type="dxa"/>
            <w:vAlign w:val="bottom"/>
            <w:tcBorders>
              <w:top w:val="single" w:sz="8" w:color="2D53A6"/>
            </w:tcBorders>
          </w:tcPr>
          <w:p>
            <w:pPr>
              <w:jc w:val="right"/>
              <w:ind w:right="87"/>
              <w:spacing w:after="0"/>
              <w:rPr>
                <w:sz w:val="20"/>
                <w:szCs w:val="20"/>
                <w:color w:val="auto"/>
              </w:rPr>
            </w:pPr>
            <w:r>
              <w:rPr>
                <w:rFonts w:ascii="Arial" w:cs="Arial" w:eastAsia="Arial" w:hAnsi="Arial"/>
                <w:sz w:val="18"/>
                <w:szCs w:val="18"/>
                <w:color w:val="auto"/>
              </w:rPr>
              <w:t>2,520,900</w:t>
            </w:r>
          </w:p>
        </w:tc>
        <w:tc>
          <w:tcPr>
            <w:tcW w:w="0" w:type="dxa"/>
            <w:vAlign w:val="bottom"/>
          </w:tcPr>
          <w:p>
            <w:pPr>
              <w:spacing w:after="0"/>
              <w:rPr>
                <w:sz w:val="1"/>
                <w:szCs w:val="1"/>
                <w:color w:val="auto"/>
              </w:rPr>
            </w:pPr>
          </w:p>
        </w:tc>
      </w:tr>
      <w:tr>
        <w:trPr>
          <w:trHeight w:val="23"/>
        </w:trPr>
        <w:tc>
          <w:tcPr>
            <w:tcW w:w="2640" w:type="dxa"/>
            <w:vAlign w:val="bottom"/>
            <w:tcBorders>
              <w:bottom w:val="single" w:sz="8" w:color="2D53A6"/>
              <w:right w:val="single" w:sz="8" w:color="2D53A6"/>
            </w:tcBorders>
          </w:tcPr>
          <w:p>
            <w:pPr>
              <w:spacing w:after="0"/>
              <w:rPr>
                <w:sz w:val="2"/>
                <w:szCs w:val="2"/>
                <w:color w:val="auto"/>
              </w:rPr>
            </w:pPr>
          </w:p>
        </w:tc>
        <w:tc>
          <w:tcPr>
            <w:tcW w:w="1740" w:type="dxa"/>
            <w:vAlign w:val="bottom"/>
            <w:tcBorders>
              <w:bottom w:val="single" w:sz="8" w:color="2D53A6"/>
              <w:right w:val="single" w:sz="8" w:color="2D53A6"/>
            </w:tcBorders>
          </w:tcPr>
          <w:p>
            <w:pPr>
              <w:spacing w:after="0"/>
              <w:rPr>
                <w:sz w:val="2"/>
                <w:szCs w:val="2"/>
                <w:color w:val="auto"/>
              </w:rPr>
            </w:pPr>
          </w:p>
        </w:tc>
        <w:tc>
          <w:tcPr>
            <w:tcW w:w="1720" w:type="dxa"/>
            <w:vAlign w:val="bottom"/>
            <w:tcBorders>
              <w:bottom w:val="single" w:sz="8" w:color="2D53A6"/>
              <w:right w:val="single" w:sz="8" w:color="2D53A6"/>
            </w:tcBorders>
          </w:tcPr>
          <w:p>
            <w:pPr>
              <w:spacing w:after="0"/>
              <w:rPr>
                <w:sz w:val="2"/>
                <w:szCs w:val="2"/>
                <w:color w:val="auto"/>
              </w:rPr>
            </w:pPr>
          </w:p>
        </w:tc>
        <w:tc>
          <w:tcPr>
            <w:tcW w:w="1700" w:type="dxa"/>
            <w:vAlign w:val="bottom"/>
            <w:tcBorders>
              <w:bottom w:val="single" w:sz="8" w:color="2D53A6"/>
              <w:right w:val="single" w:sz="8" w:color="2D53A6"/>
            </w:tcBorders>
          </w:tcPr>
          <w:p>
            <w:pPr>
              <w:spacing w:after="0"/>
              <w:rPr>
                <w:sz w:val="2"/>
                <w:szCs w:val="2"/>
                <w:color w:val="auto"/>
              </w:rPr>
            </w:pPr>
          </w:p>
        </w:tc>
        <w:tc>
          <w:tcPr>
            <w:tcW w:w="1720" w:type="dxa"/>
            <w:vAlign w:val="bottom"/>
            <w:tcBorders>
              <w:bottom w:val="single" w:sz="8" w:color="2D53A6"/>
              <w:right w:val="single" w:sz="8" w:color="2D53A6"/>
            </w:tcBorders>
          </w:tcPr>
          <w:p>
            <w:pPr>
              <w:spacing w:after="0"/>
              <w:rPr>
                <w:sz w:val="2"/>
                <w:szCs w:val="2"/>
                <w:color w:val="auto"/>
              </w:rPr>
            </w:pPr>
          </w:p>
        </w:tc>
        <w:tc>
          <w:tcPr>
            <w:tcW w:w="17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Klaus Ilgenfritz</w:t>
            </w:r>
          </w:p>
        </w:tc>
        <w:tc>
          <w:tcPr>
            <w:tcW w:w="174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2,685,842</w:t>
            </w:r>
          </w:p>
        </w:tc>
        <w:tc>
          <w:tcPr>
            <w:tcW w:w="172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932,785</w:t>
            </w:r>
          </w:p>
        </w:tc>
        <w:tc>
          <w:tcPr>
            <w:tcW w:w="170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254,396</w:t>
            </w:r>
          </w:p>
        </w:tc>
        <w:tc>
          <w:tcPr>
            <w:tcW w:w="1720" w:type="dxa"/>
            <w:vAlign w:val="bottom"/>
            <w:tcBorders>
              <w:bottom w:val="single" w:sz="8" w:color="E6E6E6"/>
              <w:right w:val="single" w:sz="8" w:color="2D53A6"/>
            </w:tcBorders>
            <w:shd w:val="clear" w:color="auto" w:fill="E6E6E6"/>
          </w:tcPr>
          <w:p>
            <w:pPr>
              <w:jc w:val="right"/>
              <w:ind w:right="106"/>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E6E6E6"/>
            </w:tcBorders>
            <w:shd w:val="clear" w:color="auto" w:fill="E6E6E6"/>
          </w:tcPr>
          <w:p>
            <w:pPr>
              <w:jc w:val="right"/>
              <w:ind w:right="87"/>
              <w:spacing w:after="0"/>
              <w:rPr>
                <w:sz w:val="20"/>
                <w:szCs w:val="20"/>
                <w:color w:val="auto"/>
              </w:rPr>
            </w:pPr>
            <w:r>
              <w:rPr>
                <w:rFonts w:ascii="Arial" w:cs="Arial" w:eastAsia="Arial" w:hAnsi="Arial"/>
                <w:sz w:val="18"/>
                <w:szCs w:val="18"/>
                <w:color w:val="auto"/>
              </w:rPr>
              <w:t>1,498,662</w:t>
            </w:r>
          </w:p>
        </w:tc>
        <w:tc>
          <w:tcPr>
            <w:tcW w:w="0" w:type="dxa"/>
            <w:vAlign w:val="bottom"/>
          </w:tcPr>
          <w:p>
            <w:pPr>
              <w:spacing w:after="0"/>
              <w:rPr>
                <w:sz w:val="1"/>
                <w:szCs w:val="1"/>
                <w:color w:val="auto"/>
              </w:rPr>
            </w:pPr>
          </w:p>
        </w:tc>
      </w:tr>
      <w:tr>
        <w:trPr>
          <w:trHeight w:val="20"/>
        </w:trPr>
        <w:tc>
          <w:tcPr>
            <w:tcW w:w="2640" w:type="dxa"/>
            <w:vAlign w:val="bottom"/>
            <w:tcBorders>
              <w:right w:val="single" w:sz="8" w:color="2D53A6"/>
            </w:tcBorders>
            <w:shd w:val="clear" w:color="auto" w:fill="2D53A6"/>
          </w:tcPr>
          <w:p>
            <w:pPr>
              <w:spacing w:after="0" w:line="20" w:lineRule="exact"/>
              <w:rPr>
                <w:sz w:val="1"/>
                <w:szCs w:val="1"/>
                <w:color w:val="auto"/>
              </w:rPr>
            </w:pPr>
          </w:p>
        </w:tc>
        <w:tc>
          <w:tcPr>
            <w:tcW w:w="1740" w:type="dxa"/>
            <w:vAlign w:val="bottom"/>
            <w:tcBorders>
              <w:right w:val="single" w:sz="8" w:color="2D53A6"/>
            </w:tcBorders>
            <w:shd w:val="clear" w:color="auto" w:fill="2D53A6"/>
          </w:tcPr>
          <w:p>
            <w:pPr>
              <w:spacing w:after="0" w:line="20" w:lineRule="exact"/>
              <w:rPr>
                <w:sz w:val="1"/>
                <w:szCs w:val="1"/>
                <w:color w:val="auto"/>
              </w:rPr>
            </w:pPr>
          </w:p>
        </w:tc>
        <w:tc>
          <w:tcPr>
            <w:tcW w:w="1720" w:type="dxa"/>
            <w:vAlign w:val="bottom"/>
            <w:tcBorders>
              <w:right w:val="single" w:sz="8" w:color="2D53A6"/>
            </w:tcBorders>
            <w:shd w:val="clear" w:color="auto" w:fill="2D53A6"/>
          </w:tcPr>
          <w:p>
            <w:pPr>
              <w:spacing w:after="0" w:line="20" w:lineRule="exact"/>
              <w:rPr>
                <w:sz w:val="1"/>
                <w:szCs w:val="1"/>
                <w:color w:val="auto"/>
              </w:rPr>
            </w:pPr>
          </w:p>
        </w:tc>
        <w:tc>
          <w:tcPr>
            <w:tcW w:w="1700" w:type="dxa"/>
            <w:vAlign w:val="bottom"/>
            <w:tcBorders>
              <w:right w:val="single" w:sz="8" w:color="2D53A6"/>
            </w:tcBorders>
            <w:shd w:val="clear" w:color="auto" w:fill="2D53A6"/>
          </w:tcPr>
          <w:p>
            <w:pPr>
              <w:spacing w:after="0" w:line="20" w:lineRule="exact"/>
              <w:rPr>
                <w:sz w:val="1"/>
                <w:szCs w:val="1"/>
                <w:color w:val="auto"/>
              </w:rPr>
            </w:pPr>
          </w:p>
        </w:tc>
        <w:tc>
          <w:tcPr>
            <w:tcW w:w="1720" w:type="dxa"/>
            <w:vAlign w:val="bottom"/>
            <w:tcBorders>
              <w:right w:val="single" w:sz="8" w:color="2D53A6"/>
            </w:tcBorders>
            <w:shd w:val="clear" w:color="auto" w:fill="2D53A6"/>
          </w:tcPr>
          <w:p>
            <w:pPr>
              <w:spacing w:after="0" w:line="20" w:lineRule="exact"/>
              <w:rPr>
                <w:sz w:val="1"/>
                <w:szCs w:val="1"/>
                <w:color w:val="auto"/>
              </w:rPr>
            </w:pPr>
          </w:p>
        </w:tc>
        <w:tc>
          <w:tcPr>
            <w:tcW w:w="172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160" w:hanging="332"/>
        <w:spacing w:after="0" w:line="25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the cash severance benefits payable in the event of a qualifying termination under the Change in Control Agreements for Dr. Müller and Messrs. Jones, Bohrson and Ilgenfritz. These amounts are based on the individual’s base salary and target bonus rate in effect as of December 27, 2025.</w:t>
      </w:r>
    </w:p>
    <w:p>
      <w:pPr>
        <w:spacing w:after="0" w:line="1" w:lineRule="exact"/>
        <w:rPr>
          <w:rFonts w:ascii="Arial" w:cs="Arial" w:eastAsia="Arial" w:hAnsi="Arial"/>
          <w:sz w:val="14"/>
          <w:szCs w:val="14"/>
          <w:color w:val="auto"/>
        </w:rPr>
      </w:pPr>
    </w:p>
    <w:p>
      <w:pPr>
        <w:ind w:left="340" w:right="200" w:hanging="332"/>
        <w:spacing w:after="0" w:line="24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reimbursement for continued health care benefits pursuant to COBRA, 24 months for Dr. Müller, and 18 months for Messrs. Jones, and Bohrson. Mr. Ilgenfritz is employed in Germany and COBRA is not applicable in this jurisdiction.</w:t>
      </w:r>
    </w:p>
    <w:p>
      <w:pPr>
        <w:ind w:left="340" w:right="20" w:hanging="332"/>
        <w:spacing w:after="0" w:line="247"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 As these awards were granted in 2024 or earlier, the applicable stock award agreement provides for acceleration upon a change in control. Amounts presented above for RSUs and PSUs have been calculated based on the total unvested RSUs and PSUs and the closing price of Cohu’s common stock of $23.49 per share on December 27, 2025, prior to the payment of associated taxes, held by Dr. Müller and Messrs. Jones, Bohrson and Ilgenfritz as of December 27, 2025.</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Estimated Payments Upon a Qualifying Termination Not in Connection with a Change of Control</w:t>
      </w:r>
    </w:p>
    <w:p>
      <w:pPr>
        <w:spacing w:after="0" w:line="191"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In the event of termination of employment not in connection with a change of control in the case for Dr. Müller and Messrs. Jones, Bohrson and Ilgenfritz by Cohu without cause, or by Dr. Müller for Good Reason as of December 27, 2025, the amounts payable to each NEO would have been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20" w:type="dxa"/>
            <w:vAlign w:val="bottom"/>
            <w:tcBorders>
              <w:right w:val="single" w:sz="8" w:color="2D53A6"/>
            </w:tcBorders>
            <w:shd w:val="clear" w:color="auto" w:fill="2D53A6"/>
          </w:tcPr>
          <w:p>
            <w:pPr>
              <w:spacing w:after="0"/>
              <w:rPr>
                <w:sz w:val="21"/>
                <w:szCs w:val="21"/>
                <w:color w:val="auto"/>
              </w:rPr>
            </w:pPr>
          </w:p>
        </w:tc>
        <w:tc>
          <w:tcPr>
            <w:tcW w:w="1480" w:type="dxa"/>
            <w:vAlign w:val="bottom"/>
            <w:vMerge w:val="restart"/>
            <w:shd w:val="clear" w:color="auto" w:fill="2D53A6"/>
          </w:tcPr>
          <w:p>
            <w:pPr>
              <w:jc w:val="center"/>
              <w:ind w:left="881"/>
              <w:spacing w:after="0"/>
              <w:rPr>
                <w:sz w:val="20"/>
                <w:szCs w:val="20"/>
                <w:color w:val="auto"/>
              </w:rPr>
            </w:pPr>
            <w:r>
              <w:rPr>
                <w:rFonts w:ascii="Arial" w:cs="Arial" w:eastAsia="Arial" w:hAnsi="Arial"/>
                <w:sz w:val="20"/>
                <w:szCs w:val="20"/>
                <w:b w:val="1"/>
                <w:bCs w:val="1"/>
                <w:color w:val="FFFFFF"/>
                <w:w w:val="96"/>
              </w:rPr>
              <w:t>Total</w:t>
            </w:r>
          </w:p>
        </w:tc>
        <w:tc>
          <w:tcPr>
            <w:tcW w:w="1020" w:type="dxa"/>
            <w:vAlign w:val="bottom"/>
            <w:tcBorders>
              <w:right w:val="single" w:sz="8" w:color="2D53A6"/>
            </w:tcBorders>
            <w:shd w:val="clear" w:color="auto" w:fill="2D53A6"/>
          </w:tcPr>
          <w:p>
            <w:pPr>
              <w:spacing w:after="0"/>
              <w:rPr>
                <w:sz w:val="21"/>
                <w:szCs w:val="21"/>
                <w:color w:val="auto"/>
              </w:rPr>
            </w:pPr>
          </w:p>
        </w:tc>
        <w:tc>
          <w:tcPr>
            <w:tcW w:w="2520" w:type="dxa"/>
            <w:vAlign w:val="bottom"/>
            <w:tcBorders>
              <w:right w:val="single" w:sz="8" w:color="2D53A6"/>
            </w:tcBorders>
            <w:vMerge w:val="restart"/>
            <w:shd w:val="clear" w:color="auto" w:fill="2D53A6"/>
          </w:tcPr>
          <w:p>
            <w:pPr>
              <w:jc w:val="right"/>
              <w:ind w:right="687"/>
              <w:spacing w:after="0"/>
              <w:rPr>
                <w:sz w:val="20"/>
                <w:szCs w:val="20"/>
                <w:color w:val="auto"/>
              </w:rPr>
            </w:pPr>
            <w:r>
              <w:rPr>
                <w:rFonts w:ascii="Arial" w:cs="Arial" w:eastAsia="Arial" w:hAnsi="Arial"/>
                <w:sz w:val="20"/>
                <w:szCs w:val="20"/>
                <w:b w:val="1"/>
                <w:bCs w:val="1"/>
                <w:color w:val="FFFFFF"/>
              </w:rPr>
              <w:t>Severance</w:t>
            </w:r>
          </w:p>
        </w:tc>
        <w:tc>
          <w:tcPr>
            <w:tcW w:w="2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Medical</w:t>
            </w:r>
          </w:p>
        </w:tc>
        <w:tc>
          <w:tcPr>
            <w:tcW w:w="0" w:type="dxa"/>
            <w:vAlign w:val="bottom"/>
          </w:tcPr>
          <w:p>
            <w:pPr>
              <w:spacing w:after="0"/>
              <w:rPr>
                <w:sz w:val="1"/>
                <w:szCs w:val="1"/>
                <w:color w:val="auto"/>
              </w:rPr>
            </w:pPr>
          </w:p>
        </w:tc>
      </w:tr>
      <w:tr>
        <w:trPr>
          <w:trHeight w:val="108"/>
        </w:trPr>
        <w:tc>
          <w:tcPr>
            <w:tcW w:w="3720" w:type="dxa"/>
            <w:vAlign w:val="bottom"/>
            <w:tcBorders>
              <w:right w:val="single" w:sz="8" w:color="2D53A6"/>
            </w:tcBorders>
            <w:vMerge w:val="restart"/>
            <w:shd w:val="clear" w:color="auto" w:fill="2D53A6"/>
          </w:tcPr>
          <w:p>
            <w:pPr>
              <w:ind w:left="40"/>
              <w:spacing w:after="0" w:line="216" w:lineRule="exact"/>
              <w:rPr>
                <w:sz w:val="20"/>
                <w:szCs w:val="20"/>
                <w:color w:val="auto"/>
              </w:rPr>
            </w:pPr>
            <w:r>
              <w:rPr>
                <w:rFonts w:ascii="Arial" w:cs="Arial" w:eastAsia="Arial" w:hAnsi="Arial"/>
                <w:sz w:val="20"/>
                <w:szCs w:val="20"/>
                <w:b w:val="1"/>
                <w:bCs w:val="1"/>
                <w:color w:val="FFFFFF"/>
              </w:rPr>
              <w:t>Named Executive Officer</w:t>
            </w:r>
          </w:p>
        </w:tc>
        <w:tc>
          <w:tcPr>
            <w:tcW w:w="1480" w:type="dxa"/>
            <w:vAlign w:val="bottom"/>
            <w:vMerge w:val="continue"/>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2520" w:type="dxa"/>
            <w:vAlign w:val="bottom"/>
            <w:tcBorders>
              <w:right w:val="single" w:sz="8" w:color="2D53A6"/>
            </w:tcBorders>
            <w:vMerge w:val="continue"/>
            <w:shd w:val="clear" w:color="auto" w:fill="2D53A6"/>
          </w:tcPr>
          <w:p>
            <w:pPr>
              <w:spacing w:after="0"/>
              <w:rPr>
                <w:sz w:val="9"/>
                <w:szCs w:val="9"/>
                <w:color w:val="auto"/>
              </w:rPr>
            </w:pPr>
          </w:p>
        </w:tc>
        <w:tc>
          <w:tcPr>
            <w:tcW w:w="250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Benefits</w:t>
            </w:r>
          </w:p>
        </w:tc>
        <w:tc>
          <w:tcPr>
            <w:tcW w:w="0" w:type="dxa"/>
            <w:vAlign w:val="bottom"/>
          </w:tcPr>
          <w:p>
            <w:pPr>
              <w:spacing w:after="0"/>
              <w:rPr>
                <w:sz w:val="1"/>
                <w:szCs w:val="1"/>
                <w:color w:val="auto"/>
              </w:rPr>
            </w:pPr>
          </w:p>
        </w:tc>
      </w:tr>
      <w:tr>
        <w:trPr>
          <w:trHeight w:val="108"/>
        </w:trPr>
        <w:tc>
          <w:tcPr>
            <w:tcW w:w="3720" w:type="dxa"/>
            <w:vAlign w:val="bottom"/>
            <w:tcBorders>
              <w:right w:val="single" w:sz="8" w:color="2D53A6"/>
            </w:tcBorders>
            <w:vMerge w:val="continue"/>
            <w:shd w:val="clear" w:color="auto" w:fill="2D53A6"/>
          </w:tcPr>
          <w:p>
            <w:pPr>
              <w:spacing w:after="0"/>
              <w:rPr>
                <w:sz w:val="9"/>
                <w:szCs w:val="9"/>
                <w:color w:val="auto"/>
              </w:rPr>
            </w:pPr>
          </w:p>
        </w:tc>
        <w:tc>
          <w:tcPr>
            <w:tcW w:w="1480" w:type="dxa"/>
            <w:vAlign w:val="bottom"/>
            <w:vMerge w:val="restart"/>
            <w:shd w:val="clear" w:color="auto" w:fill="2D53A6"/>
          </w:tcPr>
          <w:p>
            <w:pPr>
              <w:jc w:val="right"/>
              <w:ind w:right="21"/>
              <w:spacing w:after="0"/>
              <w:rPr>
                <w:sz w:val="20"/>
                <w:szCs w:val="20"/>
                <w:color w:val="auto"/>
              </w:rPr>
            </w:pPr>
            <w:r>
              <w:rPr>
                <w:rFonts w:ascii="Arial" w:cs="Arial" w:eastAsia="Arial" w:hAnsi="Arial"/>
                <w:sz w:val="20"/>
                <w:szCs w:val="20"/>
                <w:b w:val="1"/>
                <w:bCs w:val="1"/>
                <w:color w:val="FFFFFF"/>
              </w:rPr>
              <w:t>($)</w:t>
            </w:r>
          </w:p>
        </w:tc>
        <w:tc>
          <w:tcPr>
            <w:tcW w:w="1020" w:type="dxa"/>
            <w:vAlign w:val="bottom"/>
            <w:tcBorders>
              <w:right w:val="single" w:sz="8" w:color="2D53A6"/>
            </w:tcBorders>
            <w:shd w:val="clear" w:color="auto" w:fill="2D53A6"/>
          </w:tcPr>
          <w:p>
            <w:pPr>
              <w:spacing w:after="0"/>
              <w:rPr>
                <w:sz w:val="9"/>
                <w:szCs w:val="9"/>
                <w:color w:val="auto"/>
              </w:rPr>
            </w:pPr>
          </w:p>
        </w:tc>
        <w:tc>
          <w:tcPr>
            <w:tcW w:w="2520" w:type="dxa"/>
            <w:vAlign w:val="bottom"/>
            <w:tcBorders>
              <w:right w:val="single" w:sz="8" w:color="2D53A6"/>
            </w:tcBorders>
            <w:vMerge w:val="restart"/>
            <w:shd w:val="clear" w:color="auto" w:fill="2D53A6"/>
          </w:tcPr>
          <w:p>
            <w:pPr>
              <w:jc w:val="right"/>
              <w:ind w:right="967"/>
              <w:spacing w:after="0"/>
              <w:rPr>
                <w:sz w:val="20"/>
                <w:szCs w:val="20"/>
                <w:color w:val="auto"/>
              </w:rPr>
            </w:pPr>
            <w:r>
              <w:rPr>
                <w:rFonts w:ascii="Arial" w:cs="Arial" w:eastAsia="Arial" w:hAnsi="Arial"/>
                <w:sz w:val="20"/>
                <w:szCs w:val="20"/>
                <w:b w:val="1"/>
                <w:bCs w:val="1"/>
                <w:color w:val="FFFFFF"/>
              </w:rPr>
              <w:t>($)</w:t>
            </w:r>
            <w:r>
              <w:rPr>
                <w:rFonts w:ascii="Arial" w:cs="Arial" w:eastAsia="Arial" w:hAnsi="Arial"/>
                <w:sz w:val="16"/>
                <w:szCs w:val="16"/>
                <w:b w:val="1"/>
                <w:bCs w:val="1"/>
                <w:color w:val="FFFFFF"/>
              </w:rPr>
              <w:t>(1)</w:t>
            </w:r>
          </w:p>
        </w:tc>
        <w:tc>
          <w:tcPr>
            <w:tcW w:w="250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720" w:type="dxa"/>
            <w:vAlign w:val="bottom"/>
            <w:tcBorders>
              <w:right w:val="single" w:sz="8" w:color="2D53A6"/>
            </w:tcBorders>
            <w:shd w:val="clear" w:color="auto" w:fill="2D53A6"/>
          </w:tcPr>
          <w:p>
            <w:pPr>
              <w:spacing w:after="0"/>
              <w:rPr>
                <w:sz w:val="14"/>
                <w:szCs w:val="14"/>
                <w:color w:val="auto"/>
              </w:rPr>
            </w:pPr>
          </w:p>
        </w:tc>
        <w:tc>
          <w:tcPr>
            <w:tcW w:w="1480" w:type="dxa"/>
            <w:vAlign w:val="bottom"/>
            <w:vMerge w:val="continue"/>
            <w:shd w:val="clear" w:color="auto" w:fill="2D53A6"/>
          </w:tcPr>
          <w:p>
            <w:pPr>
              <w:spacing w:after="0"/>
              <w:rPr>
                <w:sz w:val="14"/>
                <w:szCs w:val="14"/>
                <w:color w:val="auto"/>
              </w:rPr>
            </w:pPr>
          </w:p>
        </w:tc>
        <w:tc>
          <w:tcPr>
            <w:tcW w:w="1020" w:type="dxa"/>
            <w:vAlign w:val="bottom"/>
            <w:tcBorders>
              <w:right w:val="single" w:sz="8" w:color="2D53A6"/>
            </w:tcBorders>
            <w:shd w:val="clear" w:color="auto" w:fill="2D53A6"/>
          </w:tcPr>
          <w:p>
            <w:pPr>
              <w:spacing w:after="0"/>
              <w:rPr>
                <w:sz w:val="14"/>
                <w:szCs w:val="14"/>
                <w:color w:val="auto"/>
              </w:rPr>
            </w:pPr>
          </w:p>
        </w:tc>
        <w:tc>
          <w:tcPr>
            <w:tcW w:w="2520" w:type="dxa"/>
            <w:vAlign w:val="bottom"/>
            <w:tcBorders>
              <w:right w:val="single" w:sz="8" w:color="2D53A6"/>
            </w:tcBorders>
            <w:vMerge w:val="continue"/>
            <w:shd w:val="clear" w:color="auto" w:fill="2D53A6"/>
          </w:tcPr>
          <w:p>
            <w:pPr>
              <w:spacing w:after="0"/>
              <w:rPr>
                <w:sz w:val="14"/>
                <w:szCs w:val="14"/>
                <w:color w:val="auto"/>
              </w:rPr>
            </w:pPr>
          </w:p>
        </w:tc>
        <w:tc>
          <w:tcPr>
            <w:tcW w:w="25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w:t>
            </w:r>
            <w:r>
              <w:rPr>
                <w:rFonts w:ascii="Arial" w:cs="Arial" w:eastAsia="Arial" w:hAnsi="Arial"/>
                <w:sz w:val="16"/>
                <w:szCs w:val="16"/>
                <w:b w:val="1"/>
                <w:bCs w:val="1"/>
                <w:color w:val="FFFFFF"/>
                <w:w w:val="99"/>
              </w:rPr>
              <w:t>(2)</w:t>
            </w:r>
          </w:p>
        </w:tc>
        <w:tc>
          <w:tcPr>
            <w:tcW w:w="0" w:type="dxa"/>
            <w:vAlign w:val="bottom"/>
          </w:tcPr>
          <w:p>
            <w:pPr>
              <w:spacing w:after="0"/>
              <w:rPr>
                <w:sz w:val="1"/>
                <w:szCs w:val="1"/>
                <w:color w:val="auto"/>
              </w:rPr>
            </w:pPr>
          </w:p>
        </w:tc>
      </w:tr>
      <w:tr>
        <w:trPr>
          <w:trHeight w:val="108"/>
        </w:trPr>
        <w:tc>
          <w:tcPr>
            <w:tcW w:w="3720" w:type="dxa"/>
            <w:vAlign w:val="bottom"/>
            <w:tcBorders>
              <w:bottom w:val="single" w:sz="8" w:color="2D53A6"/>
              <w:right w:val="single" w:sz="8" w:color="2D53A6"/>
            </w:tcBorders>
            <w:shd w:val="clear" w:color="auto" w:fill="2D53A6"/>
          </w:tcPr>
          <w:p>
            <w:pPr>
              <w:spacing w:after="0"/>
              <w:rPr>
                <w:sz w:val="9"/>
                <w:szCs w:val="9"/>
                <w:color w:val="auto"/>
              </w:rPr>
            </w:pPr>
          </w:p>
        </w:tc>
        <w:tc>
          <w:tcPr>
            <w:tcW w:w="1480" w:type="dxa"/>
            <w:vAlign w:val="bottom"/>
            <w:tcBorders>
              <w:bottom w:val="single" w:sz="8" w:color="2D53A6"/>
            </w:tcBorders>
            <w:shd w:val="clear" w:color="auto" w:fill="2D53A6"/>
          </w:tcPr>
          <w:p>
            <w:pPr>
              <w:spacing w:after="0"/>
              <w:rPr>
                <w:sz w:val="9"/>
                <w:szCs w:val="9"/>
                <w:color w:val="auto"/>
              </w:rPr>
            </w:pPr>
          </w:p>
        </w:tc>
        <w:tc>
          <w:tcPr>
            <w:tcW w:w="1020" w:type="dxa"/>
            <w:vAlign w:val="bottom"/>
            <w:tcBorders>
              <w:bottom w:val="single" w:sz="8" w:color="2D53A6"/>
              <w:right w:val="single" w:sz="8" w:color="2D53A6"/>
            </w:tcBorders>
            <w:shd w:val="clear" w:color="auto" w:fill="2D53A6"/>
          </w:tcPr>
          <w:p>
            <w:pPr>
              <w:spacing w:after="0"/>
              <w:rPr>
                <w:sz w:val="9"/>
                <w:szCs w:val="9"/>
                <w:color w:val="auto"/>
              </w:rPr>
            </w:pPr>
          </w:p>
        </w:tc>
        <w:tc>
          <w:tcPr>
            <w:tcW w:w="2520" w:type="dxa"/>
            <w:vAlign w:val="bottom"/>
            <w:tcBorders>
              <w:bottom w:val="single" w:sz="8" w:color="2D53A6"/>
              <w:right w:val="single" w:sz="8" w:color="2D53A6"/>
            </w:tcBorders>
            <w:shd w:val="clear" w:color="auto" w:fill="2D53A6"/>
          </w:tcPr>
          <w:p>
            <w:pPr>
              <w:spacing w:after="0"/>
              <w:rPr>
                <w:sz w:val="9"/>
                <w:szCs w:val="9"/>
                <w:color w:val="auto"/>
              </w:rPr>
            </w:pPr>
          </w:p>
        </w:tc>
        <w:tc>
          <w:tcPr>
            <w:tcW w:w="2500" w:type="dxa"/>
            <w:vAlign w:val="bottom"/>
            <w:tcBorders>
              <w:bottom w:val="single" w:sz="8" w:color="2D53A6"/>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372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1480" w:type="dxa"/>
            <w:vAlign w:val="bottom"/>
          </w:tcPr>
          <w:p>
            <w:pPr>
              <w:spacing w:after="0"/>
              <w:rPr>
                <w:sz w:val="22"/>
                <w:szCs w:val="22"/>
                <w:color w:val="auto"/>
              </w:rPr>
            </w:pPr>
          </w:p>
        </w:tc>
        <w:tc>
          <w:tcPr>
            <w:tcW w:w="1020" w:type="dxa"/>
            <w:vAlign w:val="bottom"/>
            <w:tcBorders>
              <w:right w:val="single" w:sz="8" w:color="2D53A6"/>
            </w:tcBorders>
          </w:tcPr>
          <w:p>
            <w:pPr>
              <w:jc w:val="right"/>
              <w:ind w:right="110"/>
              <w:spacing w:after="0"/>
              <w:rPr>
                <w:sz w:val="20"/>
                <w:szCs w:val="20"/>
                <w:color w:val="auto"/>
              </w:rPr>
            </w:pPr>
            <w:r>
              <w:rPr>
                <w:rFonts w:ascii="Arial" w:cs="Arial" w:eastAsia="Arial" w:hAnsi="Arial"/>
                <w:sz w:val="18"/>
                <w:szCs w:val="18"/>
                <w:color w:val="auto"/>
                <w:w w:val="99"/>
              </w:rPr>
              <w:t>1,156,605</w:t>
            </w:r>
          </w:p>
        </w:tc>
        <w:tc>
          <w:tcPr>
            <w:tcW w:w="2520" w:type="dxa"/>
            <w:vAlign w:val="bottom"/>
            <w:tcBorders>
              <w:right w:val="single" w:sz="8" w:color="2D53A6"/>
            </w:tcBorders>
          </w:tcPr>
          <w:p>
            <w:pPr>
              <w:jc w:val="right"/>
              <w:ind w:right="107"/>
              <w:spacing w:after="0"/>
              <w:rPr>
                <w:sz w:val="20"/>
                <w:szCs w:val="20"/>
                <w:color w:val="auto"/>
              </w:rPr>
            </w:pPr>
            <w:r>
              <w:rPr>
                <w:rFonts w:ascii="Arial" w:cs="Arial" w:eastAsia="Arial" w:hAnsi="Arial"/>
                <w:sz w:val="18"/>
                <w:szCs w:val="18"/>
                <w:color w:val="auto"/>
              </w:rPr>
              <w:t>1,072,500</w:t>
            </w:r>
          </w:p>
        </w:tc>
        <w:tc>
          <w:tcPr>
            <w:tcW w:w="2500" w:type="dxa"/>
            <w:vAlign w:val="bottom"/>
            <w:tcBorders>
              <w:right w:val="single" w:sz="8" w:color="2D53A6"/>
            </w:tcBorders>
          </w:tcPr>
          <w:p>
            <w:pPr>
              <w:jc w:val="right"/>
              <w:ind w:right="86"/>
              <w:spacing w:after="0"/>
              <w:rPr>
                <w:sz w:val="20"/>
                <w:szCs w:val="20"/>
                <w:color w:val="auto"/>
              </w:rPr>
            </w:pPr>
            <w:r>
              <w:rPr>
                <w:rFonts w:ascii="Arial" w:cs="Arial" w:eastAsia="Arial" w:hAnsi="Arial"/>
                <w:sz w:val="18"/>
                <w:szCs w:val="18"/>
                <w:color w:val="auto"/>
              </w:rPr>
              <w:t>84,105</w:t>
            </w:r>
          </w:p>
        </w:tc>
        <w:tc>
          <w:tcPr>
            <w:tcW w:w="0" w:type="dxa"/>
            <w:vAlign w:val="bottom"/>
          </w:tcPr>
          <w:p>
            <w:pPr>
              <w:spacing w:after="0"/>
              <w:rPr>
                <w:sz w:val="1"/>
                <w:szCs w:val="1"/>
                <w:color w:val="auto"/>
              </w:rPr>
            </w:pPr>
          </w:p>
        </w:tc>
      </w:tr>
      <w:tr>
        <w:trPr>
          <w:trHeight w:val="23"/>
        </w:trPr>
        <w:tc>
          <w:tcPr>
            <w:tcW w:w="3720" w:type="dxa"/>
            <w:vAlign w:val="bottom"/>
            <w:tcBorders>
              <w:bottom w:val="single" w:sz="8" w:color="2D53A6"/>
              <w:right w:val="single" w:sz="8" w:color="2D53A6"/>
            </w:tcBorders>
          </w:tcPr>
          <w:p>
            <w:pPr>
              <w:spacing w:after="0"/>
              <w:rPr>
                <w:sz w:val="2"/>
                <w:szCs w:val="2"/>
                <w:color w:val="auto"/>
              </w:rPr>
            </w:pPr>
          </w:p>
        </w:tc>
        <w:tc>
          <w:tcPr>
            <w:tcW w:w="1480" w:type="dxa"/>
            <w:vAlign w:val="bottom"/>
            <w:tcBorders>
              <w:bottom w:val="single" w:sz="8" w:color="2D53A6"/>
            </w:tcBorders>
          </w:tcPr>
          <w:p>
            <w:pPr>
              <w:spacing w:after="0"/>
              <w:rPr>
                <w:sz w:val="2"/>
                <w:szCs w:val="2"/>
                <w:color w:val="auto"/>
              </w:rPr>
            </w:pPr>
          </w:p>
        </w:tc>
        <w:tc>
          <w:tcPr>
            <w:tcW w:w="1020" w:type="dxa"/>
            <w:vAlign w:val="bottom"/>
            <w:tcBorders>
              <w:bottom w:val="single" w:sz="8" w:color="2D53A6"/>
              <w:right w:val="single" w:sz="8" w:color="2D53A6"/>
            </w:tcBorders>
          </w:tcPr>
          <w:p>
            <w:pPr>
              <w:spacing w:after="0"/>
              <w:rPr>
                <w:sz w:val="2"/>
                <w:szCs w:val="2"/>
                <w:color w:val="auto"/>
              </w:rPr>
            </w:pPr>
          </w:p>
        </w:tc>
        <w:tc>
          <w:tcPr>
            <w:tcW w:w="2520" w:type="dxa"/>
            <w:vAlign w:val="bottom"/>
            <w:tcBorders>
              <w:bottom w:val="single" w:sz="8" w:color="2D53A6"/>
              <w:right w:val="single" w:sz="8" w:color="2D53A6"/>
            </w:tcBorders>
          </w:tcPr>
          <w:p>
            <w:pPr>
              <w:spacing w:after="0"/>
              <w:rPr>
                <w:sz w:val="2"/>
                <w:szCs w:val="2"/>
                <w:color w:val="auto"/>
              </w:rPr>
            </w:pPr>
          </w:p>
        </w:tc>
        <w:tc>
          <w:tcPr>
            <w:tcW w:w="2500" w:type="dxa"/>
            <w:vAlign w:val="bottom"/>
            <w:tcBorders>
              <w:bottom w:val="single" w:sz="8" w:color="2D53A6"/>
              <w:right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2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14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2D53A6"/>
            </w:tcBorders>
            <w:shd w:val="clear" w:color="auto" w:fill="E6E6E6"/>
          </w:tcPr>
          <w:p>
            <w:pPr>
              <w:jc w:val="right"/>
              <w:ind w:right="110"/>
              <w:spacing w:after="0"/>
              <w:rPr>
                <w:sz w:val="20"/>
                <w:szCs w:val="20"/>
                <w:color w:val="auto"/>
              </w:rPr>
            </w:pPr>
            <w:r>
              <w:rPr>
                <w:rFonts w:ascii="Arial" w:cs="Arial" w:eastAsia="Arial" w:hAnsi="Arial"/>
                <w:sz w:val="18"/>
                <w:szCs w:val="18"/>
                <w:color w:val="auto"/>
              </w:rPr>
              <w:t>493,964</w:t>
            </w:r>
          </w:p>
        </w:tc>
        <w:tc>
          <w:tcPr>
            <w:tcW w:w="252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455,000</w:t>
            </w:r>
          </w:p>
        </w:tc>
        <w:tc>
          <w:tcPr>
            <w:tcW w:w="2500" w:type="dxa"/>
            <w:vAlign w:val="bottom"/>
            <w:tcBorders>
              <w:bottom w:val="single" w:sz="8" w:color="E6E6E6"/>
              <w:right w:val="single" w:sz="8" w:color="2D53A6"/>
            </w:tcBorders>
            <w:shd w:val="clear" w:color="auto" w:fill="E6E6E6"/>
          </w:tcPr>
          <w:p>
            <w:pPr>
              <w:jc w:val="right"/>
              <w:ind w:right="86"/>
              <w:spacing w:after="0"/>
              <w:rPr>
                <w:sz w:val="20"/>
                <w:szCs w:val="20"/>
                <w:color w:val="auto"/>
              </w:rPr>
            </w:pPr>
            <w:r>
              <w:rPr>
                <w:rFonts w:ascii="Arial" w:cs="Arial" w:eastAsia="Arial" w:hAnsi="Arial"/>
                <w:sz w:val="18"/>
                <w:szCs w:val="18"/>
                <w:color w:val="auto"/>
              </w:rPr>
              <w:t>38,964</w:t>
            </w:r>
          </w:p>
        </w:tc>
        <w:tc>
          <w:tcPr>
            <w:tcW w:w="0" w:type="dxa"/>
            <w:vAlign w:val="bottom"/>
          </w:tcPr>
          <w:p>
            <w:pPr>
              <w:spacing w:after="0"/>
              <w:rPr>
                <w:sz w:val="1"/>
                <w:szCs w:val="1"/>
                <w:color w:val="auto"/>
              </w:rPr>
            </w:pPr>
          </w:p>
        </w:tc>
      </w:tr>
      <w:tr>
        <w:trPr>
          <w:trHeight w:val="254"/>
        </w:trPr>
        <w:tc>
          <w:tcPr>
            <w:tcW w:w="372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1480" w:type="dxa"/>
            <w:vAlign w:val="bottom"/>
            <w:tcBorders>
              <w:top w:val="single" w:sz="8" w:color="2D53A6"/>
            </w:tcBorders>
          </w:tcPr>
          <w:p>
            <w:pPr>
              <w:spacing w:after="0"/>
              <w:rPr>
                <w:sz w:val="22"/>
                <w:szCs w:val="22"/>
                <w:color w:val="auto"/>
              </w:rPr>
            </w:pPr>
          </w:p>
        </w:tc>
        <w:tc>
          <w:tcPr>
            <w:tcW w:w="1020" w:type="dxa"/>
            <w:vAlign w:val="bottom"/>
            <w:tcBorders>
              <w:top w:val="single" w:sz="8" w:color="2D53A6"/>
              <w:right w:val="single" w:sz="8" w:color="2D53A6"/>
            </w:tcBorders>
          </w:tcPr>
          <w:p>
            <w:pPr>
              <w:jc w:val="right"/>
              <w:ind w:right="110"/>
              <w:spacing w:after="0"/>
              <w:rPr>
                <w:sz w:val="20"/>
                <w:szCs w:val="20"/>
                <w:color w:val="auto"/>
              </w:rPr>
            </w:pPr>
            <w:r>
              <w:rPr>
                <w:rFonts w:ascii="Arial" w:cs="Arial" w:eastAsia="Arial" w:hAnsi="Arial"/>
                <w:sz w:val="18"/>
                <w:szCs w:val="18"/>
                <w:color w:val="auto"/>
              </w:rPr>
              <w:t>463,964</w:t>
            </w:r>
          </w:p>
        </w:tc>
        <w:tc>
          <w:tcPr>
            <w:tcW w:w="2520" w:type="dxa"/>
            <w:vAlign w:val="bottom"/>
            <w:tcBorders>
              <w:top w:val="single" w:sz="8" w:color="2D53A6"/>
              <w:right w:val="single" w:sz="8" w:color="2D53A6"/>
            </w:tcBorders>
          </w:tcPr>
          <w:p>
            <w:pPr>
              <w:jc w:val="right"/>
              <w:ind w:right="107"/>
              <w:spacing w:after="0"/>
              <w:rPr>
                <w:sz w:val="20"/>
                <w:szCs w:val="20"/>
                <w:color w:val="auto"/>
              </w:rPr>
            </w:pPr>
            <w:r>
              <w:rPr>
                <w:rFonts w:ascii="Arial" w:cs="Arial" w:eastAsia="Arial" w:hAnsi="Arial"/>
                <w:sz w:val="18"/>
                <w:szCs w:val="18"/>
                <w:color w:val="auto"/>
              </w:rPr>
              <w:t>425,000</w:t>
            </w:r>
          </w:p>
        </w:tc>
        <w:tc>
          <w:tcPr>
            <w:tcW w:w="2500" w:type="dxa"/>
            <w:vAlign w:val="bottom"/>
            <w:tcBorders>
              <w:top w:val="single" w:sz="8" w:color="2D53A6"/>
              <w:right w:val="single" w:sz="8" w:color="2D53A6"/>
            </w:tcBorders>
          </w:tcPr>
          <w:p>
            <w:pPr>
              <w:jc w:val="right"/>
              <w:ind w:right="86"/>
              <w:spacing w:after="0"/>
              <w:rPr>
                <w:sz w:val="20"/>
                <w:szCs w:val="20"/>
                <w:color w:val="auto"/>
              </w:rPr>
            </w:pPr>
            <w:r>
              <w:rPr>
                <w:rFonts w:ascii="Arial" w:cs="Arial" w:eastAsia="Arial" w:hAnsi="Arial"/>
                <w:sz w:val="18"/>
                <w:szCs w:val="18"/>
                <w:color w:val="auto"/>
              </w:rPr>
              <w:t>38,964</w:t>
            </w:r>
          </w:p>
        </w:tc>
        <w:tc>
          <w:tcPr>
            <w:tcW w:w="0" w:type="dxa"/>
            <w:vAlign w:val="bottom"/>
          </w:tcPr>
          <w:p>
            <w:pPr>
              <w:spacing w:after="0"/>
              <w:rPr>
                <w:sz w:val="1"/>
                <w:szCs w:val="1"/>
                <w:color w:val="auto"/>
              </w:rPr>
            </w:pPr>
          </w:p>
        </w:tc>
      </w:tr>
      <w:tr>
        <w:trPr>
          <w:trHeight w:val="23"/>
        </w:trPr>
        <w:tc>
          <w:tcPr>
            <w:tcW w:w="3720" w:type="dxa"/>
            <w:vAlign w:val="bottom"/>
            <w:tcBorders>
              <w:bottom w:val="single" w:sz="8" w:color="2D53A6"/>
              <w:right w:val="single" w:sz="8" w:color="2D53A6"/>
            </w:tcBorders>
          </w:tcPr>
          <w:p>
            <w:pPr>
              <w:spacing w:after="0"/>
              <w:rPr>
                <w:sz w:val="2"/>
                <w:szCs w:val="2"/>
                <w:color w:val="auto"/>
              </w:rPr>
            </w:pPr>
          </w:p>
        </w:tc>
        <w:tc>
          <w:tcPr>
            <w:tcW w:w="1480" w:type="dxa"/>
            <w:vAlign w:val="bottom"/>
            <w:tcBorders>
              <w:bottom w:val="single" w:sz="8" w:color="2D53A6"/>
            </w:tcBorders>
          </w:tcPr>
          <w:p>
            <w:pPr>
              <w:spacing w:after="0"/>
              <w:rPr>
                <w:sz w:val="2"/>
                <w:szCs w:val="2"/>
                <w:color w:val="auto"/>
              </w:rPr>
            </w:pPr>
          </w:p>
        </w:tc>
        <w:tc>
          <w:tcPr>
            <w:tcW w:w="1020" w:type="dxa"/>
            <w:vAlign w:val="bottom"/>
            <w:tcBorders>
              <w:bottom w:val="single" w:sz="8" w:color="2D53A6"/>
              <w:right w:val="single" w:sz="8" w:color="2D53A6"/>
            </w:tcBorders>
          </w:tcPr>
          <w:p>
            <w:pPr>
              <w:spacing w:after="0"/>
              <w:rPr>
                <w:sz w:val="2"/>
                <w:szCs w:val="2"/>
                <w:color w:val="auto"/>
              </w:rPr>
            </w:pPr>
          </w:p>
        </w:tc>
        <w:tc>
          <w:tcPr>
            <w:tcW w:w="2520" w:type="dxa"/>
            <w:vAlign w:val="bottom"/>
            <w:tcBorders>
              <w:bottom w:val="single" w:sz="8" w:color="2D53A6"/>
              <w:right w:val="single" w:sz="8" w:color="2D53A6"/>
            </w:tcBorders>
          </w:tcPr>
          <w:p>
            <w:pPr>
              <w:spacing w:after="0"/>
              <w:rPr>
                <w:sz w:val="2"/>
                <w:szCs w:val="2"/>
                <w:color w:val="auto"/>
              </w:rPr>
            </w:pPr>
          </w:p>
        </w:tc>
        <w:tc>
          <w:tcPr>
            <w:tcW w:w="2500" w:type="dxa"/>
            <w:vAlign w:val="bottom"/>
            <w:tcBorders>
              <w:bottom w:val="single" w:sz="8" w:color="2D53A6"/>
              <w:right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Klaus Ilgenfritz</w:t>
            </w:r>
          </w:p>
        </w:tc>
        <w:tc>
          <w:tcPr>
            <w:tcW w:w="1480" w:type="dxa"/>
            <w:vAlign w:val="bottom"/>
            <w:tcBorders>
              <w:bottom w:val="single" w:sz="8" w:color="E6E6E6"/>
            </w:tcBorders>
            <w:shd w:val="clear" w:color="auto" w:fill="E6E6E6"/>
          </w:tcPr>
          <w:p>
            <w:pPr>
              <w:spacing w:after="0"/>
              <w:rPr>
                <w:sz w:val="22"/>
                <w:szCs w:val="22"/>
                <w:color w:val="auto"/>
              </w:rPr>
            </w:pPr>
          </w:p>
        </w:tc>
        <w:tc>
          <w:tcPr>
            <w:tcW w:w="1020" w:type="dxa"/>
            <w:vAlign w:val="bottom"/>
            <w:tcBorders>
              <w:bottom w:val="single" w:sz="8" w:color="E6E6E6"/>
              <w:right w:val="single" w:sz="8" w:color="2D53A6"/>
            </w:tcBorders>
            <w:shd w:val="clear" w:color="auto" w:fill="E6E6E6"/>
          </w:tcPr>
          <w:p>
            <w:pPr>
              <w:jc w:val="right"/>
              <w:ind w:right="110"/>
              <w:spacing w:after="0"/>
              <w:rPr>
                <w:sz w:val="20"/>
                <w:szCs w:val="20"/>
                <w:color w:val="auto"/>
              </w:rPr>
            </w:pPr>
            <w:r>
              <w:rPr>
                <w:rFonts w:ascii="Arial" w:cs="Arial" w:eastAsia="Arial" w:hAnsi="Arial"/>
                <w:sz w:val="18"/>
                <w:szCs w:val="18"/>
                <w:color w:val="auto"/>
              </w:rPr>
              <w:t>466,392</w:t>
            </w:r>
          </w:p>
        </w:tc>
        <w:tc>
          <w:tcPr>
            <w:tcW w:w="252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466,392</w:t>
            </w:r>
          </w:p>
        </w:tc>
        <w:tc>
          <w:tcPr>
            <w:tcW w:w="2500" w:type="dxa"/>
            <w:vAlign w:val="bottom"/>
            <w:tcBorders>
              <w:bottom w:val="single" w:sz="8" w:color="E6E6E6"/>
              <w:right w:val="single" w:sz="8" w:color="2D53A6"/>
            </w:tcBorders>
            <w:shd w:val="clear" w:color="auto" w:fill="E6E6E6"/>
          </w:tcPr>
          <w:p>
            <w:pPr>
              <w:jc w:val="right"/>
              <w:ind w:right="8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tcBorders>
              <w:right w:val="single" w:sz="8" w:color="2D53A6"/>
            </w:tcBorders>
            <w:shd w:val="clear" w:color="auto" w:fill="2D53A6"/>
          </w:tcPr>
          <w:p>
            <w:pPr>
              <w:spacing w:after="0" w:line="20" w:lineRule="exact"/>
              <w:rPr>
                <w:sz w:val="1"/>
                <w:szCs w:val="1"/>
                <w:color w:val="auto"/>
              </w:rPr>
            </w:pPr>
          </w:p>
        </w:tc>
        <w:tc>
          <w:tcPr>
            <w:tcW w:w="1480" w:type="dxa"/>
            <w:vAlign w:val="bottom"/>
            <w:shd w:val="clear" w:color="auto" w:fill="2D53A6"/>
          </w:tcPr>
          <w:p>
            <w:pPr>
              <w:spacing w:after="0" w:line="20" w:lineRule="exact"/>
              <w:rPr>
                <w:sz w:val="1"/>
                <w:szCs w:val="1"/>
                <w:color w:val="auto"/>
              </w:rPr>
            </w:pPr>
          </w:p>
        </w:tc>
        <w:tc>
          <w:tcPr>
            <w:tcW w:w="1020" w:type="dxa"/>
            <w:vAlign w:val="bottom"/>
            <w:tcBorders>
              <w:right w:val="single" w:sz="8" w:color="2D53A6"/>
            </w:tcBorders>
            <w:shd w:val="clear" w:color="auto" w:fill="2D53A6"/>
          </w:tcPr>
          <w:p>
            <w:pPr>
              <w:spacing w:after="0" w:line="20" w:lineRule="exact"/>
              <w:rPr>
                <w:sz w:val="1"/>
                <w:szCs w:val="1"/>
                <w:color w:val="auto"/>
              </w:rPr>
            </w:pPr>
          </w:p>
        </w:tc>
        <w:tc>
          <w:tcPr>
            <w:tcW w:w="2520" w:type="dxa"/>
            <w:vAlign w:val="bottom"/>
            <w:tcBorders>
              <w:right w:val="single" w:sz="8" w:color="2D53A6"/>
            </w:tcBorders>
            <w:shd w:val="clear" w:color="auto" w:fill="2D53A6"/>
          </w:tcPr>
          <w:p>
            <w:pPr>
              <w:spacing w:after="0" w:line="20" w:lineRule="exact"/>
              <w:rPr>
                <w:sz w:val="1"/>
                <w:szCs w:val="1"/>
                <w:color w:val="auto"/>
              </w:rPr>
            </w:pPr>
          </w:p>
        </w:tc>
        <w:tc>
          <w:tcPr>
            <w:tcW w:w="2500" w:type="dxa"/>
            <w:vAlign w:val="bottom"/>
            <w:tcBorders>
              <w:right w:val="single" w:sz="8" w:color="2D53A6"/>
            </w:tcBorders>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140" w:hanging="332"/>
        <w:spacing w:after="0" w:line="25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Reflects the cash severance benefits payable in the event of a qualifying termination under Dr. Müller’s and Messrs. Jones’, and Bohrson’s respective Severance Agreement and Mr. Ilgenfritz’s local Managing Director’s Service Agreement. These amounts are based on the individual’s base salary in effect as of December 27, 2025.</w:t>
      </w:r>
    </w:p>
    <w:p>
      <w:pPr>
        <w:spacing w:after="0" w:line="1" w:lineRule="exact"/>
        <w:rPr>
          <w:rFonts w:ascii="Arial" w:cs="Arial" w:eastAsia="Arial" w:hAnsi="Arial"/>
          <w:sz w:val="14"/>
          <w:szCs w:val="14"/>
          <w:color w:val="auto"/>
        </w:rPr>
      </w:pPr>
    </w:p>
    <w:p>
      <w:pPr>
        <w:ind w:left="340" w:right="240" w:hanging="332"/>
        <w:spacing w:after="0" w:line="264"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Reflects reimbursement for continued health care benefits pursuant to COBRA,18 months for Dr. Müller, and 12 months for Messrs. Jones, and Bohrson. Mr. Ilgenfritz is employed in Germany and COBRA is not applicable in this jurisdiction.</w:t>
      </w:r>
    </w:p>
    <w:p>
      <w:pPr>
        <w:spacing w:after="0" w:line="14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Other than as described above, and in the “Employment Agreements” and “Post-Employment Compensation” sections of the Compensation Discussion and Analysis, there are no other benefits or payments that would be paid to our NEOs upon resignation, severance, retirement, termination or a change in control of Cohu.</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36130" cy="389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389890"/>
                    </a:xfrm>
                    <a:prstGeom prst="rect">
                      <a:avLst/>
                    </a:prstGeom>
                    <a:noFill/>
                  </pic:spPr>
                </pic:pic>
              </a:graphicData>
            </a:graphic>
          </wp:anchor>
        </w:drawing>
      </w:r>
    </w:p>
    <w:p>
      <w:pPr>
        <w:spacing w:after="0" w:line="253" w:lineRule="exact"/>
        <w:rPr>
          <w:sz w:val="20"/>
          <w:szCs w:val="20"/>
          <w:color w:val="auto"/>
        </w:rPr>
      </w:pPr>
    </w:p>
    <w:p>
      <w:pPr>
        <w:ind w:left="420"/>
        <w:spacing w:after="0"/>
        <w:rPr>
          <w:sz w:val="20"/>
          <w:szCs w:val="20"/>
          <w:color w:val="auto"/>
        </w:rPr>
      </w:pPr>
      <w:r>
        <w:rPr>
          <w:rFonts w:ascii="Arial" w:cs="Arial" w:eastAsia="Arial" w:hAnsi="Arial"/>
          <w:sz w:val="36"/>
          <w:szCs w:val="36"/>
          <w:b w:val="1"/>
          <w:bCs w:val="1"/>
          <w:color w:val="FFFFFF"/>
        </w:rPr>
        <w:t>Audit Matters</w:t>
      </w: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Audit Committee Report</w:t>
      </w: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Composition</w:t>
      </w:r>
    </w:p>
    <w:p>
      <w:pPr>
        <w:spacing w:after="0" w:line="200"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The Audit Committee of the Board of Directors is composed of three (3) independent directors, as defined in the Nasdaq listing standards, and operates under a written charter adopted by the Board of Directors. The current members of the Audit Committee are William E. Bendush (Chair), Karen M. Rapp and Yon Y. Jorden. Each member of the Audit Committee qualifies as an “Audit Committee financial expert” under Item 407(d)(5)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2D53A6"/>
        </w:rPr>
        <w:t>Responsibilities</w:t>
      </w:r>
    </w:p>
    <w:p>
      <w:pPr>
        <w:spacing w:after="0" w:line="200"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Cohu’s management has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Review with Management and Independent Registered Public Accounting Firm</w:t>
      </w:r>
    </w:p>
    <w:p>
      <w:pPr>
        <w:spacing w:after="0" w:line="200" w:lineRule="exact"/>
        <w:rPr>
          <w:sz w:val="20"/>
          <w:szCs w:val="20"/>
          <w:color w:val="auto"/>
        </w:rPr>
      </w:pPr>
    </w:p>
    <w:p>
      <w:pPr>
        <w:jc w:val="both"/>
        <w:ind w:right="160"/>
        <w:spacing w:after="0" w:line="244" w:lineRule="auto"/>
        <w:rPr>
          <w:sz w:val="20"/>
          <w:szCs w:val="20"/>
          <w:color w:val="auto"/>
        </w:rPr>
      </w:pPr>
      <w:r>
        <w:rPr>
          <w:rFonts w:ascii="Arial" w:cs="Arial" w:eastAsia="Arial" w:hAnsi="Arial"/>
          <w:sz w:val="18"/>
          <w:szCs w:val="18"/>
          <w:color w:val="auto"/>
        </w:rPr>
        <w:t>In this context, the Audit Committee has reviewed and discussed the audited consolidated financial statements contained in Cohu’s Annual Report on Form 10-K for the year ended December 27, 2025,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 (“PCAOB”) and the applicable requirements of the SEC.</w:t>
      </w:r>
    </w:p>
    <w:p>
      <w:pPr>
        <w:spacing w:after="0" w:line="163"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Ernst &amp; Young LLP also provided to the Audit Committee the written disclosures and the letter required by applicable requirements of the PCAOB regarding Ernst &amp; Young LLP’s communications with the Audit Committee concerning independence. The Audit Committee discussed with Ernst &amp; Young LLP any relationships that may impact their objectivity and independence, and satisfied itself as to Ernst &amp; Young LLP’s independence.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Summary</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Based upon the Audit Committee’s review and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27, 2025, for filing with the SEC.</w:t>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Audit Committee appointed Ernst &amp; Young LLP as Cohu’s independent registered public accounting firm for fiscal year 2026 and recommends to stockholders that they ratify the appointment of Ernst &amp; Young LLP as Cohu’s independent registered public accounting firm for fiscal year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Audit Committee.</w:t>
      </w:r>
    </w:p>
    <w:p>
      <w:pPr>
        <w:spacing w:after="0" w:line="198" w:lineRule="exact"/>
        <w:rPr>
          <w:sz w:val="20"/>
          <w:szCs w:val="20"/>
          <w:color w:val="auto"/>
        </w:rPr>
      </w:pPr>
    </w:p>
    <w:p>
      <w:pPr>
        <w:ind w:left="2920"/>
        <w:spacing w:after="0"/>
        <w:tabs>
          <w:tab w:leader="none" w:pos="5500" w:val="left"/>
          <w:tab w:leader="none" w:pos="7220" w:val="left"/>
        </w:tabs>
        <w:rPr>
          <w:sz w:val="20"/>
          <w:szCs w:val="20"/>
          <w:color w:val="auto"/>
        </w:rPr>
      </w:pPr>
      <w:r>
        <w:rPr>
          <w:rFonts w:ascii="Arial" w:cs="Arial" w:eastAsia="Arial" w:hAnsi="Arial"/>
          <w:sz w:val="18"/>
          <w:szCs w:val="18"/>
          <w:color w:val="auto"/>
        </w:rPr>
        <w:t>William E. Bendush (Chair)</w:t>
      </w:r>
      <w:r>
        <w:rPr>
          <w:sz w:val="20"/>
          <w:szCs w:val="20"/>
          <w:color w:val="auto"/>
        </w:rPr>
        <w:tab/>
      </w:r>
      <w:r>
        <w:rPr>
          <w:rFonts w:ascii="Arial" w:cs="Arial" w:eastAsia="Arial" w:hAnsi="Arial"/>
          <w:sz w:val="18"/>
          <w:szCs w:val="18"/>
          <w:color w:val="auto"/>
        </w:rPr>
        <w:t>Karen M. Rapp</w:t>
      </w:r>
      <w:r>
        <w:rPr>
          <w:sz w:val="20"/>
          <w:szCs w:val="20"/>
          <w:color w:val="auto"/>
        </w:rPr>
        <w:tab/>
      </w:r>
      <w:r>
        <w:rPr>
          <w:rFonts w:ascii="Arial" w:cs="Arial" w:eastAsia="Arial" w:hAnsi="Arial"/>
          <w:sz w:val="17"/>
          <w:szCs w:val="17"/>
          <w:color w:val="auto"/>
        </w:rPr>
        <w:t>Yon Y. Jorden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Accounting Fees and Services</w:t>
      </w:r>
    </w:p>
    <w:p>
      <w:pPr>
        <w:spacing w:after="0" w:line="20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The following table shows the fees billed to Cohu for the audit and other services provided by Ernst &amp; Young LLP for the years ended December 27, 2025, and December 28,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66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20"/>
                <w:szCs w:val="20"/>
                <w:b w:val="1"/>
                <w:bCs w:val="1"/>
                <w:color w:val="FFFFFF"/>
              </w:rPr>
              <w:t>(in thousands)</w:t>
            </w:r>
          </w:p>
        </w:tc>
        <w:tc>
          <w:tcPr>
            <w:tcW w:w="1340" w:type="dxa"/>
            <w:vAlign w:val="bottom"/>
            <w:gridSpan w:val="2"/>
            <w:shd w:val="clear" w:color="auto" w:fill="2D53A6"/>
          </w:tcPr>
          <w:p>
            <w:pPr>
              <w:jc w:val="right"/>
              <w:ind w:right="220"/>
              <w:spacing w:after="0"/>
              <w:rPr>
                <w:sz w:val="20"/>
                <w:szCs w:val="20"/>
                <w:color w:val="auto"/>
              </w:rPr>
            </w:pPr>
            <w:r>
              <w:rPr>
                <w:rFonts w:ascii="Arial" w:cs="Arial" w:eastAsia="Arial" w:hAnsi="Arial"/>
                <w:sz w:val="20"/>
                <w:szCs w:val="20"/>
                <w:b w:val="1"/>
                <w:bCs w:val="1"/>
                <w:color w:val="FFFFFF"/>
              </w:rPr>
              <w:t>2025</w:t>
            </w:r>
          </w:p>
        </w:tc>
        <w:tc>
          <w:tcPr>
            <w:tcW w:w="300" w:type="dxa"/>
            <w:vAlign w:val="bottom"/>
            <w:shd w:val="clear" w:color="auto" w:fill="2D53A6"/>
          </w:tcPr>
          <w:p>
            <w:pPr>
              <w:spacing w:after="0"/>
              <w:rPr>
                <w:sz w:val="24"/>
                <w:szCs w:val="24"/>
                <w:color w:val="auto"/>
              </w:rPr>
            </w:pPr>
          </w:p>
        </w:tc>
        <w:tc>
          <w:tcPr>
            <w:tcW w:w="160" w:type="dxa"/>
            <w:vAlign w:val="bottom"/>
            <w:tcBorders>
              <w:right w:val="single" w:sz="8" w:color="2D53A6"/>
            </w:tcBorders>
            <w:shd w:val="clear" w:color="auto" w:fill="2D53A6"/>
          </w:tcPr>
          <w:p>
            <w:pPr>
              <w:spacing w:after="0"/>
              <w:rPr>
                <w:sz w:val="24"/>
                <w:szCs w:val="24"/>
                <w:color w:val="auto"/>
              </w:rPr>
            </w:pPr>
          </w:p>
        </w:tc>
        <w:tc>
          <w:tcPr>
            <w:tcW w:w="1360" w:type="dxa"/>
            <w:vAlign w:val="bottom"/>
            <w:gridSpan w:val="2"/>
            <w:shd w:val="clear" w:color="auto" w:fill="2D53A6"/>
          </w:tcPr>
          <w:p>
            <w:pPr>
              <w:jc w:val="right"/>
              <w:ind w:right="260"/>
              <w:spacing w:after="0"/>
              <w:rPr>
                <w:sz w:val="20"/>
                <w:szCs w:val="20"/>
                <w:color w:val="auto"/>
              </w:rPr>
            </w:pPr>
            <w:r>
              <w:rPr>
                <w:rFonts w:ascii="Arial" w:cs="Arial" w:eastAsia="Arial" w:hAnsi="Arial"/>
                <w:sz w:val="20"/>
                <w:szCs w:val="20"/>
                <w:b w:val="1"/>
                <w:bCs w:val="1"/>
                <w:color w:val="FFFFFF"/>
              </w:rPr>
              <w:t>2024</w:t>
            </w:r>
          </w:p>
        </w:tc>
        <w:tc>
          <w:tcPr>
            <w:tcW w:w="280" w:type="dxa"/>
            <w:vAlign w:val="bottom"/>
            <w:shd w:val="clear" w:color="auto" w:fill="2D53A6"/>
          </w:tcPr>
          <w:p>
            <w:pPr>
              <w:spacing w:after="0"/>
              <w:rPr>
                <w:sz w:val="24"/>
                <w:szCs w:val="24"/>
                <w:color w:val="auto"/>
              </w:rPr>
            </w:pPr>
          </w:p>
        </w:tc>
        <w:tc>
          <w:tcPr>
            <w:tcW w:w="140" w:type="dxa"/>
            <w:vAlign w:val="bottom"/>
            <w:shd w:val="clear" w:color="auto" w:fill="2D53A6"/>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66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Audit Fees</w:t>
            </w:r>
            <w:r>
              <w:rPr>
                <w:rFonts w:ascii="Arial" w:cs="Arial" w:eastAsia="Arial" w:hAnsi="Arial"/>
                <w:sz w:val="14"/>
                <w:szCs w:val="14"/>
                <w:color w:val="auto"/>
              </w:rPr>
              <w:t>(1)</w:t>
            </w:r>
          </w:p>
        </w:tc>
        <w:tc>
          <w:tcPr>
            <w:tcW w:w="1640" w:type="dxa"/>
            <w:vAlign w:val="bottom"/>
            <w:tcBorders>
              <w:bottom w:val="single" w:sz="8" w:color="2D53A6"/>
            </w:tcBorders>
            <w:gridSpan w:val="3"/>
          </w:tcPr>
          <w:p>
            <w:pPr>
              <w:jc w:val="right"/>
              <w:spacing w:after="0"/>
              <w:rPr>
                <w:sz w:val="20"/>
                <w:szCs w:val="20"/>
                <w:color w:val="auto"/>
              </w:rPr>
            </w:pPr>
            <w:r>
              <w:rPr>
                <w:rFonts w:ascii="Arial" w:cs="Arial" w:eastAsia="Arial" w:hAnsi="Arial"/>
                <w:sz w:val="18"/>
                <w:szCs w:val="18"/>
                <w:color w:val="auto"/>
              </w:rPr>
              <w:t>$2,618</w:t>
            </w:r>
          </w:p>
        </w:tc>
        <w:tc>
          <w:tcPr>
            <w:tcW w:w="160" w:type="dxa"/>
            <w:vAlign w:val="bottom"/>
            <w:tcBorders>
              <w:bottom w:val="single" w:sz="8" w:color="2D53A6"/>
              <w:right w:val="single" w:sz="8" w:color="2D53A6"/>
            </w:tcBorders>
          </w:tcPr>
          <w:p>
            <w:pPr>
              <w:spacing w:after="0"/>
              <w:rPr>
                <w:sz w:val="21"/>
                <w:szCs w:val="21"/>
                <w:color w:val="auto"/>
              </w:rPr>
            </w:pPr>
          </w:p>
        </w:tc>
        <w:tc>
          <w:tcPr>
            <w:tcW w:w="1780" w:type="dxa"/>
            <w:vAlign w:val="bottom"/>
            <w:tcBorders>
              <w:bottom w:val="single" w:sz="8" w:color="2D53A6"/>
            </w:tcBorders>
            <w:gridSpan w:val="4"/>
          </w:tcPr>
          <w:p>
            <w:pPr>
              <w:jc w:val="right"/>
              <w:ind w:right="14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4"/>
                <w:szCs w:val="14"/>
                <w:color w:val="auto"/>
              </w:rPr>
              <w:t>(2)</w:t>
            </w:r>
          </w:p>
        </w:tc>
        <w:tc>
          <w:tcPr>
            <w:tcW w:w="1640" w:type="dxa"/>
            <w:vAlign w:val="bottom"/>
            <w:tcBorders>
              <w:bottom w:val="single" w:sz="8" w:color="2D53A6"/>
            </w:tcBorders>
            <w:gridSpan w:val="3"/>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2D53A6"/>
              <w:right w:val="single" w:sz="8" w:color="2D53A6"/>
            </w:tcBorders>
          </w:tcPr>
          <w:p>
            <w:pPr>
              <w:spacing w:after="0"/>
              <w:rPr>
                <w:sz w:val="21"/>
                <w:szCs w:val="21"/>
                <w:color w:val="auto"/>
              </w:rPr>
            </w:pPr>
          </w:p>
        </w:tc>
        <w:tc>
          <w:tcPr>
            <w:tcW w:w="1780" w:type="dxa"/>
            <w:vAlign w:val="bottom"/>
            <w:tcBorders>
              <w:bottom w:val="single" w:sz="8" w:color="2D53A6"/>
            </w:tcBorders>
            <w:gridSpan w:val="4"/>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02"/>
        </w:trPr>
        <w:tc>
          <w:tcPr>
            <w:tcW w:w="766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Tax Fees: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right w:val="single" w:sz="8" w:color="2D53A6"/>
            </w:tcBorders>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60" w:type="dxa"/>
            <w:vAlign w:val="bottom"/>
            <w:tcBorders>
              <w:right w:val="single" w:sz="8" w:color="2D53A6"/>
            </w:tcBorders>
          </w:tcPr>
          <w:p>
            <w:pPr>
              <w:ind w:left="200"/>
              <w:spacing w:after="0"/>
              <w:rPr>
                <w:sz w:val="20"/>
                <w:szCs w:val="20"/>
                <w:color w:val="auto"/>
              </w:rPr>
            </w:pPr>
            <w:r>
              <w:rPr>
                <w:rFonts w:ascii="Arial" w:cs="Arial" w:eastAsia="Arial" w:hAnsi="Arial"/>
                <w:sz w:val="18"/>
                <w:szCs w:val="18"/>
                <w:color w:val="auto"/>
              </w:rPr>
              <w:t>Tax Compliance</w:t>
            </w:r>
            <w:r>
              <w:rPr>
                <w:rFonts w:ascii="Arial" w:cs="Arial" w:eastAsia="Arial" w:hAnsi="Arial"/>
                <w:sz w:val="14"/>
                <w:szCs w:val="14"/>
                <w:color w:val="auto"/>
              </w:rPr>
              <w:t>(3)</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Borders>
              <w:right w:val="single" w:sz="8" w:color="2D53A6"/>
            </w:tcBorders>
          </w:tcPr>
          <w:p>
            <w:pPr>
              <w:spacing w:after="0"/>
              <w:rPr>
                <w:sz w:val="22"/>
                <w:szCs w:val="22"/>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2"/>
        </w:trPr>
        <w:tc>
          <w:tcPr>
            <w:tcW w:w="7660" w:type="dxa"/>
            <w:vAlign w:val="bottom"/>
            <w:tcBorders>
              <w:right w:val="single" w:sz="8" w:color="2D53A6"/>
            </w:tcBorders>
          </w:tcPr>
          <w:p>
            <w:pPr>
              <w:ind w:left="200"/>
              <w:spacing w:after="0"/>
              <w:rPr>
                <w:sz w:val="20"/>
                <w:szCs w:val="20"/>
                <w:color w:val="auto"/>
              </w:rPr>
            </w:pPr>
            <w:r>
              <w:rPr>
                <w:rFonts w:ascii="Arial" w:cs="Arial" w:eastAsia="Arial" w:hAnsi="Arial"/>
                <w:sz w:val="18"/>
                <w:szCs w:val="18"/>
                <w:color w:val="auto"/>
              </w:rPr>
              <w:t>Tax Planning and Advice</w:t>
            </w:r>
            <w:r>
              <w:rPr>
                <w:rFonts w:ascii="Arial" w:cs="Arial" w:eastAsia="Arial" w:hAnsi="Arial"/>
                <w:sz w:val="14"/>
                <w:szCs w:val="14"/>
                <w:color w:val="auto"/>
              </w:rPr>
              <w:t>(4)</w:t>
            </w:r>
          </w:p>
        </w:tc>
        <w:tc>
          <w:tcPr>
            <w:tcW w:w="1340" w:type="dxa"/>
            <w:vAlign w:val="bottom"/>
            <w:gridSpan w:val="2"/>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199</w:t>
            </w:r>
          </w:p>
        </w:tc>
        <w:tc>
          <w:tcPr>
            <w:tcW w:w="160" w:type="dxa"/>
            <w:vAlign w:val="bottom"/>
            <w:tcBorders>
              <w:right w:val="single" w:sz="8" w:color="2D53A6"/>
            </w:tcBorders>
          </w:tcPr>
          <w:p>
            <w:pPr>
              <w:spacing w:after="0"/>
              <w:rPr>
                <w:sz w:val="18"/>
                <w:szCs w:val="18"/>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660" w:type="dxa"/>
            <w:vAlign w:val="bottom"/>
            <w:tcBorders>
              <w:right w:val="single" w:sz="8" w:color="2D53A6"/>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2D53A6"/>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7660" w:type="dxa"/>
            <w:vAlign w:val="bottom"/>
            <w:tcBorders>
              <w:right w:val="single" w:sz="8" w:color="2D53A6"/>
            </w:tcBorders>
          </w:tcPr>
          <w:p>
            <w:pPr>
              <w:spacing w:after="0"/>
              <w:rPr>
                <w:sz w:val="24"/>
                <w:szCs w:val="24"/>
                <w:color w:val="auto"/>
              </w:rPr>
            </w:pPr>
          </w:p>
        </w:tc>
        <w:tc>
          <w:tcPr>
            <w:tcW w:w="13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747</w:t>
            </w:r>
          </w:p>
        </w:tc>
        <w:tc>
          <w:tcPr>
            <w:tcW w:w="160" w:type="dxa"/>
            <w:vAlign w:val="bottom"/>
            <w:tcBorders>
              <w:right w:val="single" w:sz="8" w:color="2D53A6"/>
            </w:tcBorders>
          </w:tcPr>
          <w:p>
            <w:pPr>
              <w:spacing w:after="0"/>
              <w:rPr>
                <w:sz w:val="24"/>
                <w:szCs w:val="24"/>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66"/>
        </w:trPr>
        <w:tc>
          <w:tcPr>
            <w:tcW w:w="766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8"/>
                <w:szCs w:val="18"/>
                <w:color w:val="auto"/>
              </w:rPr>
              <w:t>All Other Fees</w:t>
            </w:r>
          </w:p>
        </w:tc>
        <w:tc>
          <w:tcPr>
            <w:tcW w:w="1100" w:type="dxa"/>
            <w:vAlign w:val="bottom"/>
            <w:tcBorders>
              <w:bottom w:val="single" w:sz="8" w:color="2D53A6"/>
            </w:tcBorders>
          </w:tcPr>
          <w:p>
            <w:pPr>
              <w:spacing w:after="0"/>
              <w:rPr>
                <w:sz w:val="23"/>
                <w:szCs w:val="23"/>
                <w:color w:val="auto"/>
              </w:rPr>
            </w:pPr>
          </w:p>
        </w:tc>
        <w:tc>
          <w:tcPr>
            <w:tcW w:w="240" w:type="dxa"/>
            <w:vAlign w:val="bottom"/>
            <w:tcBorders>
              <w:bottom w:val="single" w:sz="8" w:color="2D53A6"/>
            </w:tcBorders>
          </w:tcPr>
          <w:p>
            <w:pPr>
              <w:spacing w:after="0"/>
              <w:rPr>
                <w:sz w:val="23"/>
                <w:szCs w:val="23"/>
                <w:color w:val="auto"/>
              </w:rPr>
            </w:pPr>
          </w:p>
        </w:tc>
        <w:tc>
          <w:tcPr>
            <w:tcW w:w="300" w:type="dxa"/>
            <w:vAlign w:val="bottom"/>
            <w:tcBorders>
              <w:bottom w:val="single" w:sz="8" w:color="2D53A6"/>
            </w:tcBorders>
          </w:tcPr>
          <w:p>
            <w:pPr>
              <w:spacing w:after="0"/>
              <w:rPr>
                <w:sz w:val="23"/>
                <w:szCs w:val="23"/>
                <w:color w:val="auto"/>
              </w:rPr>
            </w:pPr>
          </w:p>
        </w:tc>
        <w:tc>
          <w:tcPr>
            <w:tcW w:w="160" w:type="dxa"/>
            <w:vAlign w:val="bottom"/>
            <w:tcBorders>
              <w:bottom w:val="single" w:sz="8" w:color="2D53A6"/>
              <w:right w:val="single" w:sz="8" w:color="2D53A6"/>
            </w:tcBorders>
          </w:tcPr>
          <w:p>
            <w:pPr>
              <w:spacing w:after="0"/>
              <w:rPr>
                <w:sz w:val="23"/>
                <w:szCs w:val="23"/>
                <w:color w:val="auto"/>
              </w:rPr>
            </w:pPr>
          </w:p>
        </w:tc>
        <w:tc>
          <w:tcPr>
            <w:tcW w:w="1100" w:type="dxa"/>
            <w:vAlign w:val="bottom"/>
            <w:tcBorders>
              <w:bottom w:val="single" w:sz="8" w:color="2D53A6"/>
            </w:tcBorders>
          </w:tcPr>
          <w:p>
            <w:pPr>
              <w:spacing w:after="0"/>
              <w:rPr>
                <w:sz w:val="23"/>
                <w:szCs w:val="23"/>
                <w:color w:val="auto"/>
              </w:rPr>
            </w:pPr>
          </w:p>
        </w:tc>
        <w:tc>
          <w:tcPr>
            <w:tcW w:w="260" w:type="dxa"/>
            <w:vAlign w:val="bottom"/>
            <w:tcBorders>
              <w:bottom w:val="single" w:sz="8" w:color="2D53A6"/>
            </w:tcBorders>
          </w:tcPr>
          <w:p>
            <w:pPr>
              <w:spacing w:after="0"/>
              <w:rPr>
                <w:sz w:val="23"/>
                <w:szCs w:val="23"/>
                <w:color w:val="auto"/>
              </w:rPr>
            </w:pPr>
          </w:p>
        </w:tc>
        <w:tc>
          <w:tcPr>
            <w:tcW w:w="280" w:type="dxa"/>
            <w:vAlign w:val="bottom"/>
            <w:tcBorders>
              <w:bottom w:val="single" w:sz="8" w:color="2D53A6"/>
            </w:tcBorders>
          </w:tcPr>
          <w:p>
            <w:pPr>
              <w:spacing w:after="0"/>
              <w:rPr>
                <w:sz w:val="23"/>
                <w:szCs w:val="23"/>
                <w:color w:val="auto"/>
              </w:rPr>
            </w:pPr>
          </w:p>
        </w:tc>
        <w:tc>
          <w:tcPr>
            <w:tcW w:w="140" w:type="dxa"/>
            <w:vAlign w:val="bottom"/>
            <w:tcBorders>
              <w:bottom w:val="single" w:sz="8" w:color="2D53A6"/>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7660" w:type="dxa"/>
            <w:vAlign w:val="bottom"/>
            <w:tcBorders>
              <w:right w:val="single" w:sz="8" w:color="2D53A6"/>
            </w:tcBorders>
            <w:vMerge w:val="continue"/>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2D53A6"/>
            </w:tcBorders>
          </w:tcPr>
          <w:p>
            <w:pPr>
              <w:spacing w:after="0"/>
              <w:rPr>
                <w:sz w:val="20"/>
                <w:szCs w:val="20"/>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6"/>
        </w:trPr>
        <w:tc>
          <w:tcPr>
            <w:tcW w:w="7660" w:type="dxa"/>
            <w:vAlign w:val="bottom"/>
            <w:tcBorders>
              <w:bottom w:val="single" w:sz="8" w:color="2D53A6"/>
              <w:right w:val="single" w:sz="8" w:color="2D53A6"/>
            </w:tcBorders>
          </w:tcPr>
          <w:p>
            <w:pPr>
              <w:spacing w:after="0"/>
              <w:rPr>
                <w:sz w:val="23"/>
                <w:szCs w:val="23"/>
                <w:color w:val="auto"/>
              </w:rPr>
            </w:pPr>
          </w:p>
        </w:tc>
        <w:tc>
          <w:tcPr>
            <w:tcW w:w="1100" w:type="dxa"/>
            <w:vAlign w:val="bottom"/>
            <w:tcBorders>
              <w:bottom w:val="single" w:sz="8" w:color="2D53A6"/>
            </w:tcBorders>
          </w:tcPr>
          <w:p>
            <w:pPr>
              <w:spacing w:after="0"/>
              <w:rPr>
                <w:sz w:val="23"/>
                <w:szCs w:val="23"/>
                <w:color w:val="auto"/>
              </w:rPr>
            </w:pPr>
          </w:p>
        </w:tc>
        <w:tc>
          <w:tcPr>
            <w:tcW w:w="240" w:type="dxa"/>
            <w:vAlign w:val="bottom"/>
            <w:tcBorders>
              <w:bottom w:val="single" w:sz="8" w:color="2D53A6"/>
            </w:tcBorders>
          </w:tcPr>
          <w:p>
            <w:pPr>
              <w:spacing w:after="0"/>
              <w:rPr>
                <w:sz w:val="23"/>
                <w:szCs w:val="23"/>
                <w:color w:val="auto"/>
              </w:rPr>
            </w:pPr>
          </w:p>
        </w:tc>
        <w:tc>
          <w:tcPr>
            <w:tcW w:w="300" w:type="dxa"/>
            <w:vAlign w:val="bottom"/>
            <w:tcBorders>
              <w:bottom w:val="single" w:sz="8" w:color="2D53A6"/>
            </w:tcBorders>
          </w:tcPr>
          <w:p>
            <w:pPr>
              <w:spacing w:after="0"/>
              <w:rPr>
                <w:sz w:val="23"/>
                <w:szCs w:val="23"/>
                <w:color w:val="auto"/>
              </w:rPr>
            </w:pPr>
          </w:p>
        </w:tc>
        <w:tc>
          <w:tcPr>
            <w:tcW w:w="160" w:type="dxa"/>
            <w:vAlign w:val="bottom"/>
            <w:tcBorders>
              <w:bottom w:val="single" w:sz="8" w:color="2D53A6"/>
              <w:right w:val="single" w:sz="8" w:color="2D53A6"/>
            </w:tcBorders>
          </w:tcPr>
          <w:p>
            <w:pPr>
              <w:spacing w:after="0"/>
              <w:rPr>
                <w:sz w:val="23"/>
                <w:szCs w:val="23"/>
                <w:color w:val="auto"/>
              </w:rPr>
            </w:pPr>
          </w:p>
        </w:tc>
        <w:tc>
          <w:tcPr>
            <w:tcW w:w="1100" w:type="dxa"/>
            <w:vAlign w:val="bottom"/>
            <w:tcBorders>
              <w:bottom w:val="single" w:sz="8" w:color="2D53A6"/>
            </w:tcBorders>
          </w:tcPr>
          <w:p>
            <w:pPr>
              <w:spacing w:after="0"/>
              <w:rPr>
                <w:sz w:val="23"/>
                <w:szCs w:val="23"/>
                <w:color w:val="auto"/>
              </w:rPr>
            </w:pPr>
          </w:p>
        </w:tc>
        <w:tc>
          <w:tcPr>
            <w:tcW w:w="260" w:type="dxa"/>
            <w:vAlign w:val="bottom"/>
            <w:tcBorders>
              <w:bottom w:val="single" w:sz="8" w:color="2D53A6"/>
            </w:tcBorders>
          </w:tcPr>
          <w:p>
            <w:pPr>
              <w:spacing w:after="0"/>
              <w:rPr>
                <w:sz w:val="23"/>
                <w:szCs w:val="23"/>
                <w:color w:val="auto"/>
              </w:rPr>
            </w:pPr>
          </w:p>
        </w:tc>
        <w:tc>
          <w:tcPr>
            <w:tcW w:w="280" w:type="dxa"/>
            <w:vAlign w:val="bottom"/>
            <w:tcBorders>
              <w:bottom w:val="single" w:sz="8" w:color="2D53A6"/>
            </w:tcBorders>
          </w:tcPr>
          <w:p>
            <w:pPr>
              <w:spacing w:after="0"/>
              <w:rPr>
                <w:sz w:val="23"/>
                <w:szCs w:val="23"/>
                <w:color w:val="auto"/>
              </w:rPr>
            </w:pPr>
          </w:p>
        </w:tc>
        <w:tc>
          <w:tcPr>
            <w:tcW w:w="140" w:type="dxa"/>
            <w:vAlign w:val="bottom"/>
            <w:tcBorders>
              <w:bottom w:val="single" w:sz="8" w:color="2D53A6"/>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660" w:type="dxa"/>
            <w:vAlign w:val="bottom"/>
            <w:tcBorders>
              <w:right w:val="single" w:sz="8" w:color="2D53A6"/>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1640" w:type="dxa"/>
            <w:vAlign w:val="bottom"/>
            <w:gridSpan w:val="3"/>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3,449</w:t>
            </w:r>
          </w:p>
        </w:tc>
        <w:tc>
          <w:tcPr>
            <w:tcW w:w="160" w:type="dxa"/>
            <w:vAlign w:val="bottom"/>
            <w:tcBorders>
              <w:right w:val="single" w:sz="8" w:color="2D53A6"/>
            </w:tcBorders>
          </w:tcPr>
          <w:p>
            <w:pPr>
              <w:spacing w:after="0"/>
              <w:rPr>
                <w:sz w:val="17"/>
                <w:szCs w:val="17"/>
                <w:color w:val="auto"/>
              </w:rPr>
            </w:pPr>
          </w:p>
        </w:tc>
        <w:tc>
          <w:tcPr>
            <w:tcW w:w="1780" w:type="dxa"/>
            <w:vAlign w:val="bottom"/>
            <w:gridSpan w:val="4"/>
          </w:tcPr>
          <w:p>
            <w:pPr>
              <w:jc w:val="right"/>
              <w:ind w:right="14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0"/>
        </w:trPr>
        <w:tc>
          <w:tcPr>
            <w:tcW w:w="7660" w:type="dxa"/>
            <w:vAlign w:val="bottom"/>
            <w:tcBorders>
              <w:right w:val="single" w:sz="8" w:color="2D53A6"/>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2D53A6"/>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60" w:type="dxa"/>
            <w:vAlign w:val="bottom"/>
            <w:tcBorders>
              <w:bottom w:val="single" w:sz="8" w:color="2D53A6"/>
              <w:right w:val="single" w:sz="8" w:color="2D53A6"/>
            </w:tcBorders>
          </w:tcPr>
          <w:p>
            <w:pPr>
              <w:spacing w:after="0" w:line="20" w:lineRule="exact"/>
              <w:rPr>
                <w:sz w:val="1"/>
                <w:szCs w:val="1"/>
                <w:color w:val="auto"/>
              </w:rPr>
            </w:pPr>
          </w:p>
        </w:tc>
        <w:tc>
          <w:tcPr>
            <w:tcW w:w="1100" w:type="dxa"/>
            <w:vAlign w:val="bottom"/>
            <w:tcBorders>
              <w:bottom w:val="single" w:sz="8" w:color="2D53A6"/>
            </w:tcBorders>
          </w:tcPr>
          <w:p>
            <w:pPr>
              <w:spacing w:after="0" w:line="20" w:lineRule="exact"/>
              <w:rPr>
                <w:sz w:val="1"/>
                <w:szCs w:val="1"/>
                <w:color w:val="auto"/>
              </w:rPr>
            </w:pPr>
          </w:p>
        </w:tc>
        <w:tc>
          <w:tcPr>
            <w:tcW w:w="240" w:type="dxa"/>
            <w:vAlign w:val="bottom"/>
            <w:tcBorders>
              <w:bottom w:val="single" w:sz="8" w:color="2D53A6"/>
            </w:tcBorders>
          </w:tcPr>
          <w:p>
            <w:pPr>
              <w:spacing w:after="0" w:line="20" w:lineRule="exact"/>
              <w:rPr>
                <w:sz w:val="1"/>
                <w:szCs w:val="1"/>
                <w:color w:val="auto"/>
              </w:rPr>
            </w:pPr>
          </w:p>
        </w:tc>
        <w:tc>
          <w:tcPr>
            <w:tcW w:w="300" w:type="dxa"/>
            <w:vAlign w:val="bottom"/>
            <w:tcBorders>
              <w:bottom w:val="single" w:sz="8" w:color="2D53A6"/>
            </w:tcBorders>
          </w:tcPr>
          <w:p>
            <w:pPr>
              <w:spacing w:after="0" w:line="20" w:lineRule="exact"/>
              <w:rPr>
                <w:sz w:val="1"/>
                <w:szCs w:val="1"/>
                <w:color w:val="auto"/>
              </w:rPr>
            </w:pPr>
          </w:p>
        </w:tc>
        <w:tc>
          <w:tcPr>
            <w:tcW w:w="160" w:type="dxa"/>
            <w:vAlign w:val="bottom"/>
            <w:tcBorders>
              <w:bottom w:val="single" w:sz="8" w:color="2D53A6"/>
              <w:right w:val="single" w:sz="8" w:color="2D53A6"/>
            </w:tcBorders>
          </w:tcPr>
          <w:p>
            <w:pPr>
              <w:spacing w:after="0" w:line="20" w:lineRule="exact"/>
              <w:rPr>
                <w:sz w:val="1"/>
                <w:szCs w:val="1"/>
                <w:color w:val="auto"/>
              </w:rPr>
            </w:pPr>
          </w:p>
        </w:tc>
        <w:tc>
          <w:tcPr>
            <w:tcW w:w="1100" w:type="dxa"/>
            <w:vAlign w:val="bottom"/>
            <w:tcBorders>
              <w:bottom w:val="single" w:sz="8" w:color="2D53A6"/>
            </w:tcBorders>
          </w:tcPr>
          <w:p>
            <w:pPr>
              <w:spacing w:after="0" w:line="20" w:lineRule="exact"/>
              <w:rPr>
                <w:sz w:val="1"/>
                <w:szCs w:val="1"/>
                <w:color w:val="auto"/>
              </w:rPr>
            </w:pPr>
          </w:p>
        </w:tc>
        <w:tc>
          <w:tcPr>
            <w:tcW w:w="260" w:type="dxa"/>
            <w:vAlign w:val="bottom"/>
            <w:tcBorders>
              <w:bottom w:val="single" w:sz="8" w:color="2D53A6"/>
            </w:tcBorders>
          </w:tcPr>
          <w:p>
            <w:pPr>
              <w:spacing w:after="0" w:line="20" w:lineRule="exact"/>
              <w:rPr>
                <w:sz w:val="1"/>
                <w:szCs w:val="1"/>
                <w:color w:val="auto"/>
              </w:rPr>
            </w:pPr>
          </w:p>
        </w:tc>
        <w:tc>
          <w:tcPr>
            <w:tcW w:w="280" w:type="dxa"/>
            <w:vAlign w:val="bottom"/>
            <w:tcBorders>
              <w:bottom w:val="single" w:sz="8" w:color="2D53A6"/>
            </w:tcBorders>
          </w:tcPr>
          <w:p>
            <w:pPr>
              <w:spacing w:after="0" w:line="20" w:lineRule="exact"/>
              <w:rPr>
                <w:sz w:val="1"/>
                <w:szCs w:val="1"/>
                <w:color w:val="auto"/>
              </w:rPr>
            </w:pPr>
          </w:p>
        </w:tc>
        <w:tc>
          <w:tcPr>
            <w:tcW w:w="140" w:type="dxa"/>
            <w:vAlign w:val="bottom"/>
            <w:tcBorders>
              <w:bottom w:val="single" w:sz="8" w:color="2D5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right="100" w:hanging="332"/>
        <w:spacing w:after="0" w:line="246"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 and due diligence services provided in connection with Cohu’s convertible note financing.</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“Audit-Related Fees” include accounting consultation services related to business acquisitions, and other attestation services. Audit-Related Fees incurred in fiscal year 2025 and 2024 are for due diligence related services provided in conjunction with the acquisition of Tignis, Inc.</w:t>
      </w: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Tax compliance fees consisted primarily of assistance with (i) review or preparation of Cohu’s federal, state and foreign tax returns and (ii) tax return examinations.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Tax planning and advisory fees were primarily driven by legal entity consolidation and restructuring initiatives arising from acquisitions.</w:t>
      </w:r>
    </w:p>
    <w:p>
      <w:pPr>
        <w:spacing w:after="0" w:line="18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fiscal years 2025 and 2024, 100% of the non-audit fees were pre-approved by the Audit Committee.</w:t>
      </w:r>
    </w:p>
    <w:p>
      <w:pPr>
        <w:spacing w:after="0" w:line="16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Board is committed to upholding high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spacing w:after="0" w:line="15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Since the beginning of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16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executive officer, director or director nominee of Cohu.</w:t>
      </w:r>
    </w:p>
    <w:p>
      <w:pPr>
        <w:spacing w:after="0" w:line="18"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Cohu’s common stock.</w:t>
      </w:r>
    </w:p>
    <w:p>
      <w:pPr>
        <w:spacing w:after="0" w:line="36" w:lineRule="exact"/>
        <w:rPr>
          <w:rFonts w:ascii="Arial" w:cs="Arial" w:eastAsia="Arial" w:hAnsi="Arial"/>
          <w:sz w:val="18"/>
          <w:szCs w:val="18"/>
          <w:color w:val="auto"/>
        </w:rPr>
      </w:pPr>
    </w:p>
    <w:p>
      <w:pPr>
        <w:ind w:left="980" w:right="20" w:hanging="324"/>
        <w:spacing w:after="0" w:line="245"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is an immediate family member (as defined under Item 404 of Regulation S-K) of an executive officer, director or director nominee or beneficial owner of more than 5% of Cohu’s common stock.</w:t>
      </w:r>
    </w:p>
    <w:p>
      <w:pPr>
        <w:ind w:left="980" w:right="200" w:hanging="324"/>
        <w:spacing w:after="0" w:line="242"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6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All related party transactions will be disclosed in Cohu’s applicable filings with the SEC as required under SEC rules.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0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Board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- 2027 Annual Meeting</w:t>
      </w:r>
    </w:p>
    <w:p>
      <w:pPr>
        <w:spacing w:after="0" w:line="20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2027 Annual Meeting of Stockholders of Cohu must be received at Cohu’s offices on or before December 3, 2026 to be considered for inclusion in Cohu’s proxy statement and form of proxy relating to such meeting.</w:t>
      </w:r>
    </w:p>
    <w:p>
      <w:pPr>
        <w:spacing w:after="0" w:line="16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If a stockholder intends to submit a proposal at the 2027 Annual Meeting of Stockholders of Cohu, including nominations for candidates for membership on Cohu’s Board of Directors, which proposal is not otherwise intended to be included in Cohu’s proxy statement and form of proxy relating to such Meeting, the stockholder should provide Cohu with appropriate notice no earlier than November 5, 2026 and no later than December 3, 2026. If Cohu fails to receive notice of the proposal within such timeframe, any such proposal will be considered untimely, Cohu will not be required to consider or provide any information about the nature of the proposal in its proxy statement, and the proposal will not be submitted to the stockholders for approval at the 2027 Annual Meeting of Stockholders of Cohu.</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to satisfying the requirements of Cohu’s Bylaws, including the earlier notice deadlines set forth above and therein, to comply with universal proxy rules, stockholders who intend to solicit proxies in support of director nominees other than Cohu’s nominees must also provide notice that sets forth the information required by Rule 14a-19 of the Securities Exchange Act of 1934, as amended, no later than April 6, 2026.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 on Form 10-K</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Copies of Cohu’s Annual Report on Form 10-K for the year ended December 27, 2025, as filed with the SEC are available to stockholders without charge upon written request addressed to Investor Relations, Cohu, Inc., 17087 Via Del Campo San Diego, CA 92127-1711. The Annual Report on Form 10-K is also available at </w:t>
      </w:r>
      <w:r>
        <w:rPr>
          <w:rFonts w:ascii="Arial" w:cs="Arial" w:eastAsia="Arial" w:hAnsi="Arial"/>
          <w:sz w:val="18"/>
          <w:szCs w:val="18"/>
          <w:u w:val="single" w:color="auto"/>
          <w:color w:val="2D53A6"/>
        </w:rPr>
        <w:t>www.cohu.com</w:t>
      </w:r>
      <w:r>
        <w:rPr>
          <w:rFonts w:ascii="Arial" w:cs="Arial" w:eastAsia="Arial" w:hAnsi="Arial"/>
          <w:sz w:val="18"/>
          <w:szCs w:val="18"/>
          <w:color w:val="auto"/>
        </w:rPr>
        <w:t xml:space="preserve"> and </w:t>
      </w:r>
      <w:r>
        <w:rPr>
          <w:rFonts w:ascii="Arial" w:cs="Arial" w:eastAsia="Arial" w:hAnsi="Arial"/>
          <w:sz w:val="18"/>
          <w:szCs w:val="18"/>
          <w:u w:val="single" w:color="auto"/>
          <w:color w:val="2D53A6"/>
        </w:rPr>
        <w:t>http://www.sec.gov</w:t>
      </w:r>
      <w:r>
        <w:rPr>
          <w:rFonts w:ascii="Arial" w:cs="Arial" w:eastAsia="Arial" w:hAnsi="Arial"/>
          <w:sz w:val="18"/>
          <w:szCs w:val="18"/>
          <w:color w:val="auto"/>
        </w:rPr>
        <w:t>.</w:t>
      </w:r>
    </w:p>
    <w:p>
      <w:pPr>
        <w:spacing w:after="0" w:line="15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Emily R. Lough</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 2026</w:t>
      </w:r>
    </w:p>
    <w:p>
      <w:pPr>
        <w:spacing w:after="0" w:line="18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2" w:right="61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36130" cy="389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130" cy="389890"/>
                    </a:xfrm>
                    <a:prstGeom prst="rect">
                      <a:avLst/>
                    </a:prstGeom>
                    <a:noFill/>
                  </pic:spPr>
                </pic:pic>
              </a:graphicData>
            </a:graphic>
          </wp:anchor>
        </w:drawing>
      </w:r>
    </w:p>
    <w:p>
      <w:pPr>
        <w:spacing w:after="0" w:line="266" w:lineRule="exact"/>
        <w:rPr>
          <w:sz w:val="20"/>
          <w:szCs w:val="20"/>
          <w:color w:val="auto"/>
        </w:rPr>
      </w:pPr>
    </w:p>
    <w:p>
      <w:pPr>
        <w:jc w:val="center"/>
        <w:ind w:right="7440"/>
        <w:spacing w:after="0"/>
        <w:rPr>
          <w:sz w:val="20"/>
          <w:szCs w:val="20"/>
          <w:color w:val="auto"/>
        </w:rPr>
      </w:pPr>
      <w:r>
        <w:rPr>
          <w:rFonts w:ascii="Arial" w:cs="Arial" w:eastAsia="Arial" w:hAnsi="Arial"/>
          <w:sz w:val="36"/>
          <w:szCs w:val="36"/>
          <w:b w:val="1"/>
          <w:bCs w:val="1"/>
          <w:color w:val="FFFFFF"/>
        </w:rPr>
        <w:t>Voting Proposals</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No. 1: Election of Directors</w:t>
      </w:r>
    </w:p>
    <w:p>
      <w:pPr>
        <w:spacing w:after="0" w:line="2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Cohu’s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three (3) Class 1 directors are standing for re-election for a term expiring in 2029. The shares represented by proxies in the accompanying form will be voted by the proxy holders in accordance with the instructions given by the voting stockholders. If no specific instructions are given, however, the shares will be voted for the election of the three (3) nominees named below. Should any nominee decline or become unable to accept nomination or election, which is not anticipated, the proxies will be voted for such substitute nominee as may be designated by a majority of the Board.</w:t>
      </w:r>
    </w:p>
    <w:p>
      <w:pPr>
        <w:spacing w:after="0" w:line="1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Each of the three (3) director nominees currently serve as a member of the Board, and there is no family relationship between the nominees, other directors or any of Cohu’s officers. The following biographies describe the skills, qualities, attributes, and experience of the nominees that led our Board to determine that it is appropriate to nominate these directors. Biographies for each of our other continuing directors are also included below.</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0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Nominees that receive a majority of the votes cast for such nominee’s election (meaning the number of shares voted “For” a nominee must exceed the number of shares voted “Against” such nominee) will be elected as directors under Proposal No. 1. Brokers do not have discretion to vote on this proposal without your instruction. If you do not instruct your broker how to vote on this proposal, your broker will deliver a non-vote on this proposal. Abstentions and broker non-votes will have no effect on the election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257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5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the nominees named below.</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2D53A6"/>
        </w:rPr>
        <w:t>Directors Whose Term Expires in 2029 (if elected) - Class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2177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pacing w:after="0" w:line="227" w:lineRule="exact"/>
        <w:rPr>
          <w:sz w:val="20"/>
          <w:szCs w:val="20"/>
          <w:color w:val="auto"/>
        </w:rPr>
      </w:pPr>
    </w:p>
    <w:p>
      <w:pPr>
        <w:ind w:left="4000"/>
        <w:spacing w:after="0"/>
        <w:rPr>
          <w:sz w:val="20"/>
          <w:szCs w:val="20"/>
          <w:color w:val="auto"/>
        </w:rPr>
      </w:pPr>
      <w:r>
        <w:rPr>
          <w:rFonts w:ascii="Arial" w:cs="Arial" w:eastAsia="Arial" w:hAnsi="Arial"/>
          <w:sz w:val="22"/>
          <w:szCs w:val="22"/>
          <w:color w:val="2D53A6"/>
        </w:rPr>
        <w:t>Business Experience and Other Directorships</w:t>
      </w:r>
    </w:p>
    <w:tbl>
      <w:tblPr>
        <w:tblLayout w:type="fixed"/>
        <w:tblInd w:w="0" w:type="dxa"/>
        <w:tblCellMar>
          <w:top w:w="0" w:type="dxa"/>
          <w:left w:w="0" w:type="dxa"/>
          <w:bottom w:w="0" w:type="dxa"/>
          <w:right w:w="0" w:type="dxa"/>
        </w:tblCellMar>
      </w:tblPr>
      <w:tr>
        <w:trPr>
          <w:trHeight w:val="200"/>
        </w:trPr>
        <w:tc>
          <w:tcPr>
            <w:tcW w:w="3420" w:type="dxa"/>
            <w:vAlign w:val="bottom"/>
          </w:tcPr>
          <w:p>
            <w:pPr>
              <w:spacing w:after="0"/>
              <w:rPr>
                <w:sz w:val="17"/>
                <w:szCs w:val="17"/>
                <w:color w:val="auto"/>
              </w:rPr>
            </w:pPr>
          </w:p>
        </w:tc>
        <w:tc>
          <w:tcPr>
            <w:tcW w:w="7820" w:type="dxa"/>
            <w:vAlign w:val="bottom"/>
          </w:tcPr>
          <w:p>
            <w:pPr>
              <w:ind w:left="580"/>
              <w:spacing w:after="0" w:line="201" w:lineRule="exact"/>
              <w:rPr>
                <w:sz w:val="20"/>
                <w:szCs w:val="20"/>
                <w:color w:val="auto"/>
              </w:rPr>
            </w:pPr>
            <w:r>
              <w:rPr>
                <w:rFonts w:ascii="Arial" w:cs="Arial" w:eastAsia="Arial" w:hAnsi="Arial"/>
                <w:sz w:val="18"/>
                <w:szCs w:val="18"/>
                <w:color w:val="auto"/>
              </w:rPr>
              <w:t>Mr. Bendush is the retired Senior Vice President and Chief Financial Officer of Applied</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820" w:type="dxa"/>
            <w:vAlign w:val="bottom"/>
          </w:tcPr>
          <w:p>
            <w:pPr>
              <w:ind w:left="580"/>
              <w:spacing w:after="0" w:line="202" w:lineRule="exact"/>
              <w:rPr>
                <w:sz w:val="20"/>
                <w:szCs w:val="20"/>
                <w:color w:val="auto"/>
              </w:rPr>
            </w:pPr>
            <w:r>
              <w:rPr>
                <w:rFonts w:ascii="Arial" w:cs="Arial" w:eastAsia="Arial" w:hAnsi="Arial"/>
                <w:sz w:val="18"/>
                <w:szCs w:val="18"/>
                <w:color w:val="auto"/>
              </w:rPr>
              <w:t>Micro Circuits Corporation (“AMCC”), a communications semiconductor company, and</w:t>
            </w:r>
          </w:p>
        </w:tc>
        <w:tc>
          <w:tcPr>
            <w:tcW w:w="0" w:type="dxa"/>
            <w:vAlign w:val="bottom"/>
          </w:tcPr>
          <w:p>
            <w:pPr>
              <w:spacing w:after="0"/>
              <w:rPr>
                <w:sz w:val="1"/>
                <w:szCs w:val="1"/>
                <w:color w:val="auto"/>
              </w:rPr>
            </w:pPr>
          </w:p>
        </w:tc>
      </w:tr>
      <w:tr>
        <w:trPr>
          <w:trHeight w:val="203"/>
        </w:trPr>
        <w:tc>
          <w:tcPr>
            <w:tcW w:w="3420" w:type="dxa"/>
            <w:vAlign w:val="bottom"/>
            <w:vMerge w:val="restart"/>
          </w:tcPr>
          <w:p>
            <w:pPr>
              <w:ind w:left="120"/>
              <w:spacing w:after="0"/>
              <w:rPr>
                <w:sz w:val="20"/>
                <w:szCs w:val="20"/>
                <w:color w:val="auto"/>
              </w:rPr>
            </w:pPr>
            <w:r>
              <w:rPr>
                <w:rFonts w:ascii="Arial" w:cs="Arial" w:eastAsia="Arial" w:hAnsi="Arial"/>
                <w:sz w:val="25"/>
                <w:szCs w:val="25"/>
                <w:b w:val="1"/>
                <w:bCs w:val="1"/>
                <w:color w:val="2D53A6"/>
              </w:rPr>
              <w:t>William E. Bendush</w:t>
            </w:r>
          </w:p>
        </w:tc>
        <w:tc>
          <w:tcPr>
            <w:tcW w:w="7820" w:type="dxa"/>
            <w:vAlign w:val="bottom"/>
          </w:tcPr>
          <w:p>
            <w:pPr>
              <w:ind w:left="580"/>
              <w:spacing w:after="0" w:line="202" w:lineRule="exact"/>
              <w:rPr>
                <w:sz w:val="20"/>
                <w:szCs w:val="20"/>
                <w:color w:val="auto"/>
              </w:rPr>
            </w:pPr>
            <w:r>
              <w:rPr>
                <w:rFonts w:ascii="Arial" w:cs="Arial" w:eastAsia="Arial" w:hAnsi="Arial"/>
                <w:sz w:val="18"/>
                <w:szCs w:val="18"/>
                <w:color w:val="auto"/>
              </w:rPr>
              <w:t>during his tenure an S&amp;P 500 constituent company, where he served from 1999 to 2003.</w:t>
            </w:r>
          </w:p>
        </w:tc>
        <w:tc>
          <w:tcPr>
            <w:tcW w:w="0" w:type="dxa"/>
            <w:vAlign w:val="bottom"/>
          </w:tcPr>
          <w:p>
            <w:pPr>
              <w:spacing w:after="0"/>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7820" w:type="dxa"/>
            <w:vAlign w:val="bottom"/>
          </w:tcPr>
          <w:p>
            <w:pPr>
              <w:ind w:left="580"/>
              <w:spacing w:after="0" w:line="202" w:lineRule="exact"/>
              <w:rPr>
                <w:sz w:val="20"/>
                <w:szCs w:val="20"/>
                <w:color w:val="auto"/>
              </w:rPr>
            </w:pPr>
            <w:r>
              <w:rPr>
                <w:rFonts w:ascii="Arial" w:cs="Arial" w:eastAsia="Arial" w:hAnsi="Arial"/>
                <w:sz w:val="18"/>
                <w:szCs w:val="18"/>
                <w:color w:val="auto"/>
              </w:rPr>
              <w:t>Mr. Bendush was a director of Microsemi Corp. from 2003 until the company was acquired</w:t>
            </w:r>
          </w:p>
        </w:tc>
        <w:tc>
          <w:tcPr>
            <w:tcW w:w="0" w:type="dxa"/>
            <w:vAlign w:val="bottom"/>
          </w:tcPr>
          <w:p>
            <w:pPr>
              <w:spacing w:after="0"/>
              <w:rPr>
                <w:sz w:val="1"/>
                <w:szCs w:val="1"/>
                <w:color w:val="auto"/>
              </w:rPr>
            </w:pPr>
          </w:p>
        </w:tc>
      </w:tr>
      <w:tr>
        <w:trPr>
          <w:trHeight w:val="248"/>
        </w:trPr>
        <w:tc>
          <w:tcPr>
            <w:tcW w:w="3420" w:type="dxa"/>
            <w:vAlign w:val="bottom"/>
          </w:tcPr>
          <w:p>
            <w:pPr>
              <w:ind w:left="100"/>
              <w:spacing w:after="0" w:line="248" w:lineRule="exact"/>
              <w:rPr>
                <w:sz w:val="20"/>
                <w:szCs w:val="20"/>
                <w:color w:val="auto"/>
              </w:rPr>
            </w:pPr>
            <w:r>
              <w:rPr>
                <w:rFonts w:ascii="Arial" w:cs="Arial" w:eastAsia="Arial" w:hAnsi="Arial"/>
                <w:sz w:val="22"/>
                <w:szCs w:val="22"/>
                <w:color w:val="auto"/>
              </w:rPr>
              <w:t>Director since 2011</w:t>
            </w:r>
          </w:p>
        </w:tc>
        <w:tc>
          <w:tcPr>
            <w:tcW w:w="7820" w:type="dxa"/>
            <w:vAlign w:val="bottom"/>
          </w:tcPr>
          <w:p>
            <w:pPr>
              <w:ind w:left="580"/>
              <w:spacing w:after="0"/>
              <w:rPr>
                <w:sz w:val="20"/>
                <w:szCs w:val="20"/>
                <w:color w:val="auto"/>
              </w:rPr>
            </w:pPr>
            <w:r>
              <w:rPr>
                <w:rFonts w:ascii="Arial" w:cs="Arial" w:eastAsia="Arial" w:hAnsi="Arial"/>
                <w:sz w:val="18"/>
                <w:szCs w:val="18"/>
                <w:color w:val="auto"/>
              </w:rPr>
              <w:t>in 2018, and also previously served as a director at Conexant Systems, Inc. (from 2008 to</w:t>
            </w:r>
          </w:p>
        </w:tc>
        <w:tc>
          <w:tcPr>
            <w:tcW w:w="0" w:type="dxa"/>
            <w:vAlign w:val="bottom"/>
          </w:tcPr>
          <w:p>
            <w:pPr>
              <w:spacing w:after="0"/>
              <w:rPr>
                <w:sz w:val="1"/>
                <w:szCs w:val="1"/>
                <w:color w:val="auto"/>
              </w:rPr>
            </w:pPr>
          </w:p>
        </w:tc>
      </w:tr>
      <w:tr>
        <w:trPr>
          <w:trHeight w:val="239"/>
        </w:trPr>
        <w:tc>
          <w:tcPr>
            <w:tcW w:w="3420" w:type="dxa"/>
            <w:vAlign w:val="bottom"/>
            <w:vMerge w:val="restart"/>
          </w:tcPr>
          <w:p>
            <w:pPr>
              <w:ind w:left="100"/>
              <w:spacing w:after="0"/>
              <w:rPr>
                <w:sz w:val="20"/>
                <w:szCs w:val="20"/>
                <w:color w:val="auto"/>
              </w:rPr>
            </w:pPr>
            <w:r>
              <w:rPr>
                <w:rFonts w:ascii="Arial" w:cs="Arial" w:eastAsia="Arial" w:hAnsi="Arial"/>
                <w:sz w:val="22"/>
                <w:szCs w:val="22"/>
                <w:color w:val="auto"/>
              </w:rPr>
              <w:t>Age 77</w:t>
            </w:r>
          </w:p>
        </w:tc>
        <w:tc>
          <w:tcPr>
            <w:tcW w:w="7820" w:type="dxa"/>
            <w:vAlign w:val="bottom"/>
          </w:tcPr>
          <w:p>
            <w:pPr>
              <w:ind w:left="580"/>
              <w:spacing w:after="0"/>
              <w:rPr>
                <w:sz w:val="20"/>
                <w:szCs w:val="20"/>
                <w:color w:val="auto"/>
              </w:rPr>
            </w:pPr>
            <w:r>
              <w:rPr>
                <w:rFonts w:ascii="Arial" w:cs="Arial" w:eastAsia="Arial" w:hAnsi="Arial"/>
                <w:sz w:val="18"/>
                <w:szCs w:val="18"/>
                <w:color w:val="auto"/>
              </w:rPr>
              <w:t>2011) and Smartflex Systems, Inc. (from 1993 to 1999).</w:t>
            </w:r>
          </w:p>
        </w:tc>
        <w:tc>
          <w:tcPr>
            <w:tcW w:w="0" w:type="dxa"/>
            <w:vAlign w:val="bottom"/>
          </w:tcPr>
          <w:p>
            <w:pPr>
              <w:spacing w:after="0"/>
              <w:rPr>
                <w:sz w:val="1"/>
                <w:szCs w:val="1"/>
                <w:color w:val="auto"/>
              </w:rPr>
            </w:pPr>
          </w:p>
        </w:tc>
      </w:tr>
      <w:tr>
        <w:trPr>
          <w:trHeight w:val="72"/>
        </w:trPr>
        <w:tc>
          <w:tcPr>
            <w:tcW w:w="3420" w:type="dxa"/>
            <w:vAlign w:val="bottom"/>
            <w:vMerge w:val="continue"/>
          </w:tcPr>
          <w:p>
            <w:pPr>
              <w:spacing w:after="0"/>
              <w:rPr>
                <w:sz w:val="6"/>
                <w:szCs w:val="6"/>
                <w:color w:val="auto"/>
              </w:rPr>
            </w:pPr>
          </w:p>
        </w:tc>
        <w:tc>
          <w:tcPr>
            <w:tcW w:w="7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3420" w:type="dxa"/>
            <w:vAlign w:val="bottom"/>
            <w:vMerge w:val="restart"/>
          </w:tcPr>
          <w:p>
            <w:pPr>
              <w:ind w:left="100"/>
              <w:spacing w:after="0"/>
              <w:rPr>
                <w:sz w:val="20"/>
                <w:szCs w:val="20"/>
                <w:color w:val="auto"/>
              </w:rPr>
            </w:pPr>
            <w:r>
              <w:rPr>
                <w:rFonts w:ascii="Arial" w:cs="Arial" w:eastAsia="Arial" w:hAnsi="Arial"/>
                <w:sz w:val="22"/>
                <w:szCs w:val="22"/>
                <w:b w:val="1"/>
                <w:bCs w:val="1"/>
                <w:color w:val="2D53A6"/>
              </w:rPr>
              <w:t>Board Committees:</w:t>
            </w:r>
          </w:p>
        </w:tc>
        <w:tc>
          <w:tcPr>
            <w:tcW w:w="7820" w:type="dxa"/>
            <w:vAlign w:val="bottom"/>
          </w:tcPr>
          <w:p>
            <w:pPr>
              <w:ind w:left="580"/>
              <w:spacing w:after="0"/>
              <w:rPr>
                <w:sz w:val="20"/>
                <w:szCs w:val="20"/>
                <w:color w:val="auto"/>
              </w:rPr>
            </w:pPr>
            <w:r>
              <w:rPr>
                <w:rFonts w:ascii="Arial" w:cs="Arial" w:eastAsia="Arial" w:hAnsi="Arial"/>
                <w:sz w:val="22"/>
                <w:szCs w:val="22"/>
                <w:color w:val="2D53A6"/>
              </w:rPr>
              <w:t>Experience Qualifications and Attributes</w:t>
            </w:r>
          </w:p>
        </w:tc>
        <w:tc>
          <w:tcPr>
            <w:tcW w:w="0" w:type="dxa"/>
            <w:vAlign w:val="bottom"/>
          </w:tcPr>
          <w:p>
            <w:pPr>
              <w:spacing w:after="0"/>
              <w:rPr>
                <w:sz w:val="1"/>
                <w:szCs w:val="1"/>
                <w:color w:val="auto"/>
              </w:rPr>
            </w:pPr>
          </w:p>
        </w:tc>
      </w:tr>
      <w:tr>
        <w:trPr>
          <w:trHeight w:val="114"/>
        </w:trPr>
        <w:tc>
          <w:tcPr>
            <w:tcW w:w="3420" w:type="dxa"/>
            <w:vAlign w:val="bottom"/>
            <w:vMerge w:val="continue"/>
          </w:tcPr>
          <w:p>
            <w:pPr>
              <w:spacing w:after="0"/>
              <w:rPr>
                <w:sz w:val="9"/>
                <w:szCs w:val="9"/>
                <w:color w:val="auto"/>
              </w:rPr>
            </w:pPr>
          </w:p>
        </w:tc>
        <w:tc>
          <w:tcPr>
            <w:tcW w:w="7820" w:type="dxa"/>
            <w:vAlign w:val="bottom"/>
            <w:vMerge w:val="restart"/>
          </w:tcPr>
          <w:p>
            <w:pPr>
              <w:ind w:left="580"/>
              <w:spacing w:after="0" w:line="202" w:lineRule="exact"/>
              <w:rPr>
                <w:sz w:val="20"/>
                <w:szCs w:val="20"/>
                <w:color w:val="auto"/>
              </w:rPr>
            </w:pPr>
            <w:r>
              <w:rPr>
                <w:rFonts w:ascii="Arial" w:cs="Arial" w:eastAsia="Arial" w:hAnsi="Arial"/>
                <w:sz w:val="18"/>
                <w:szCs w:val="18"/>
                <w:color w:val="auto"/>
              </w:rPr>
              <w:t>We believe Mr. Bendush’s qualifications to sit on our Board include his extensive board</w:t>
            </w:r>
          </w:p>
        </w:tc>
        <w:tc>
          <w:tcPr>
            <w:tcW w:w="0" w:type="dxa"/>
            <w:vAlign w:val="bottom"/>
          </w:tcPr>
          <w:p>
            <w:pPr>
              <w:spacing w:after="0"/>
              <w:rPr>
                <w:sz w:val="1"/>
                <w:szCs w:val="1"/>
                <w:color w:val="auto"/>
              </w:rPr>
            </w:pPr>
          </w:p>
        </w:tc>
      </w:tr>
      <w:tr>
        <w:trPr>
          <w:trHeight w:val="89"/>
        </w:trPr>
        <w:tc>
          <w:tcPr>
            <w:tcW w:w="3420" w:type="dxa"/>
            <w:vAlign w:val="bottom"/>
            <w:vMerge w:val="restart"/>
          </w:tcPr>
          <w:p>
            <w:pPr>
              <w:ind w:left="100"/>
              <w:spacing w:after="0"/>
              <w:rPr>
                <w:sz w:val="20"/>
                <w:szCs w:val="20"/>
                <w:color w:val="auto"/>
              </w:rPr>
            </w:pPr>
            <w:r>
              <w:rPr>
                <w:rFonts w:ascii="Arial" w:cs="Arial" w:eastAsia="Arial" w:hAnsi="Arial"/>
                <w:sz w:val="22"/>
                <w:szCs w:val="22"/>
                <w:color w:val="auto"/>
              </w:rPr>
              <w:t>Audit Committee (Chair)</w:t>
            </w:r>
          </w:p>
        </w:tc>
        <w:tc>
          <w:tcPr>
            <w:tcW w:w="7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420" w:type="dxa"/>
            <w:vAlign w:val="bottom"/>
            <w:vMerge w:val="continue"/>
          </w:tcPr>
          <w:p>
            <w:pPr>
              <w:spacing w:after="0"/>
              <w:rPr>
                <w:sz w:val="15"/>
                <w:szCs w:val="15"/>
                <w:color w:val="auto"/>
              </w:rPr>
            </w:pPr>
          </w:p>
        </w:tc>
        <w:tc>
          <w:tcPr>
            <w:tcW w:w="7820" w:type="dxa"/>
            <w:vAlign w:val="bottom"/>
          </w:tcPr>
          <w:p>
            <w:pPr>
              <w:ind w:left="580"/>
              <w:spacing w:after="0" w:line="181" w:lineRule="exact"/>
              <w:rPr>
                <w:sz w:val="20"/>
                <w:szCs w:val="20"/>
                <w:color w:val="auto"/>
              </w:rPr>
            </w:pPr>
            <w:r>
              <w:rPr>
                <w:rFonts w:ascii="Arial" w:cs="Arial" w:eastAsia="Arial" w:hAnsi="Arial"/>
                <w:sz w:val="18"/>
                <w:szCs w:val="18"/>
                <w:color w:val="auto"/>
              </w:rPr>
              <w:t>and executive experience in the semiconductor industry and his experience with financial</w:t>
            </w:r>
          </w:p>
        </w:tc>
        <w:tc>
          <w:tcPr>
            <w:tcW w:w="0" w:type="dxa"/>
            <w:vAlign w:val="bottom"/>
          </w:tcPr>
          <w:p>
            <w:pPr>
              <w:spacing w:after="0"/>
              <w:rPr>
                <w:sz w:val="1"/>
                <w:szCs w:val="1"/>
                <w:color w:val="auto"/>
              </w:rPr>
            </w:pPr>
          </w:p>
        </w:tc>
      </w:tr>
      <w:tr>
        <w:trPr>
          <w:trHeight w:val="224"/>
        </w:trPr>
        <w:tc>
          <w:tcPr>
            <w:tcW w:w="3420" w:type="dxa"/>
            <w:vAlign w:val="bottom"/>
          </w:tcPr>
          <w:p>
            <w:pPr>
              <w:ind w:left="100"/>
              <w:spacing w:after="0" w:line="224" w:lineRule="exact"/>
              <w:rPr>
                <w:sz w:val="20"/>
                <w:szCs w:val="20"/>
                <w:color w:val="auto"/>
              </w:rPr>
            </w:pPr>
            <w:r>
              <w:rPr>
                <w:rFonts w:ascii="Arial" w:cs="Arial" w:eastAsia="Arial" w:hAnsi="Arial"/>
                <w:sz w:val="22"/>
                <w:szCs w:val="22"/>
                <w:color w:val="auto"/>
              </w:rPr>
              <w:t>Nominating and Governance</w:t>
            </w:r>
          </w:p>
        </w:tc>
        <w:tc>
          <w:tcPr>
            <w:tcW w:w="7820" w:type="dxa"/>
            <w:vAlign w:val="bottom"/>
          </w:tcPr>
          <w:p>
            <w:pPr>
              <w:ind w:left="580"/>
              <w:spacing w:after="0"/>
              <w:rPr>
                <w:sz w:val="20"/>
                <w:szCs w:val="20"/>
                <w:color w:val="auto"/>
              </w:rPr>
            </w:pPr>
            <w:r>
              <w:rPr>
                <w:rFonts w:ascii="Arial" w:cs="Arial" w:eastAsia="Arial" w:hAnsi="Arial"/>
                <w:sz w:val="18"/>
                <w:szCs w:val="18"/>
                <w:color w:val="auto"/>
              </w:rPr>
              <w:t>accounting matters for complex global organizations as well as his knowledge of business</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820" w:type="dxa"/>
            <w:vAlign w:val="bottom"/>
          </w:tcPr>
          <w:p>
            <w:pPr>
              <w:ind w:left="580"/>
              <w:spacing w:after="0" w:line="202" w:lineRule="exact"/>
              <w:rPr>
                <w:sz w:val="20"/>
                <w:szCs w:val="20"/>
                <w:color w:val="auto"/>
              </w:rPr>
            </w:pPr>
            <w:r>
              <w:rPr>
                <w:rFonts w:ascii="Arial" w:cs="Arial" w:eastAsia="Arial" w:hAnsi="Arial"/>
                <w:sz w:val="18"/>
                <w:szCs w:val="18"/>
                <w:color w:val="auto"/>
              </w:rPr>
              <w:t>strategy. He has been a member of four public company audit committees and chaired</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820" w:type="dxa"/>
            <w:vAlign w:val="bottom"/>
          </w:tcPr>
          <w:p>
            <w:pPr>
              <w:ind w:left="580"/>
              <w:spacing w:after="0" w:line="202" w:lineRule="exact"/>
              <w:rPr>
                <w:sz w:val="20"/>
                <w:szCs w:val="20"/>
                <w:color w:val="auto"/>
              </w:rPr>
            </w:pPr>
            <w:r>
              <w:rPr>
                <w:rFonts w:ascii="Arial" w:cs="Arial" w:eastAsia="Arial" w:hAnsi="Arial"/>
                <w:sz w:val="18"/>
                <w:szCs w:val="18"/>
                <w:color w:val="auto"/>
              </w:rPr>
              <w:t>three, and also served as Chair of Microsemi’s compensation and nominating and</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820" w:type="dxa"/>
            <w:vAlign w:val="bottom"/>
          </w:tcPr>
          <w:p>
            <w:pPr>
              <w:ind w:left="580"/>
              <w:spacing w:after="0" w:line="202" w:lineRule="exact"/>
              <w:rPr>
                <w:sz w:val="20"/>
                <w:szCs w:val="20"/>
                <w:color w:val="auto"/>
              </w:rPr>
            </w:pPr>
            <w:r>
              <w:rPr>
                <w:rFonts w:ascii="Arial" w:cs="Arial" w:eastAsia="Arial" w:hAnsi="Arial"/>
                <w:sz w:val="18"/>
                <w:szCs w:val="18"/>
                <w:color w:val="auto"/>
              </w:rPr>
              <w:t>governance committees during portions of his tenure there. Mr. Bendush qualifies as an</w:t>
            </w:r>
          </w:p>
        </w:tc>
        <w:tc>
          <w:tcPr>
            <w:tcW w:w="0" w:type="dxa"/>
            <w:vAlign w:val="bottom"/>
          </w:tcPr>
          <w:p>
            <w:pPr>
              <w:spacing w:after="0"/>
              <w:rPr>
                <w:sz w:val="1"/>
                <w:szCs w:val="1"/>
                <w:color w:val="auto"/>
              </w:rPr>
            </w:pPr>
          </w:p>
        </w:tc>
      </w:tr>
      <w:tr>
        <w:trPr>
          <w:trHeight w:val="239"/>
        </w:trPr>
        <w:tc>
          <w:tcPr>
            <w:tcW w:w="3420" w:type="dxa"/>
            <w:vAlign w:val="bottom"/>
          </w:tcPr>
          <w:p>
            <w:pPr>
              <w:spacing w:after="0"/>
              <w:rPr>
                <w:sz w:val="20"/>
                <w:szCs w:val="20"/>
                <w:color w:val="auto"/>
              </w:rPr>
            </w:pPr>
          </w:p>
        </w:tc>
        <w:tc>
          <w:tcPr>
            <w:tcW w:w="7820" w:type="dxa"/>
            <w:vAlign w:val="bottom"/>
          </w:tcPr>
          <w:p>
            <w:pPr>
              <w:ind w:left="580"/>
              <w:spacing w:after="0"/>
              <w:rPr>
                <w:sz w:val="20"/>
                <w:szCs w:val="20"/>
                <w:color w:val="auto"/>
              </w:rPr>
            </w:pPr>
            <w:r>
              <w:rPr>
                <w:rFonts w:ascii="Arial" w:cs="Arial" w:eastAsia="Arial" w:hAnsi="Arial"/>
                <w:sz w:val="18"/>
                <w:szCs w:val="18"/>
                <w:color w:val="auto"/>
              </w:rPr>
              <w:t>“audit committee financial expert” under SEC guidelines.</w:t>
            </w:r>
          </w:p>
        </w:tc>
        <w:tc>
          <w:tcPr>
            <w:tcW w:w="0" w:type="dxa"/>
            <w:vAlign w:val="bottom"/>
          </w:tcPr>
          <w:p>
            <w:pPr>
              <w:spacing w:after="0"/>
              <w:rPr>
                <w:sz w:val="1"/>
                <w:szCs w:val="1"/>
                <w:color w:val="auto"/>
              </w:rPr>
            </w:pPr>
          </w:p>
        </w:tc>
      </w:tr>
      <w:tr>
        <w:trPr>
          <w:trHeight w:val="23"/>
        </w:trPr>
        <w:tc>
          <w:tcPr>
            <w:tcW w:w="3420" w:type="dxa"/>
            <w:vAlign w:val="bottom"/>
            <w:tcBorders>
              <w:bottom w:val="single" w:sz="8" w:color="2D53A6"/>
            </w:tcBorders>
          </w:tcPr>
          <w:p>
            <w:pPr>
              <w:spacing w:after="0"/>
              <w:rPr>
                <w:sz w:val="2"/>
                <w:szCs w:val="2"/>
                <w:color w:val="auto"/>
              </w:rPr>
            </w:pPr>
          </w:p>
        </w:tc>
        <w:tc>
          <w:tcPr>
            <w:tcW w:w="78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3420" w:type="dxa"/>
            <w:vAlign w:val="bottom"/>
          </w:tcPr>
          <w:p>
            <w:pPr>
              <w:spacing w:after="0"/>
              <w:rPr>
                <w:sz w:val="24"/>
                <w:szCs w:val="24"/>
                <w:color w:val="auto"/>
              </w:rPr>
            </w:pPr>
          </w:p>
        </w:tc>
        <w:tc>
          <w:tcPr>
            <w:tcW w:w="7820" w:type="dxa"/>
            <w:vAlign w:val="bottom"/>
          </w:tcPr>
          <w:p>
            <w:pPr>
              <w:ind w:left="2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98"/>
        </w:trPr>
        <w:tc>
          <w:tcPr>
            <w:tcW w:w="3420" w:type="dxa"/>
            <w:vAlign w:val="bottom"/>
            <w:tcBorders>
              <w:bottom w:val="single" w:sz="8" w:color="auto"/>
            </w:tcBorders>
          </w:tcPr>
          <w:p>
            <w:pPr>
              <w:spacing w:after="0"/>
              <w:rPr>
                <w:sz w:val="8"/>
                <w:szCs w:val="8"/>
                <w:color w:val="auto"/>
              </w:rPr>
            </w:pPr>
          </w:p>
        </w:tc>
        <w:tc>
          <w:tcPr>
            <w:tcW w:w="7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2820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82003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D53A6"/>
        </w:rPr>
        <w:t>Karen M. Rapp</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Director since 2024</w:t>
      </w:r>
    </w:p>
    <w:p>
      <w:pPr>
        <w:ind w:left="100"/>
        <w:spacing w:after="0"/>
        <w:rPr>
          <w:sz w:val="20"/>
          <w:szCs w:val="20"/>
          <w:color w:val="auto"/>
        </w:rPr>
      </w:pPr>
      <w:r>
        <w:rPr>
          <w:rFonts w:ascii="Arial" w:cs="Arial" w:eastAsia="Arial" w:hAnsi="Arial"/>
          <w:sz w:val="22"/>
          <w:szCs w:val="22"/>
          <w:color w:val="auto"/>
        </w:rPr>
        <w:t>Age 58</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D53A6"/>
        </w:rPr>
        <w:t>Board Committees:</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Audit Committee</w:t>
      </w:r>
    </w:p>
    <w:p>
      <w:pPr>
        <w:spacing w:after="0" w:line="171" w:lineRule="exact"/>
        <w:rPr>
          <w:sz w:val="20"/>
          <w:szCs w:val="20"/>
          <w:color w:val="auto"/>
        </w:rPr>
      </w:pPr>
    </w:p>
    <w:p>
      <w:pPr>
        <w:ind w:left="100" w:right="1280"/>
        <w:spacing w:after="0" w:line="252" w:lineRule="auto"/>
        <w:rPr>
          <w:sz w:val="20"/>
          <w:szCs w:val="20"/>
          <w:color w:val="auto"/>
        </w:rPr>
      </w:pPr>
      <w:r>
        <w:rPr>
          <w:rFonts w:ascii="Arial" w:cs="Arial" w:eastAsia="Arial" w:hAnsi="Arial"/>
          <w:sz w:val="21"/>
          <w:szCs w:val="21"/>
          <w:b w:val="1"/>
          <w:bCs w:val="1"/>
          <w:color w:val="2D53A6"/>
        </w:rPr>
        <w:t>Other Current Public Company Boards: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Microchip Technology Incorporated, Plexus Corp.</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Ms. Rapp served as chief financial officer of National Instruments Corporation from 2017 through January 2023. Prior to that, she served as Senior Vice President of Corporate Development of NXP Semiconductors N.V. Ms. Rapp also served in several positions at Freescale, including serving as Vice President and Chief Information Officer from April 2013 to December 2015 and as Director of Operations and Finance, Global Sales and Marketing from April 2010 to April 2013. Ms. Rapp also currently serves as a director of Microchip Technology, a position she has held since 2021 and where she serves as Chair of the compensation committee and a member of the audit committee; and as a director of Plexus Corp., a position she has held since 2018 and where she serves as a member of the compensation committee and a member of the 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believe Ms. Rapp qualifications to sit on our Board include her extensive executive experience in the semiconductor industry and her experience with financial accounting matters for complex global organizations as well as her knowledge of business strategy. Ms. Rapp qualifies as an “audit committee financial expert” under SEC guidelines. Ms. Rapp offers a broad perspective in that she has been a member of public company compensation and nominating and governance committees and is presently also a member of one public company sustainability committee. Ms. Rapp has also earned her NACD Director Certification ® credential.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153670</wp:posOffset>
            </wp:positionV>
            <wp:extent cx="7132320" cy="32061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480"/>
            <w:col w:w="7180"/>
          </w:cols>
          <w:pgMar w:left="320" w:top="12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D53A6"/>
        </w:rPr>
        <w:t>Nina L. Richardson</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Director since 2019</w:t>
      </w:r>
    </w:p>
    <w:p>
      <w:pPr>
        <w:ind w:left="100"/>
        <w:spacing w:after="0"/>
        <w:rPr>
          <w:sz w:val="20"/>
          <w:szCs w:val="20"/>
          <w:color w:val="auto"/>
        </w:rPr>
      </w:pPr>
      <w:r>
        <w:rPr>
          <w:rFonts w:ascii="Arial" w:cs="Arial" w:eastAsia="Arial" w:hAnsi="Arial"/>
          <w:sz w:val="22"/>
          <w:szCs w:val="22"/>
          <w:color w:val="auto"/>
        </w:rPr>
        <w:t>Age 67</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D53A6"/>
        </w:rPr>
        <w:t>Board Committees:</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Compensation Committee</w:t>
      </w:r>
    </w:p>
    <w:p>
      <w:pPr>
        <w:spacing w:after="0" w:line="171" w:lineRule="exact"/>
        <w:rPr>
          <w:sz w:val="20"/>
          <w:szCs w:val="20"/>
          <w:color w:val="auto"/>
        </w:rPr>
      </w:pPr>
    </w:p>
    <w:p>
      <w:pPr>
        <w:ind w:left="100" w:right="1040"/>
        <w:spacing w:after="0" w:line="252" w:lineRule="auto"/>
        <w:rPr>
          <w:sz w:val="20"/>
          <w:szCs w:val="20"/>
          <w:color w:val="auto"/>
        </w:rPr>
      </w:pPr>
      <w:r>
        <w:rPr>
          <w:rFonts w:ascii="Arial" w:cs="Arial" w:eastAsia="Arial" w:hAnsi="Arial"/>
          <w:sz w:val="21"/>
          <w:szCs w:val="21"/>
          <w:b w:val="1"/>
          <w:bCs w:val="1"/>
          <w:color w:val="2D53A6"/>
        </w:rPr>
        <w:t>Other Current Public Company Boards:</w:t>
      </w:r>
    </w:p>
    <w:p>
      <w:pPr>
        <w:spacing w:after="0" w:line="1" w:lineRule="exact"/>
        <w:rPr>
          <w:sz w:val="20"/>
          <w:szCs w:val="20"/>
          <w:color w:val="auto"/>
        </w:rPr>
      </w:pPr>
    </w:p>
    <w:p>
      <w:pPr>
        <w:ind w:left="100" w:right="600"/>
        <w:spacing w:after="0" w:line="263" w:lineRule="auto"/>
        <w:rPr>
          <w:sz w:val="20"/>
          <w:szCs w:val="20"/>
          <w:color w:val="auto"/>
        </w:rPr>
      </w:pPr>
      <w:r>
        <w:rPr>
          <w:rFonts w:ascii="Arial" w:cs="Arial" w:eastAsia="Arial" w:hAnsi="Arial"/>
          <w:sz w:val="21"/>
          <w:szCs w:val="21"/>
          <w:color w:val="auto"/>
        </w:rPr>
        <w:t>Resideo Technologies Inc., Silicon Laboratories Inc.</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Ms. Richardson served as chief operating officer of GoPro, Inc. from February 2013 to February 2015. Prior to that, she held several executive positions of increasing responsibility at Flex Ltd., a global electronics and manufacturing service provider, leading electronics manufacturing operations with over 1000 employees in multiple geographies. More recently, she served as managing director of Three Rivers Energy, Inc., a company she co-founded in 2004, until its sale in October of 2024 to Pilot Power. Ms. Richardson also currently serves as a director of Silicon Laboratories Inc., a position she has held since January 2016; and as a director of Resideo Technologies, Inc., a position she has held since October 2018. She also serves as a director at privately held technology company Tonal, a revolutionary strength and personal training platform and as a member of the board of managers of incubator, ExploraMed MSD1. She previously served as a director at Eargo, Inc. (from2020 to 2022), Zayo Group Holdings, Inc. (from 2015 to 2018), Callidus Software, Inc. (from 2017 to 2018) and Silicon Graphics International Corp. (“SGI”) (2016).</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Ms. Richardson’s qualifications to sit on our Board include her extensive board and executive experience in engineering, manufacturing, sales, supply chain management and global operations. She has held executive positions in a variety of industry sectors including consumer electronics, technology, and manufacturing. Ms. Richardson offers a uniquely broad perspective in that she has been a member of six public company compensation committees and previously served as Chair of two public company nominating and governance committee.</w:t>
      </w:r>
    </w:p>
    <w:p>
      <w:pPr>
        <w:spacing w:after="0" w:line="200" w:lineRule="exact"/>
        <w:rPr>
          <w:sz w:val="20"/>
          <w:szCs w:val="20"/>
          <w:color w:val="auto"/>
        </w:rPr>
      </w:pPr>
    </w:p>
    <w:p>
      <w:pPr>
        <w:sectPr>
          <w:pgSz w:w="11900" w:h="16838" w:orient="portrait"/>
          <w:cols w:equalWidth="0" w:num="2">
            <w:col w:w="3280" w:space="720"/>
            <w:col w:w="7180"/>
          </w:cols>
          <w:pgMar w:left="320" w:top="122" w:right="399" w:bottom="1440" w:gutter="0" w:footer="0" w:header="0"/>
          <w:type w:val="continuous"/>
        </w:sectPr>
      </w:pP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Other Continuing Directors Not Standing for Election in 2026</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2D53A6"/>
        </w:rPr>
        <w:t>Directors Whose Term Expires in 2027 - Class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663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2D53A6"/>
        </w:rPr>
        <w:t>Andrew M. Caggia</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Director since 2014</w:t>
      </w:r>
    </w:p>
    <w:p>
      <w:pPr>
        <w:ind w:left="100"/>
        <w:spacing w:after="0"/>
        <w:rPr>
          <w:sz w:val="20"/>
          <w:szCs w:val="20"/>
          <w:color w:val="auto"/>
        </w:rPr>
      </w:pPr>
      <w:r>
        <w:rPr>
          <w:rFonts w:ascii="Arial" w:cs="Arial" w:eastAsia="Arial" w:hAnsi="Arial"/>
          <w:sz w:val="22"/>
          <w:szCs w:val="22"/>
          <w:color w:val="auto"/>
        </w:rPr>
        <w:t>Age 77</w:t>
      </w:r>
    </w:p>
    <w:p>
      <w:pPr>
        <w:spacing w:after="0" w:line="171" w:lineRule="exact"/>
        <w:rPr>
          <w:sz w:val="20"/>
          <w:szCs w:val="20"/>
          <w:color w:val="auto"/>
        </w:rPr>
      </w:pPr>
    </w:p>
    <w:p>
      <w:pPr>
        <w:ind w:left="100" w:right="420"/>
        <w:spacing w:after="0" w:line="245" w:lineRule="auto"/>
        <w:rPr>
          <w:sz w:val="20"/>
          <w:szCs w:val="20"/>
          <w:color w:val="auto"/>
        </w:rPr>
      </w:pPr>
      <w:r>
        <w:rPr>
          <w:rFonts w:ascii="Arial" w:cs="Arial" w:eastAsia="Arial" w:hAnsi="Arial"/>
          <w:sz w:val="22"/>
          <w:szCs w:val="22"/>
          <w:b w:val="1"/>
          <w:bCs w:val="1"/>
          <w:color w:val="2D53A6"/>
        </w:rPr>
        <w:t xml:space="preserve">Board Committees: </w:t>
      </w:r>
      <w:r>
        <w:rPr>
          <w:rFonts w:ascii="Arial" w:cs="Arial" w:eastAsia="Arial" w:hAnsi="Arial"/>
          <w:sz w:val="22"/>
          <w:szCs w:val="22"/>
          <w:color w:val="000000"/>
        </w:rPr>
        <w:t>Nominating and Governance (Chair)</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1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Caggia is the retired Senior Vice President and Chief Financial Officer of SMSC, where he worked from 2000 until his retirement in 2006. Mr. Caggia also served as a director of SMSC from 2001 until its purchase by Microchip Technology Incorporated in 2012. Prior to SMSC, Mr. Caggia was Senior Vice President and Chief Financial Officer of General Semiconductor, Inc. from 1997 to 2000.</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believe Mr. Caggia’s qualifications to sit on our Board include his extensive executive experience in the semiconductor industry and his experience with financial accounting matters for complex global organizations as well as his knowledge of business strategy. Mr. Caggia qualifies as an “audit committee financial expert” under SEC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142240</wp:posOffset>
            </wp:positionV>
            <wp:extent cx="7132320" cy="2691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69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160"/>
          </w:cols>
          <w:pgMar w:left="320" w:top="122"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D53A6"/>
        </w:rPr>
        <w:t>Yon Y. Jorden</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Director since 2021</w:t>
      </w:r>
    </w:p>
    <w:p>
      <w:pPr>
        <w:ind w:left="100"/>
        <w:spacing w:after="0"/>
        <w:rPr>
          <w:sz w:val="20"/>
          <w:szCs w:val="20"/>
          <w:color w:val="auto"/>
        </w:rPr>
      </w:pPr>
      <w:r>
        <w:rPr>
          <w:rFonts w:ascii="Arial" w:cs="Arial" w:eastAsia="Arial" w:hAnsi="Arial"/>
          <w:sz w:val="22"/>
          <w:szCs w:val="22"/>
          <w:color w:val="auto"/>
        </w:rPr>
        <w:t>Age 71</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D53A6"/>
        </w:rPr>
        <w:t>Board Committees:</w:t>
      </w:r>
    </w:p>
    <w:p>
      <w:pPr>
        <w:spacing w:after="0" w:line="12" w:lineRule="exact"/>
        <w:rPr>
          <w:sz w:val="20"/>
          <w:szCs w:val="20"/>
          <w:color w:val="auto"/>
        </w:rPr>
      </w:pPr>
    </w:p>
    <w:p>
      <w:pPr>
        <w:ind w:left="100" w:right="420" w:hanging="11"/>
        <w:spacing w:after="0" w:line="263" w:lineRule="auto"/>
        <w:rPr>
          <w:sz w:val="20"/>
          <w:szCs w:val="20"/>
          <w:color w:val="auto"/>
        </w:rPr>
      </w:pPr>
      <w:r>
        <w:rPr>
          <w:rFonts w:ascii="Arial" w:cs="Arial" w:eastAsia="Arial" w:hAnsi="Arial"/>
          <w:sz w:val="21"/>
          <w:szCs w:val="21"/>
          <w:color w:val="auto"/>
        </w:rPr>
        <w:t>Audit Committee Nominating and Governance</w:t>
      </w:r>
    </w:p>
    <w:p>
      <w:pPr>
        <w:spacing w:after="0" w:line="137" w:lineRule="exact"/>
        <w:rPr>
          <w:sz w:val="20"/>
          <w:szCs w:val="20"/>
          <w:color w:val="auto"/>
        </w:rPr>
      </w:pPr>
    </w:p>
    <w:p>
      <w:pPr>
        <w:ind w:left="100" w:right="1040"/>
        <w:spacing w:after="0" w:line="252" w:lineRule="auto"/>
        <w:rPr>
          <w:sz w:val="20"/>
          <w:szCs w:val="20"/>
          <w:color w:val="auto"/>
        </w:rPr>
      </w:pPr>
      <w:r>
        <w:rPr>
          <w:rFonts w:ascii="Arial" w:cs="Arial" w:eastAsia="Arial" w:hAnsi="Arial"/>
          <w:sz w:val="21"/>
          <w:szCs w:val="21"/>
          <w:b w:val="1"/>
          <w:bCs w:val="1"/>
          <w:color w:val="2D53A6"/>
        </w:rPr>
        <w:t>Other Current Public Company Boards: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Alignment Healthcare, Inc.</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Ms. Jorden is the retired Executive Vice President and Chief Financial Officer of AdvancePCS, a position she held from 2002 to 2004. Prior to that she served as chief financial officer of three other publicly traded companies: Informix, Oxford Health Plans and WellPoint, Inc. She currently serves as a director and is Chair of the audit committee of Alignment Healthcare, Inc., a position she has held since January 2022, and as a director for the not-for-profit Methodist Health System, a position she has held since 2008. She previously served as a director at Capstone Green Energy (from 2017 to 2025), Maxwell Technologies (from 2008 to 2017), BioScrip (from 2014 to 2015), Magnetek, Inc. (from 2004 to 2013) and U.S. Oncology (from 2008 to 2010).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Ms. Jorden’s qualifications to sit on our Board include her extensive board and financial executive experience across several industries and her experience with financial accounting matters for complex global organizations. Ms. Jorden qualifies as an “audit committee financial expert” under SEC guidelines. She has vast experience serving on seven different public company boards, including time serving as the chairperson of audit, compensation and nominating and governance committees. Ms. Jorden is also a board leadership fellow of the National Association of Corporate Directors, demonstrating her commitment and leadership as a board member.</w:t>
      </w:r>
    </w:p>
    <w:p>
      <w:pPr>
        <w:spacing w:after="0" w:line="200" w:lineRule="exact"/>
        <w:rPr>
          <w:sz w:val="20"/>
          <w:szCs w:val="20"/>
          <w:color w:val="auto"/>
        </w:rPr>
      </w:pPr>
    </w:p>
    <w:p>
      <w:pPr>
        <w:sectPr>
          <w:pgSz w:w="11900" w:h="16838" w:orient="portrait"/>
          <w:cols w:equalWidth="0" w:num="2">
            <w:col w:w="3280" w:space="720"/>
            <w:col w:w="7160"/>
          </w:cols>
          <w:pgMar w:left="320" w:top="122" w:right="419" w:bottom="1440" w:gutter="0" w:footer="0" w:header="0"/>
          <w:type w:val="continuous"/>
        </w:sectPr>
      </w:pP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2049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049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D53A6"/>
        </w:rPr>
        <w:t>Luis A. M</w:t>
      </w:r>
      <w:r>
        <w:rPr>
          <w:rFonts w:ascii="Arial" w:cs="Arial" w:eastAsia="Arial" w:hAnsi="Arial"/>
          <w:sz w:val="25"/>
          <w:szCs w:val="25"/>
          <w:color w:val="2D53A6"/>
        </w:rPr>
        <w:t>ü</w:t>
      </w:r>
      <w:r>
        <w:rPr>
          <w:rFonts w:ascii="Arial" w:cs="Arial" w:eastAsia="Arial" w:hAnsi="Arial"/>
          <w:sz w:val="25"/>
          <w:szCs w:val="25"/>
          <w:b w:val="1"/>
          <w:bCs w:val="1"/>
          <w:color w:val="2D53A6"/>
        </w:rPr>
        <w:t>ller</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Director since 2014</w:t>
      </w:r>
    </w:p>
    <w:p>
      <w:pPr>
        <w:ind w:left="100"/>
        <w:spacing w:after="0"/>
        <w:rPr>
          <w:sz w:val="20"/>
          <w:szCs w:val="20"/>
          <w:color w:val="auto"/>
        </w:rPr>
      </w:pPr>
      <w:r>
        <w:rPr>
          <w:rFonts w:ascii="Arial" w:cs="Arial" w:eastAsia="Arial" w:hAnsi="Arial"/>
          <w:sz w:val="22"/>
          <w:szCs w:val="22"/>
          <w:color w:val="auto"/>
        </w:rPr>
        <w:t>Age 56</w:t>
      </w:r>
    </w:p>
    <w:p>
      <w:pPr>
        <w:spacing w:after="0" w:line="171" w:lineRule="exact"/>
        <w:rPr>
          <w:sz w:val="20"/>
          <w:szCs w:val="20"/>
          <w:color w:val="auto"/>
        </w:rPr>
      </w:pPr>
    </w:p>
    <w:p>
      <w:pPr>
        <w:ind w:left="100" w:right="1040"/>
        <w:spacing w:after="0" w:line="252" w:lineRule="auto"/>
        <w:rPr>
          <w:sz w:val="20"/>
          <w:szCs w:val="20"/>
          <w:color w:val="auto"/>
        </w:rPr>
      </w:pPr>
      <w:r>
        <w:rPr>
          <w:rFonts w:ascii="Arial" w:cs="Arial" w:eastAsia="Arial" w:hAnsi="Arial"/>
          <w:sz w:val="21"/>
          <w:szCs w:val="21"/>
          <w:b w:val="1"/>
          <w:bCs w:val="1"/>
          <w:color w:val="2D53A6"/>
        </w:rPr>
        <w:t>Other Current Public Company Boards: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Ralliant, Inc.</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Dr. Müller has been the President and Chief Executive Officer of Cohu since</w:t>
      </w:r>
    </w:p>
    <w:p>
      <w:pPr>
        <w:spacing w:after="0" w:line="237" w:lineRule="auto"/>
        <w:rPr>
          <w:sz w:val="20"/>
          <w:szCs w:val="20"/>
          <w:color w:val="auto"/>
        </w:rPr>
      </w:pPr>
      <w:r>
        <w:rPr>
          <w:rFonts w:ascii="Arial" w:cs="Arial" w:eastAsia="Arial" w:hAnsi="Arial"/>
          <w:sz w:val="18"/>
          <w:szCs w:val="18"/>
          <w:color w:val="auto"/>
        </w:rPr>
        <w:t>December 28, 2014. He also currently serves as a director of Ralliant, Inc., a position he has held since August 2026. His previous roles at Cohu include serving as President of Cohu’s Semiconductor Equipment Group (“SEG”) from 2011 to 2014; Managing Director of Rasco GmbH from 2009 to 2011; Vice President of Delta Design’s High Speed Handling Group from 2008 to 2009; and Director of Engineering at Delta Design from 2005 to 2008. Prior to joining Cohu, Dr. Müller spent nine years at Teradyne Inc., where he held management positions in engineering and business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We believe Dr. Müller’s qualifications to sit on our Board include his extensive executive, including CEO, experience in the semiconductor equipment industry, broad knowledge of business development and strategy, semiconductor technologies, corporate governance and international operations.</w:t>
      </w:r>
    </w:p>
    <w:p>
      <w:pPr>
        <w:spacing w:after="0" w:line="200" w:lineRule="exact"/>
        <w:rPr>
          <w:sz w:val="20"/>
          <w:szCs w:val="20"/>
          <w:color w:val="auto"/>
        </w:rPr>
      </w:pPr>
    </w:p>
    <w:p>
      <w:pPr>
        <w:sectPr>
          <w:pgSz w:w="11900" w:h="16838" w:orient="portrait"/>
          <w:cols w:equalWidth="0" w:num="2">
            <w:col w:w="3280" w:space="720"/>
            <w:col w:w="7200"/>
          </w:cols>
          <w:pgMar w:left="320" w:top="122" w:right="37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2D53A6"/>
        </w:rPr>
        <w:t>Directors Whose Term Expires in 2028 - Class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177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D53A6"/>
        </w:rPr>
        <w:t>Steven J. Bilodeau</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Director since 2009</w:t>
      </w:r>
    </w:p>
    <w:p>
      <w:pPr>
        <w:ind w:left="100"/>
        <w:spacing w:after="0"/>
        <w:rPr>
          <w:sz w:val="20"/>
          <w:szCs w:val="20"/>
          <w:color w:val="auto"/>
        </w:rPr>
      </w:pPr>
      <w:r>
        <w:rPr>
          <w:rFonts w:ascii="Arial" w:cs="Arial" w:eastAsia="Arial" w:hAnsi="Arial"/>
          <w:sz w:val="22"/>
          <w:szCs w:val="22"/>
          <w:color w:val="auto"/>
        </w:rPr>
        <w:t>Age 67</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D53A6"/>
        </w:rPr>
        <w:t>Board Committees:</w:t>
      </w:r>
    </w:p>
    <w:p>
      <w:pPr>
        <w:spacing w:after="0" w:line="12" w:lineRule="exact"/>
        <w:rPr>
          <w:sz w:val="20"/>
          <w:szCs w:val="20"/>
          <w:color w:val="auto"/>
        </w:rPr>
      </w:pPr>
    </w:p>
    <w:p>
      <w:pPr>
        <w:ind w:left="100"/>
        <w:spacing w:after="0" w:line="263" w:lineRule="auto"/>
        <w:rPr>
          <w:sz w:val="20"/>
          <w:szCs w:val="20"/>
          <w:color w:val="auto"/>
        </w:rPr>
      </w:pPr>
      <w:r>
        <w:rPr>
          <w:rFonts w:ascii="Arial" w:cs="Arial" w:eastAsia="Arial" w:hAnsi="Arial"/>
          <w:sz w:val="21"/>
          <w:szCs w:val="21"/>
          <w:color w:val="auto"/>
        </w:rPr>
        <w:t>Compensation Committee (Chair) Nominating and Governance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Bilodeau is the retired President and Chief Executive Officer of Standard Microsystems Corporation (“SMSC”), a semiconductor manufacturer, where he served from 1999 until 2008. Mr. Bilodeau served as a director of Maxwell Technologies, Inc., from May 2016 and was appointed Chairperson in May 2017 until its sale to Tesla, Inc. in May 2019. Mr. Bilodeau also served as a director of SMSC from 1999 until 2012, including as SMSC’s Chairperson of the Board from 2000 until 2012. Mr. Bilodeau also previously served as a director of NuHorizons Electronic Corp. (from 2009 to 2011), Conexant Systems, Inc. (from 2004 to 2011) and Gennum Corporation (from 2008 to 2012).</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believe Mr. Bilodeau’s qualifications to sit on our Board include his extensive board and executive, including CEO, experience in the high technology and semiconductor industries and his knowledge of international operations, business strategy and corporate governance. Mr. Bilodeau was first appointed Lead Independent Director of the Board in May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151765</wp:posOffset>
            </wp:positionV>
            <wp:extent cx="7132320" cy="2177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680"/>
            <w:col w:w="7200"/>
          </w:cols>
          <w:pgMar w:left="320" w:top="12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D53A6"/>
        </w:rPr>
        <w:t>James A. Donahue</w:t>
      </w:r>
    </w:p>
    <w:p>
      <w:pPr>
        <w:spacing w:after="0" w:line="28" w:lineRule="exact"/>
        <w:rPr>
          <w:sz w:val="20"/>
          <w:szCs w:val="20"/>
          <w:color w:val="auto"/>
        </w:rPr>
      </w:pPr>
    </w:p>
    <w:p>
      <w:pPr>
        <w:ind w:left="100" w:firstLine="12"/>
        <w:spacing w:after="0"/>
        <w:rPr>
          <w:sz w:val="20"/>
          <w:szCs w:val="20"/>
          <w:color w:val="auto"/>
        </w:rPr>
      </w:pPr>
      <w:r>
        <w:rPr>
          <w:rFonts w:ascii="Arial" w:cs="Arial" w:eastAsia="Arial" w:hAnsi="Arial"/>
          <w:sz w:val="22"/>
          <w:szCs w:val="22"/>
          <w:color w:val="auto"/>
        </w:rPr>
        <w:t>Director since 1999 (non-executive Director since 2015) Age 77</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1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Mr. Donahue has been the non-executive Chairperson of Cohu since December 24, 2015. Prior to this he served as Executive Chairperson of Cohu from December 28, 2014 to December 24, 2015, and as Chairperson of the Board from 2010 until 2014. Mr. Donahue was President and Chief Executive Officer of Cohu from 2000 to 2014, and President and Chief Operating Officer of Cohu from 1999 to 2000. He also served concurrently as President of Delta Design, Inc., a wholly owned subsidiary of Cohu from 1983 to 2010. Mr. Donahue also previously served as a director of SMSC from 2003 until 2012.</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believe Mr. Donahue’s qualifications to sit on our Board include his extensive board and executive, including CEO, experience in the semiconductor equipment industry and broad knowledge of business development and strategy, corporate governance and operations. Given these qualifications, the Board has determined that it is in the best interests of the Company and its stockholders for Mr. Donahue to continue serving on the Board.</w:t>
      </w:r>
    </w:p>
    <w:p>
      <w:pPr>
        <w:spacing w:after="0" w:line="200" w:lineRule="exact"/>
        <w:rPr>
          <w:sz w:val="20"/>
          <w:szCs w:val="20"/>
          <w:color w:val="auto"/>
        </w:rPr>
      </w:pPr>
    </w:p>
    <w:p>
      <w:pPr>
        <w:sectPr>
          <w:pgSz w:w="11900" w:h="16838" w:orient="portrait"/>
          <w:cols w:equalWidth="0" w:num="2">
            <w:col w:w="3520" w:space="480"/>
            <w:col w:w="7200"/>
          </w:cols>
          <w:pgMar w:left="320" w:top="122" w:right="379" w:bottom="1440" w:gutter="0" w:footer="0" w:header="0"/>
          <w:type w:val="continuous"/>
        </w:sectPr>
      </w:pP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3077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077210"/>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2D53A6"/>
        </w:rPr>
        <w:t>Andreas W. Mattes</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Director since 2022</w:t>
      </w:r>
    </w:p>
    <w:p>
      <w:pPr>
        <w:ind w:left="100"/>
        <w:spacing w:after="0"/>
        <w:rPr>
          <w:sz w:val="20"/>
          <w:szCs w:val="20"/>
          <w:color w:val="auto"/>
        </w:rPr>
      </w:pPr>
      <w:r>
        <w:rPr>
          <w:rFonts w:ascii="Arial" w:cs="Arial" w:eastAsia="Arial" w:hAnsi="Arial"/>
          <w:sz w:val="22"/>
          <w:szCs w:val="22"/>
          <w:color w:val="auto"/>
        </w:rPr>
        <w:t>Age 64</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D53A6"/>
        </w:rPr>
        <w:t>Board Committees:</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21"/>
          <w:szCs w:val="21"/>
          <w:color w:val="auto"/>
        </w:rPr>
        <w:t>Compensation Committee</w:t>
      </w:r>
    </w:p>
    <w:p>
      <w:pPr>
        <w:spacing w:after="0" w:line="182" w:lineRule="exact"/>
        <w:rPr>
          <w:sz w:val="20"/>
          <w:szCs w:val="20"/>
          <w:color w:val="auto"/>
        </w:rPr>
      </w:pPr>
    </w:p>
    <w:p>
      <w:pPr>
        <w:ind w:left="100" w:right="1040" w:firstLine="12"/>
        <w:spacing w:after="0" w:line="256" w:lineRule="auto"/>
        <w:rPr>
          <w:sz w:val="20"/>
          <w:szCs w:val="20"/>
          <w:color w:val="auto"/>
        </w:rPr>
      </w:pPr>
      <w:r>
        <w:rPr>
          <w:rFonts w:ascii="Arial" w:cs="Arial" w:eastAsia="Arial" w:hAnsi="Arial"/>
          <w:sz w:val="21"/>
          <w:szCs w:val="21"/>
          <w:b w:val="1"/>
          <w:bCs w:val="1"/>
          <w:color w:val="2D53A6"/>
        </w:rPr>
        <w:t xml:space="preserve">Other Current Public Company Boards: </w:t>
      </w:r>
      <w:r>
        <w:rPr>
          <w:rFonts w:ascii="Arial" w:cs="Arial" w:eastAsia="Arial" w:hAnsi="Arial"/>
          <w:sz w:val="21"/>
          <w:szCs w:val="21"/>
          <w:color w:val="000000"/>
        </w:rPr>
        <w:t>ams-OSRAM AG AT&amp;S AG</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1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Mr. Mattes is the retired Chief Executive Officer, President and board member of Coherent, Inc., a position he held from April 2020 to July 2022. From June 2019 until joining Coherent, he was a Senior Advisor to McKinsey &amp; Company. From 2013 to 2017, he was the Chief Executive Officer and board member of Diebold Nixdorf Incorporated, and also served as its President from 2013 to 2016. Prior to that, Mr. Mattes was Senior Vice President, Global Strategic Partnerships at Violin Memory in 2013. He has also held various senior management positions with Hewlett-Packard Co. From 2008 to 2011, he was the Senior Vice President and General Manager of Hewlett Packard’s Enterprise Services for the Americas, and from 2006 to 2008, he was Hewlett Packard’s Chief Sales Officer for the Enterprise Business. Mr. Mattes spent the first 20 years of his career, from 1985 to 2005, at Siemens, holding a variety of senior leadership positions. Mr. Mattes has over 20 years of public board experience on three continents and he currently also serves on the board of ams-OSRAM AG, a position he has held since June 2023. Mr. Mattes joined the Supervisory Board of AT&amp;S AG (Austria Technologie &amp; Systemtechnik) in July 2025 and was appointed Chairman at that time. He previously served on the board of Velodyne Lidar, Inc., from 2022 until its merger with Ouster in February 2023 (2022-2023).</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believe Mr. Mattes’ qualifications to sit on our Board include his substantial technology industry experience, experience as Chief Executive Officer and board member of publicly traded companies, and extensive experience in managing large global businesses, sales organizations and mergers and acquisitions.</w:t>
      </w:r>
    </w:p>
    <w:p>
      <w:pPr>
        <w:spacing w:after="0" w:line="200" w:lineRule="exact"/>
        <w:rPr>
          <w:sz w:val="20"/>
          <w:szCs w:val="20"/>
          <w:color w:val="auto"/>
        </w:rPr>
      </w:pPr>
    </w:p>
    <w:p>
      <w:pPr>
        <w:sectPr>
          <w:pgSz w:w="11900" w:h="16838" w:orient="portrait"/>
          <w:cols w:equalWidth="0" w:num="2">
            <w:col w:w="3280" w:space="720"/>
            <w:col w:w="7160"/>
          </w:cols>
          <w:pgMar w:left="320" w:top="122" w:right="419" w:bottom="1440" w:gutter="0" w:footer="0" w:header="0"/>
          <w:type w:val="continuous"/>
        </w:sectPr>
      </w:pP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No. 2: Advisory Vote to Approve Named Executive Compensation</w:t>
      </w:r>
    </w:p>
    <w:p>
      <w:pPr>
        <w:spacing w:after="0" w:line="21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At our 2023 annual meeting, our Board recommended and our stockholders approved holding an advisory vote on the compensation of our NEOs every year. Accordingly, as required by Section 14A of the Securities Exchange Act of 1934, as amended, we are asking our stockholders to cast an advisory vote to approve the compensation of our NEOs as described in this proxy statement.</w:t>
      </w:r>
    </w:p>
    <w:p>
      <w:pPr>
        <w:spacing w:after="0" w:line="15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At last year’s annual meeting, we provided our stockholders with the opportunity to cast an advisory vote regarding the compensation of our NEOs as disclosed in the proxy statement for the 2025 Annual Meeting of Stockholders. At our 2025 Annual Meeting, our stockholders approved the proposal, with approximately 98.1% of the votes cast voting in favor of the proposal. The next advisory vote regarding the compensation of our NEOs is expected to be held at the 2027 annual meeting of stockholders</w:t>
      </w:r>
    </w:p>
    <w:p>
      <w:pPr>
        <w:spacing w:after="0" w:line="16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value the opinions of our stockholders and will continue to consider the outcome of future say-on-pay votes, as well as feedback received throughout the year, when making compensation decisions for our executive officers, including the NEOs. This year, we are again asking our stockholders to vote “FOR” the compensation of our NEOs as disclosed in this proxy statement.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Program and Philosophy</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described under the Compensation Discussion and Analysis section of this proxy statement (the “CD&amp;A”), the Compensation Committee has structured our executive compensation program to achieve the following key objectives:</w:t>
      </w:r>
    </w:p>
    <w:p>
      <w:pPr>
        <w:spacing w:after="0" w:line="140"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pay for performance;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36" w:lineRule="exact"/>
        <w:rPr>
          <w:rFonts w:ascii="Arial" w:cs="Arial" w:eastAsia="Arial" w:hAnsi="Arial"/>
          <w:sz w:val="18"/>
          <w:szCs w:val="18"/>
          <w:color w:val="auto"/>
        </w:rPr>
      </w:pPr>
    </w:p>
    <w:p>
      <w:pPr>
        <w:ind w:left="660" w:right="100" w:hanging="328"/>
        <w:spacing w:after="0" w:line="245"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business objectives while balancing rewards for short- term and long-term performance; and</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22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urge stockholders to read the CD&amp;A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 The Compensation Committee and the Board of Directors believe that the policies and procedures articulated in the CD&amp;A are effective in achieving our goals and that the compensation of our NEOs reported in this proxy statement has contributed to Cohu’s recent and long-term success.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0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 majority of the votes cast is required for a non-binding approval of Proposal No. 2.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the above reasons, we are asking our stockholders to indicate their support for the compensation of our NEOs as described in this proxy statement by voting in favor of the following resolution:</w:t>
      </w:r>
    </w:p>
    <w:p>
      <w:pPr>
        <w:spacing w:after="0" w:line="14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“RESOLVED, that the stockholders of Cohu approve, in a non-binding vote, the compensation of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NEOs as disclosed pursuant to the CD&amp;A, the tabular disclosure regarding such compensation, and the accompanying narrative disclosure set forth in the proxy statement relating to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2026 Annual Meeting of Stockholders.</w:t>
      </w:r>
      <w:r>
        <w:rPr>
          <w:rFonts w:ascii="Arial" w:cs="Arial" w:eastAsia="Arial" w:hAnsi="Arial"/>
          <w:sz w:val="18"/>
          <w:szCs w:val="18"/>
          <w:color w:val="auto"/>
        </w:rPr>
        <w:t>”</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Even though this say-on-pay vote is advisory and therefore will not be binding on Cohu, the Compensation Committee and the Board value the opinions of our stockholders. Accordingly, to the extent there is a significant vote against the compensation of our NEOs, we will consider our stockholders’ concerns and the Compensation Committee will evaluate what actions may be necessary or appropriate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36130" cy="4330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433070"/>
                    </a:xfrm>
                    <a:prstGeom prst="rect">
                      <a:avLst/>
                    </a:prstGeom>
                    <a:noFill/>
                  </pic:spPr>
                </pic:pic>
              </a:graphicData>
            </a:graphic>
          </wp:anchor>
        </w:drawing>
      </w:r>
    </w:p>
    <w:p>
      <w:pPr>
        <w:spacing w:after="0" w:line="225" w:lineRule="exact"/>
        <w:rPr>
          <w:sz w:val="20"/>
          <w:szCs w:val="20"/>
          <w:color w:val="auto"/>
        </w:rPr>
      </w:pPr>
    </w:p>
    <w:p>
      <w:pPr>
        <w:ind w:left="100" w:right="3400"/>
        <w:spacing w:after="0" w:line="297" w:lineRule="auto"/>
        <w:rPr>
          <w:sz w:val="20"/>
          <w:szCs w:val="20"/>
          <w:color w:val="auto"/>
        </w:rPr>
      </w:pPr>
      <w:r>
        <w:rPr>
          <w:rFonts w:ascii="Arial" w:cs="Arial" w:eastAsia="Arial" w:hAnsi="Arial"/>
          <w:sz w:val="21"/>
          <w:szCs w:val="21"/>
          <w:b w:val="1"/>
          <w:bCs w:val="1"/>
          <w:color w:val="FFFFFF"/>
        </w:rPr>
        <w:t xml:space="preserve">The Board of Directors unanimously recommends a vote </w:t>
      </w:r>
      <w:r>
        <w:rPr>
          <w:rFonts w:ascii="Arial" w:cs="Arial" w:eastAsia="Arial" w:hAnsi="Arial"/>
          <w:sz w:val="21"/>
          <w:szCs w:val="21"/>
          <w:color w:val="FFFFFF"/>
        </w:rPr>
        <w:t>√ “</w:t>
      </w:r>
      <w:r>
        <w:rPr>
          <w:rFonts w:ascii="Arial" w:cs="Arial" w:eastAsia="Arial" w:hAnsi="Arial"/>
          <w:sz w:val="21"/>
          <w:szCs w:val="21"/>
          <w:b w:val="1"/>
          <w:bCs w:val="1"/>
          <w:color w:val="FFFFFF"/>
        </w:rPr>
        <w:t>FOR</w:t>
      </w:r>
      <w:r>
        <w:rPr>
          <w:rFonts w:ascii="Arial" w:cs="Arial" w:eastAsia="Arial" w:hAnsi="Arial"/>
          <w:sz w:val="21"/>
          <w:szCs w:val="21"/>
          <w:color w:val="FFFFFF"/>
        </w:rPr>
        <w:t>”</w:t>
      </w:r>
      <w:r>
        <w:rPr>
          <w:rFonts w:ascii="Arial" w:cs="Arial" w:eastAsia="Arial" w:hAnsi="Arial"/>
          <w:sz w:val="21"/>
          <w:szCs w:val="21"/>
          <w:b w:val="1"/>
          <w:bCs w:val="1"/>
          <w:color w:val="FFFFFF"/>
        </w:rPr>
        <w:t xml:space="preserve"> approval, on an advisory basis, of the resolution on executive compensation.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361" w:lineRule="exact"/>
        <w:rPr>
          <w:sz w:val="20"/>
          <w:szCs w:val="20"/>
          <w:color w:val="auto"/>
        </w:rPr>
      </w:pPr>
    </w:p>
    <w:p>
      <w:pPr>
        <w:jc w:val="both"/>
        <w:ind w:right="1140"/>
        <w:spacing w:after="0" w:line="273" w:lineRule="auto"/>
        <w:rPr>
          <w:sz w:val="20"/>
          <w:szCs w:val="20"/>
          <w:color w:val="auto"/>
        </w:rPr>
      </w:pPr>
      <w:r>
        <w:rPr>
          <w:rFonts w:ascii="Arial" w:cs="Arial" w:eastAsia="Arial" w:hAnsi="Arial"/>
          <w:sz w:val="25"/>
          <w:szCs w:val="25"/>
          <w:b w:val="1"/>
          <w:bCs w:val="1"/>
          <w:color w:val="auto"/>
        </w:rPr>
        <w:t>Proposal No. 3: Approve an Amendment to our Amended and Restated Certificate of Incorporation to Increase the Number of Authorized Shares of Common Stock from 90,000,000 to 150,000,000 Shares</w:t>
      </w:r>
    </w:p>
    <w:p>
      <w:pPr>
        <w:spacing w:after="0" w:line="1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We are seeking stockholder approval of an amendment to our Amended and Restated Certificate of Incorporation that would increase the number of authorized shares of common stock from 90,000,000 to 150,000,000 shares in order to support, among other things, the additional share issuances of Common Stock under the 2026 Plan as well as reserves required under our 1.5% convertible senior notes due 2031 (the “2031 Notes”). The proposed Certificate of Amendment to the Amended and Restated Certificate of Incorporation (the “Certificate of Amendment”) is attached hereto as </w:t>
      </w:r>
      <w:r>
        <w:rPr>
          <w:rFonts w:ascii="Arial" w:cs="Arial" w:eastAsia="Arial" w:hAnsi="Arial"/>
          <w:sz w:val="18"/>
          <w:szCs w:val="18"/>
          <w:b w:val="1"/>
          <w:bCs w:val="1"/>
          <w:u w:val="single" w:color="auto"/>
          <w:color w:val="auto"/>
        </w:rPr>
        <w:t>Appendix B</w:t>
      </w:r>
      <w:r>
        <w:rPr>
          <w:rFonts w:ascii="Arial" w:cs="Arial" w:eastAsia="Arial" w:hAnsi="Arial"/>
          <w:sz w:val="18"/>
          <w:szCs w:val="18"/>
          <w:color w:val="auto"/>
        </w:rPr>
        <w:t>.</w:t>
      </w:r>
    </w:p>
    <w:p>
      <w:pPr>
        <w:spacing w:after="0" w:line="154"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The newly authorized shares of common stock would have the same rights as the currently outstanding shares of our common stock. As of March 16, 2026, 46,903,489 shares of our common stock were issued and outstanding, 2,105,011 shares were subject to existing awards under our equity compensation plans, and 15,685,593 shares of our common stock were reserved for future issuance under our equity compensation plans as well as possible satisfaction of our obligations under the 2031 Notes. Accordingly, 64,694,093 (or 71.9%) of the 90,000,000 authorized shares of our common stock are currently issued or reserved while only 25,305,907 (or 28.1%) of the authorized shares of our common stock remain available for future issuance.</w:t>
      </w:r>
    </w:p>
    <w:p>
      <w:pPr>
        <w:spacing w:after="0" w:line="17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believe that it would be prudent and advisable to have the additional shares available to provide additional flexibility regarding the potential use of shares of common stock for business and financial purposes in the future. Having an increased number of authorized but unissued shares of common stock would allow us to take prompt action with respect to corporate opportunities that may arise, without the delay and expense of convening a special meeting of stockholders for the purpose of approving an increase in our authorized shares. The additional shares could be used for various purposes without further stockholder approval. These purposes may include: (i) raising capital, if we have an appropriate opportunity, through offerings of common stock or securities that are convertible into common stock; (ii) expanding our business through potential strategic transactions, including mergers, acquisitions, and other business combinations or acquisitions of new technologies or products; (iii) establishing strategic relationships with other companies; (iv) exchanges of common stock or securities that are convertible into common stock for other outstanding securities; (v) providing equity incentives to attract and retain employees, officers or directors; and (vi) other purposes. However, at this time, beyond ongoing equity grants under our equity compensation plans in the ordinary course of business or potential satisfaction of our obligations under the 2031 Notes, we have no imminent plans, arrangements or understandings for any transactions that would involve the issuance of such additional authorized shares.</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the proposed amendment is approved by our stockholders, the additional authorized shares of common stock would have rights identical to our currently outstanding common stock. Our Amended and Restated Certificate of Incorporation also currently authorizes the issuance of 1,000,000 shares of preferred stock, none of which are issued or outstanding.</w:t>
      </w:r>
    </w:p>
    <w:p>
      <w:pPr>
        <w:spacing w:after="0" w:line="15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proposed amendment to our Amended and Restated Certificate of Incorporation would not change the authorized number of shares of preferred stock. Future issuances of shares of common stock or securities convertible into shares of common stock could have a dilutive effect on our earnings per share, book value per share and the voting interest and power of current stockholders since holders of common stock are not entitled to preemptive rights.</w:t>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SEC rules require disclosure of the possible anti-takeover effects of an increase in authorized capital stock and other charter and bylaw provisions that could have an anti-takeover effect. Although we have not proposed the increase in the number of authorized shares of common stock with the intent of using the additional shares to prevent or discourage any actual or threatened takeover of the Company, under certain circumstances, such shares could have an anti-takeover effect. The additional shares could be issued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affect such a removal. Accordingly, if the proposed amendment is approved, the additional shares of authorized common stock may render more difficult or discourage a merger, tender offer or proxy contest, the assumption of control by a holder of a large block of common stock, or the replacement or removal of members of the Board or management.</w:t>
      </w:r>
    </w:p>
    <w:p>
      <w:pPr>
        <w:spacing w:after="0" w:line="17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Following stockholder approval of this proposal, the authorized share increase would be implemented by our filing the Certificate of Amendment with the Secretary of State of the State of Delaware. However, at any time prior to the effectiveness of the filing of the Certificate of Amendment with the Secretary of State of the State of Delaware, the Board reserves the right to abandon this proposal and to not file the Certificate of Amendment, even if approved by the stockholders of the Corporation, if the Board, in its discretion, determines that such amendment is no longer in the best interests of the Corporation or its stockholders.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0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affirmative vote of the holders of a majority of the issued and outstanding shares of the Company’s common stock as of the record date is required to approve Proposal No. 3. If you hold your shares through a broker and you do not instruct the broker on how to vote on this “routine” proposal, your broker will nevertheless have authority to vote your shares on this “routine” proposal in your broker’s discretion as such we do not expect any broker non-votes on this Proposal No. 3. Abstentions will have the effect of a vote “Against” this proposal.</w:t>
      </w:r>
    </w:p>
    <w:p>
      <w:pPr>
        <w:spacing w:after="0" w:line="16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Effective as of August 1, 2023, Section 242 of the Delaware General Corporate Law (“DGCL”) was amended to add subsection (d), which, among other things, modifies the voting standard for the approval by stockholders of a Delaware corporation of an amendment to the corporation’s certificate of incorporation under certain circumstances to implement an increase or decrease in the number of authorized shares of one or more classes of the capital stock of the corporation. Prior to this amendment of Section 242, Delaware corporations were required to obtain the affirmative vote of a majority of the voting power of the outstanding shares entitled to vote on such a proposal, which is consistent with our current Amended and Restated Certificate of Incorporation in its current form. Pursuant to new Section 242(d)(2) of the DGCL, unless otherwise required by a corporation’s charter, the threshold for stockholder approval of a charter amendment to implement an increase or decrease in the number of authorized shares of a class of capital stock of a corporation is now the affirmative vote of a majority of the votes cast, so long as (a) the applicable class of shares is listed on a national securities exchange immediately before the charter amendment becomes effective and (b) the corporation will meet exchange listing requirements concerning minimum number of stockholders immediately after the amendment becomes effective. For this Proposal No. 3, we are seeking a vote consistent with our existing Amended and Restated Charter; provided, however, in the future we may seek a required vote consistent with DGCL 242(d) as recently revised.</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7416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741680"/>
                    </a:xfrm>
                    <a:prstGeom prst="rect">
                      <a:avLst/>
                    </a:prstGeom>
                    <a:noFill/>
                  </pic:spPr>
                </pic:pic>
              </a:graphicData>
            </a:graphic>
          </wp:anchor>
        </w:drawing>
      </w:r>
    </w:p>
    <w:p>
      <w:pPr>
        <w:spacing w:after="0" w:line="265" w:lineRule="exact"/>
        <w:rPr>
          <w:sz w:val="20"/>
          <w:szCs w:val="20"/>
          <w:color w:val="auto"/>
        </w:rPr>
      </w:pPr>
    </w:p>
    <w:p>
      <w:pPr>
        <w:ind w:left="100" w:right="3360"/>
        <w:spacing w:after="0" w:line="244" w:lineRule="auto"/>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of an amendment to our Amended and Restated Certificate of Incorporation to increase the number of authorized shares of common stock from 90,000,000 to 150,000,000 shares.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No. 4: Approval of the Cohu, Inc. 2026 Equity Incentive Plan</w:t>
      </w:r>
    </w:p>
    <w:p>
      <w:pPr>
        <w:spacing w:after="0" w:line="21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asking stockholders to approve the Cohu, Inc. 2026 Equity Incentive Plan (the “2026 Plan”). The Board of Directors adopted the 2026 Plan on March 20, 2026, subject to its approval by stockholders. The 2026 Plan is the successor to the Cohu, Inc., 2005 Equity Incentive Plan (“2005 Plan”). Once approved by shareholders, (i) no additional awards may be granted under the 2005 Plan; (ii) any Returning Shares will become available for issuance pursuant to Awards granted under the 2026 Plan; and (iii) all awards granted under the 2005 Plan that are outstanding on the Effective Date will remain subject to the terms of the 2005 Plan (except to the extent such outstanding awards result in Returning Shares that become available for issuance pursuant to Awards granted under this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Requested Share Authorization</w:t>
      </w:r>
    </w:p>
    <w:p>
      <w:pPr>
        <w:spacing w:after="0" w:line="198"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The 2026 Plan empowers the Compensation Committee to provide incentive compensation in the form of stock options, stock appreciation rights, restricted stock and stock units, performance shares and units, other stock-based awards, and cash-based awards. Under the 2026 Plan, the initial reserve will be a maximum of 3,400,000 shares, consisting of the sum of:</w:t>
      </w:r>
    </w:p>
    <w:p>
      <w:pPr>
        <w:spacing w:after="0" w:line="15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3,400,000 new additionally requested shares</w:t>
      </w:r>
    </w:p>
    <w:p>
      <w:pPr>
        <w:spacing w:after="0" w:line="36" w:lineRule="exact"/>
        <w:rPr>
          <w:rFonts w:ascii="Arial" w:cs="Arial" w:eastAsia="Arial" w:hAnsi="Arial"/>
          <w:sz w:val="18"/>
          <w:szCs w:val="18"/>
          <w:color w:val="auto"/>
        </w:rPr>
      </w:pPr>
    </w:p>
    <w:p>
      <w:pPr>
        <w:ind w:left="660" w:right="220" w:hanging="328"/>
        <w:spacing w:after="0" w:line="271"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less one share for each share subject to any award granted under the 2005 Plan between March 20, 2026, and prior to the date of the Annual Meeting</w:t>
      </w:r>
    </w:p>
    <w:p>
      <w:pPr>
        <w:spacing w:after="0" w:line="14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In no event shall the number of shares subject to any equity award granted under the 2005 Plan after March 20, 2026, and prior to the annual meeting exceed 10,000 shares. As further described below, the share reserve will automatically increase by an additional number of shares which is equal to any shares subject to outstanding awards granted under 2005 Plan that are outstanding as of the annual meeting, and with respect to grants made under the 2026 Plan after the annual meeting date, that may subsequently be forfeited after the annual meeting due to expiration or failure to vest or which are instead settled in cash.</w:t>
      </w:r>
    </w:p>
    <w:p>
      <w:pPr>
        <w:spacing w:after="0" w:line="16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Board recommends stockholders approve the 2026 Plan to promote our long-term growth and profitability by aligning the interests of our key employees with those of other stockholders and providing additional incentives to enhance stockholder value.</w:t>
      </w:r>
    </w:p>
    <w:p>
      <w:pPr>
        <w:spacing w:after="0" w:line="14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Our Board believes that Cohu’s success is due to its highly talented employee base and that future success depends on our ability to continue attracting and retaining high-caliber employees. Our ability to grant equity awards is a necessary and powerful recruiting and retention tool to maintain and create stockholder value. Apart from our broad-based 1997 Employee Stock Purchase Plan (see </w:t>
      </w:r>
      <w:r>
        <w:rPr>
          <w:rFonts w:ascii="Arial" w:cs="Arial" w:eastAsia="Arial" w:hAnsi="Arial"/>
          <w:sz w:val="18"/>
          <w:szCs w:val="18"/>
          <w:u w:val="single" w:color="auto"/>
          <w:color w:val="auto"/>
        </w:rPr>
        <w:t>Proposal No.</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in this proxy statement), the 2005 Plan is our only active current employee equity incentive plan. As a result, we believe that the current authorized number of shares under the 2005 Plan is completely inadequate to provide reasonable incentives to our employees going forward. Non-approval of the 2026 Plan may compel us to increase the cash component of employee compensation because the Company would need to replace components of compensation previously delivered through equity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this proposal is approved, the 2026 Plan will become effective on the date of the annual meeting and the 2005 Plan will terminate.</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connection with our share-based compensation programs, we are committed to using equity incentive awards prudently and within reasonable limits. We closely monitor our share award annual “burn rate.” Our annual burn rate is determined by dividing a) two-times the number of our common shares subject to “full-value” time-based awards we grant during a fiscal year (currently all in the form of RSUs) and the performance share units (“</w:t>
      </w:r>
      <w:r>
        <w:rPr>
          <w:rFonts w:ascii="Arial" w:cs="Arial" w:eastAsia="Arial" w:hAnsi="Arial"/>
          <w:sz w:val="18"/>
          <w:szCs w:val="18"/>
          <w:u w:val="single" w:color="auto"/>
          <w:color w:val="auto"/>
        </w:rPr>
        <w:t>PSUs</w:t>
      </w:r>
      <w:r>
        <w:rPr>
          <w:rFonts w:ascii="Arial" w:cs="Arial" w:eastAsia="Arial" w:hAnsi="Arial"/>
          <w:sz w:val="18"/>
          <w:szCs w:val="18"/>
          <w:color w:val="auto"/>
        </w:rPr>
        <w:t>”) that are earned and become vested based on the achievement of the applicable performance goals during the fiscal year by b) the weighted average number of our shares of common stock outstanding during that fiscal year. We do not include deferred stock unit awards issued in lieu of cash compensation of equal value in determining the burn rate illustrated in the following table.</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00" w:type="dxa"/>
            <w:vAlign w:val="bottom"/>
            <w:tcBorders>
              <w:left w:val="single" w:sz="8" w:color="2D53A6"/>
            </w:tcBorders>
            <w:shd w:val="clear" w:color="auto" w:fill="2D53A6"/>
          </w:tcPr>
          <w:p>
            <w:pPr>
              <w:spacing w:after="0"/>
              <w:rPr>
                <w:sz w:val="17"/>
                <w:szCs w:val="17"/>
                <w:color w:val="auto"/>
              </w:rPr>
            </w:pPr>
          </w:p>
        </w:tc>
        <w:tc>
          <w:tcPr>
            <w:tcW w:w="1040" w:type="dxa"/>
            <w:vAlign w:val="bottom"/>
            <w:shd w:val="clear" w:color="auto" w:fill="2D53A6"/>
          </w:tcPr>
          <w:p>
            <w:pPr>
              <w:spacing w:after="0"/>
              <w:rPr>
                <w:sz w:val="17"/>
                <w:szCs w:val="17"/>
                <w:color w:val="auto"/>
              </w:rPr>
            </w:pPr>
          </w:p>
        </w:tc>
        <w:tc>
          <w:tcPr>
            <w:tcW w:w="420" w:type="dxa"/>
            <w:vAlign w:val="bottom"/>
            <w:shd w:val="clear" w:color="auto" w:fill="2D53A6"/>
          </w:tcPr>
          <w:p>
            <w:pPr>
              <w:spacing w:after="0"/>
              <w:rPr>
                <w:sz w:val="17"/>
                <w:szCs w:val="17"/>
                <w:color w:val="auto"/>
              </w:rPr>
            </w:pPr>
          </w:p>
        </w:tc>
        <w:tc>
          <w:tcPr>
            <w:tcW w:w="1440" w:type="dxa"/>
            <w:vAlign w:val="bottom"/>
            <w:shd w:val="clear" w:color="auto" w:fill="2D53A6"/>
          </w:tcPr>
          <w:p>
            <w:pPr>
              <w:spacing w:after="0"/>
              <w:rPr>
                <w:sz w:val="17"/>
                <w:szCs w:val="17"/>
                <w:color w:val="auto"/>
              </w:rPr>
            </w:pPr>
          </w:p>
        </w:tc>
        <w:tc>
          <w:tcPr>
            <w:tcW w:w="1440" w:type="dxa"/>
            <w:vAlign w:val="bottom"/>
            <w:shd w:val="clear" w:color="auto" w:fill="2D53A6"/>
          </w:tcPr>
          <w:p>
            <w:pPr>
              <w:spacing w:after="0"/>
              <w:rPr>
                <w:sz w:val="17"/>
                <w:szCs w:val="17"/>
                <w:color w:val="auto"/>
              </w:rPr>
            </w:pPr>
          </w:p>
        </w:tc>
        <w:tc>
          <w:tcPr>
            <w:tcW w:w="1440" w:type="dxa"/>
            <w:vAlign w:val="bottom"/>
            <w:shd w:val="clear" w:color="auto" w:fill="2D53A6"/>
          </w:tcPr>
          <w:p>
            <w:pPr>
              <w:spacing w:after="0"/>
              <w:rPr>
                <w:sz w:val="17"/>
                <w:szCs w:val="17"/>
                <w:color w:val="auto"/>
              </w:rPr>
            </w:pPr>
          </w:p>
        </w:tc>
        <w:tc>
          <w:tcPr>
            <w:tcW w:w="14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Weighted</w:t>
            </w:r>
          </w:p>
        </w:tc>
        <w:tc>
          <w:tcPr>
            <w:tcW w:w="1520" w:type="dxa"/>
            <w:vAlign w:val="bottom"/>
            <w:tcBorders>
              <w:right w:val="single" w:sz="8" w:color="2D53A6"/>
            </w:tcBorders>
            <w:shd w:val="clear" w:color="auto" w:fill="2D53A6"/>
          </w:tcPr>
          <w:p>
            <w:pPr>
              <w:spacing w:after="0"/>
              <w:rPr>
                <w:sz w:val="17"/>
                <w:szCs w:val="17"/>
                <w:color w:val="auto"/>
              </w:rPr>
            </w:pPr>
          </w:p>
        </w:tc>
      </w:tr>
      <w:tr>
        <w:trPr>
          <w:trHeight w:val="203"/>
        </w:trPr>
        <w:tc>
          <w:tcPr>
            <w:tcW w:w="2500" w:type="dxa"/>
            <w:vAlign w:val="bottom"/>
            <w:tcBorders>
              <w:left w:val="single" w:sz="8" w:color="2D53A6"/>
            </w:tcBorders>
            <w:shd w:val="clear" w:color="auto" w:fill="2D53A6"/>
          </w:tcPr>
          <w:p>
            <w:pPr>
              <w:spacing w:after="0"/>
              <w:rPr>
                <w:sz w:val="17"/>
                <w:szCs w:val="17"/>
                <w:color w:val="auto"/>
              </w:rPr>
            </w:pPr>
          </w:p>
        </w:tc>
        <w:tc>
          <w:tcPr>
            <w:tcW w:w="1040" w:type="dxa"/>
            <w:vAlign w:val="bottom"/>
            <w:shd w:val="clear" w:color="auto" w:fill="2D53A6"/>
          </w:tcPr>
          <w:p>
            <w:pPr>
              <w:spacing w:after="0"/>
              <w:rPr>
                <w:sz w:val="17"/>
                <w:szCs w:val="17"/>
                <w:color w:val="auto"/>
              </w:rPr>
            </w:pPr>
          </w:p>
        </w:tc>
        <w:tc>
          <w:tcPr>
            <w:tcW w:w="420" w:type="dxa"/>
            <w:vAlign w:val="bottom"/>
            <w:shd w:val="clear" w:color="auto" w:fill="2D53A6"/>
          </w:tcPr>
          <w:p>
            <w:pPr>
              <w:spacing w:after="0"/>
              <w:rPr>
                <w:sz w:val="17"/>
                <w:szCs w:val="17"/>
                <w:color w:val="auto"/>
              </w:rPr>
            </w:pPr>
          </w:p>
        </w:tc>
        <w:tc>
          <w:tcPr>
            <w:tcW w:w="1440" w:type="dxa"/>
            <w:vAlign w:val="bottom"/>
            <w:shd w:val="clear" w:color="auto" w:fill="2D53A6"/>
          </w:tcPr>
          <w:p>
            <w:pPr>
              <w:spacing w:after="0"/>
              <w:rPr>
                <w:sz w:val="17"/>
                <w:szCs w:val="17"/>
                <w:color w:val="auto"/>
              </w:rPr>
            </w:pPr>
          </w:p>
        </w:tc>
        <w:tc>
          <w:tcPr>
            <w:tcW w:w="1440" w:type="dxa"/>
            <w:vAlign w:val="bottom"/>
            <w:shd w:val="clear" w:color="auto" w:fill="2D53A6"/>
          </w:tcPr>
          <w:p>
            <w:pPr>
              <w:spacing w:after="0"/>
              <w:rPr>
                <w:sz w:val="17"/>
                <w:szCs w:val="17"/>
                <w:color w:val="auto"/>
              </w:rPr>
            </w:pPr>
          </w:p>
        </w:tc>
        <w:tc>
          <w:tcPr>
            <w:tcW w:w="1440" w:type="dxa"/>
            <w:vAlign w:val="bottom"/>
            <w:shd w:val="clear" w:color="auto" w:fill="2D53A6"/>
          </w:tcPr>
          <w:p>
            <w:pPr>
              <w:spacing w:after="0"/>
              <w:rPr>
                <w:sz w:val="17"/>
                <w:szCs w:val="17"/>
                <w:color w:val="auto"/>
              </w:rPr>
            </w:pPr>
          </w:p>
        </w:tc>
        <w:tc>
          <w:tcPr>
            <w:tcW w:w="1440" w:type="dxa"/>
            <w:vAlign w:val="bottom"/>
            <w:shd w:val="clear" w:color="auto" w:fill="2D53A6"/>
          </w:tcPr>
          <w:p>
            <w:pPr>
              <w:ind w:left="120"/>
              <w:spacing w:after="0" w:line="202" w:lineRule="exact"/>
              <w:rPr>
                <w:sz w:val="20"/>
                <w:szCs w:val="20"/>
                <w:color w:val="auto"/>
              </w:rPr>
            </w:pPr>
            <w:r>
              <w:rPr>
                <w:rFonts w:ascii="Arial" w:cs="Arial" w:eastAsia="Arial" w:hAnsi="Arial"/>
                <w:sz w:val="18"/>
                <w:szCs w:val="18"/>
                <w:b w:val="1"/>
                <w:bCs w:val="1"/>
                <w:color w:val="FFFFFF"/>
              </w:rPr>
              <w:t>Average</w:t>
            </w:r>
          </w:p>
        </w:tc>
        <w:tc>
          <w:tcPr>
            <w:tcW w:w="1520" w:type="dxa"/>
            <w:vAlign w:val="bottom"/>
            <w:tcBorders>
              <w:right w:val="single" w:sz="8" w:color="2D53A6"/>
            </w:tcBorders>
            <w:shd w:val="clear" w:color="auto" w:fill="2D53A6"/>
          </w:tcPr>
          <w:p>
            <w:pPr>
              <w:spacing w:after="0"/>
              <w:rPr>
                <w:sz w:val="17"/>
                <w:szCs w:val="17"/>
                <w:color w:val="auto"/>
              </w:rPr>
            </w:pPr>
          </w:p>
        </w:tc>
      </w:tr>
      <w:tr>
        <w:trPr>
          <w:trHeight w:val="203"/>
        </w:trPr>
        <w:tc>
          <w:tcPr>
            <w:tcW w:w="2500" w:type="dxa"/>
            <w:vAlign w:val="bottom"/>
            <w:tcBorders>
              <w:left w:val="single" w:sz="8" w:color="2D53A6"/>
            </w:tcBorders>
            <w:shd w:val="clear" w:color="auto" w:fill="2D53A6"/>
          </w:tcPr>
          <w:p>
            <w:pPr>
              <w:spacing w:after="0"/>
              <w:rPr>
                <w:sz w:val="17"/>
                <w:szCs w:val="17"/>
                <w:color w:val="auto"/>
              </w:rPr>
            </w:pPr>
          </w:p>
        </w:tc>
        <w:tc>
          <w:tcPr>
            <w:tcW w:w="1040" w:type="dxa"/>
            <w:vAlign w:val="bottom"/>
            <w:shd w:val="clear" w:color="auto" w:fill="2D53A6"/>
          </w:tcPr>
          <w:p>
            <w:pPr>
              <w:spacing w:after="0"/>
              <w:rPr>
                <w:sz w:val="17"/>
                <w:szCs w:val="17"/>
                <w:color w:val="auto"/>
              </w:rPr>
            </w:pPr>
          </w:p>
        </w:tc>
        <w:tc>
          <w:tcPr>
            <w:tcW w:w="420" w:type="dxa"/>
            <w:vAlign w:val="bottom"/>
            <w:shd w:val="clear" w:color="auto" w:fill="2D53A6"/>
          </w:tcPr>
          <w:p>
            <w:pPr>
              <w:spacing w:after="0"/>
              <w:rPr>
                <w:sz w:val="17"/>
                <w:szCs w:val="17"/>
                <w:color w:val="auto"/>
              </w:rPr>
            </w:pPr>
          </w:p>
        </w:tc>
        <w:tc>
          <w:tcPr>
            <w:tcW w:w="1440" w:type="dxa"/>
            <w:vAlign w:val="bottom"/>
            <w:shd w:val="clear" w:color="auto" w:fill="2D53A6"/>
          </w:tcPr>
          <w:p>
            <w:pPr>
              <w:spacing w:after="0"/>
              <w:rPr>
                <w:sz w:val="17"/>
                <w:szCs w:val="17"/>
                <w:color w:val="auto"/>
              </w:rPr>
            </w:pPr>
          </w:p>
        </w:tc>
        <w:tc>
          <w:tcPr>
            <w:tcW w:w="1440" w:type="dxa"/>
            <w:vAlign w:val="bottom"/>
            <w:shd w:val="clear" w:color="auto" w:fill="2D53A6"/>
          </w:tcPr>
          <w:p>
            <w:pPr>
              <w:spacing w:after="0"/>
              <w:rPr>
                <w:sz w:val="17"/>
                <w:szCs w:val="17"/>
                <w:color w:val="auto"/>
              </w:rPr>
            </w:pPr>
          </w:p>
        </w:tc>
        <w:tc>
          <w:tcPr>
            <w:tcW w:w="1440" w:type="dxa"/>
            <w:vAlign w:val="bottom"/>
            <w:shd w:val="clear" w:color="auto" w:fill="2D53A6"/>
          </w:tcPr>
          <w:p>
            <w:pPr>
              <w:ind w:left="100"/>
              <w:spacing w:after="0" w:line="202" w:lineRule="exact"/>
              <w:rPr>
                <w:sz w:val="20"/>
                <w:szCs w:val="20"/>
                <w:color w:val="auto"/>
              </w:rPr>
            </w:pPr>
            <w:r>
              <w:rPr>
                <w:rFonts w:ascii="Arial" w:cs="Arial" w:eastAsia="Arial" w:hAnsi="Arial"/>
                <w:sz w:val="18"/>
                <w:szCs w:val="18"/>
                <w:b w:val="1"/>
                <w:bCs w:val="1"/>
                <w:color w:val="FFFFFF"/>
              </w:rPr>
              <w:t>Total RSUs</w:t>
            </w:r>
          </w:p>
        </w:tc>
        <w:tc>
          <w:tcPr>
            <w:tcW w:w="1440" w:type="dxa"/>
            <w:vAlign w:val="bottom"/>
            <w:shd w:val="clear" w:color="auto" w:fill="2D53A6"/>
          </w:tcPr>
          <w:p>
            <w:pPr>
              <w:ind w:left="120"/>
              <w:spacing w:after="0" w:line="202" w:lineRule="exact"/>
              <w:rPr>
                <w:sz w:val="20"/>
                <w:szCs w:val="20"/>
                <w:color w:val="auto"/>
              </w:rPr>
            </w:pPr>
            <w:r>
              <w:rPr>
                <w:rFonts w:ascii="Arial" w:cs="Arial" w:eastAsia="Arial" w:hAnsi="Arial"/>
                <w:sz w:val="18"/>
                <w:szCs w:val="18"/>
                <w:b w:val="1"/>
                <w:bCs w:val="1"/>
                <w:color w:val="FFFFFF"/>
              </w:rPr>
              <w:t>Common</w:t>
            </w:r>
          </w:p>
        </w:tc>
        <w:tc>
          <w:tcPr>
            <w:tcW w:w="1520" w:type="dxa"/>
            <w:vAlign w:val="bottom"/>
            <w:tcBorders>
              <w:right w:val="single" w:sz="8" w:color="2D53A6"/>
            </w:tcBorders>
            <w:shd w:val="clear" w:color="auto" w:fill="2D53A6"/>
          </w:tcPr>
          <w:p>
            <w:pPr>
              <w:spacing w:after="0"/>
              <w:rPr>
                <w:sz w:val="17"/>
                <w:szCs w:val="17"/>
                <w:color w:val="auto"/>
              </w:rPr>
            </w:pPr>
          </w:p>
        </w:tc>
      </w:tr>
      <w:tr>
        <w:trPr>
          <w:trHeight w:val="203"/>
        </w:trPr>
        <w:tc>
          <w:tcPr>
            <w:tcW w:w="2500" w:type="dxa"/>
            <w:vAlign w:val="bottom"/>
            <w:tcBorders>
              <w:left w:val="single" w:sz="8" w:color="2D53A6"/>
            </w:tcBorders>
            <w:shd w:val="clear" w:color="auto" w:fill="2D53A6"/>
          </w:tcPr>
          <w:p>
            <w:pPr>
              <w:spacing w:after="0"/>
              <w:rPr>
                <w:sz w:val="17"/>
                <w:szCs w:val="17"/>
                <w:color w:val="auto"/>
              </w:rPr>
            </w:pPr>
          </w:p>
        </w:tc>
        <w:tc>
          <w:tcPr>
            <w:tcW w:w="1040" w:type="dxa"/>
            <w:vAlign w:val="bottom"/>
            <w:shd w:val="clear" w:color="auto" w:fill="2D53A6"/>
          </w:tcPr>
          <w:p>
            <w:pPr>
              <w:ind w:left="120"/>
              <w:spacing w:after="0" w:line="202" w:lineRule="exact"/>
              <w:rPr>
                <w:sz w:val="20"/>
                <w:szCs w:val="20"/>
                <w:color w:val="auto"/>
              </w:rPr>
            </w:pPr>
            <w:r>
              <w:rPr>
                <w:rFonts w:ascii="Arial" w:cs="Arial" w:eastAsia="Arial" w:hAnsi="Arial"/>
                <w:sz w:val="18"/>
                <w:szCs w:val="18"/>
                <w:b w:val="1"/>
                <w:bCs w:val="1"/>
                <w:color w:val="FFFFFF"/>
              </w:rPr>
              <w:t>Options</w:t>
            </w:r>
          </w:p>
        </w:tc>
        <w:tc>
          <w:tcPr>
            <w:tcW w:w="420" w:type="dxa"/>
            <w:vAlign w:val="bottom"/>
            <w:shd w:val="clear" w:color="auto" w:fill="2D53A6"/>
          </w:tcPr>
          <w:p>
            <w:pPr>
              <w:spacing w:after="0"/>
              <w:rPr>
                <w:sz w:val="17"/>
                <w:szCs w:val="17"/>
                <w:color w:val="auto"/>
              </w:rPr>
            </w:pPr>
          </w:p>
        </w:tc>
        <w:tc>
          <w:tcPr>
            <w:tcW w:w="1440" w:type="dxa"/>
            <w:vAlign w:val="bottom"/>
            <w:shd w:val="clear" w:color="auto" w:fill="2D53A6"/>
          </w:tcPr>
          <w:p>
            <w:pPr>
              <w:ind w:left="100"/>
              <w:spacing w:after="0" w:line="202" w:lineRule="exact"/>
              <w:rPr>
                <w:sz w:val="20"/>
                <w:szCs w:val="20"/>
                <w:color w:val="auto"/>
              </w:rPr>
            </w:pPr>
            <w:r>
              <w:rPr>
                <w:rFonts w:ascii="Arial" w:cs="Arial" w:eastAsia="Arial" w:hAnsi="Arial"/>
                <w:sz w:val="18"/>
                <w:szCs w:val="18"/>
                <w:b w:val="1"/>
                <w:bCs w:val="1"/>
                <w:color w:val="FFFFFF"/>
              </w:rPr>
              <w:t>RSUs</w:t>
            </w:r>
          </w:p>
        </w:tc>
        <w:tc>
          <w:tcPr>
            <w:tcW w:w="1440" w:type="dxa"/>
            <w:vAlign w:val="bottom"/>
            <w:shd w:val="clear" w:color="auto" w:fill="2D53A6"/>
          </w:tcPr>
          <w:p>
            <w:pPr>
              <w:ind w:left="100"/>
              <w:spacing w:after="0" w:line="202" w:lineRule="exact"/>
              <w:rPr>
                <w:sz w:val="20"/>
                <w:szCs w:val="20"/>
                <w:color w:val="auto"/>
              </w:rPr>
            </w:pPr>
            <w:r>
              <w:rPr>
                <w:rFonts w:ascii="Arial" w:cs="Arial" w:eastAsia="Arial" w:hAnsi="Arial"/>
                <w:sz w:val="18"/>
                <w:szCs w:val="18"/>
                <w:b w:val="1"/>
                <w:bCs w:val="1"/>
                <w:color w:val="FFFFFF"/>
              </w:rPr>
              <w:t>PSUs</w:t>
            </w:r>
          </w:p>
        </w:tc>
        <w:tc>
          <w:tcPr>
            <w:tcW w:w="1440" w:type="dxa"/>
            <w:vAlign w:val="bottom"/>
            <w:shd w:val="clear" w:color="auto" w:fill="2D53A6"/>
          </w:tcPr>
          <w:p>
            <w:pPr>
              <w:ind w:left="100"/>
              <w:spacing w:after="0" w:line="202" w:lineRule="exact"/>
              <w:rPr>
                <w:sz w:val="20"/>
                <w:szCs w:val="20"/>
                <w:color w:val="auto"/>
              </w:rPr>
            </w:pPr>
            <w:r>
              <w:rPr>
                <w:rFonts w:ascii="Arial" w:cs="Arial" w:eastAsia="Arial" w:hAnsi="Arial"/>
                <w:sz w:val="18"/>
                <w:szCs w:val="18"/>
                <w:b w:val="1"/>
                <w:bCs w:val="1"/>
                <w:color w:val="FFFFFF"/>
              </w:rPr>
              <w:t>Granted and</w:t>
            </w:r>
          </w:p>
        </w:tc>
        <w:tc>
          <w:tcPr>
            <w:tcW w:w="1440" w:type="dxa"/>
            <w:vAlign w:val="bottom"/>
            <w:shd w:val="clear" w:color="auto" w:fill="2D53A6"/>
          </w:tcPr>
          <w:p>
            <w:pPr>
              <w:ind w:left="120"/>
              <w:spacing w:after="0" w:line="202" w:lineRule="exact"/>
              <w:rPr>
                <w:sz w:val="20"/>
                <w:szCs w:val="20"/>
                <w:color w:val="auto"/>
              </w:rPr>
            </w:pPr>
            <w:r>
              <w:rPr>
                <w:rFonts w:ascii="Arial" w:cs="Arial" w:eastAsia="Arial" w:hAnsi="Arial"/>
                <w:sz w:val="18"/>
                <w:szCs w:val="18"/>
                <w:b w:val="1"/>
                <w:bCs w:val="1"/>
                <w:color w:val="FFFFFF"/>
              </w:rPr>
              <w:t>Share</w:t>
            </w:r>
          </w:p>
        </w:tc>
        <w:tc>
          <w:tcPr>
            <w:tcW w:w="1520" w:type="dxa"/>
            <w:vAlign w:val="bottom"/>
            <w:tcBorders>
              <w:right w:val="single" w:sz="8" w:color="2D53A6"/>
            </w:tcBorders>
            <w:shd w:val="clear" w:color="auto" w:fill="2D53A6"/>
          </w:tcPr>
          <w:p>
            <w:pPr>
              <w:spacing w:after="0"/>
              <w:rPr>
                <w:sz w:val="17"/>
                <w:szCs w:val="17"/>
                <w:color w:val="auto"/>
              </w:rPr>
            </w:pPr>
          </w:p>
        </w:tc>
      </w:tr>
      <w:tr>
        <w:trPr>
          <w:trHeight w:val="221"/>
        </w:trPr>
        <w:tc>
          <w:tcPr>
            <w:tcW w:w="2500" w:type="dxa"/>
            <w:vAlign w:val="bottom"/>
            <w:tcBorders>
              <w:left w:val="single" w:sz="8" w:color="2D53A6"/>
            </w:tcBorders>
            <w:shd w:val="clear" w:color="auto" w:fill="2D53A6"/>
          </w:tcPr>
          <w:p>
            <w:pPr>
              <w:ind w:left="80"/>
              <w:spacing w:after="0"/>
              <w:rPr>
                <w:sz w:val="20"/>
                <w:szCs w:val="20"/>
                <w:color w:val="auto"/>
              </w:rPr>
            </w:pPr>
            <w:r>
              <w:rPr>
                <w:rFonts w:ascii="Arial" w:cs="Arial" w:eastAsia="Arial" w:hAnsi="Arial"/>
                <w:sz w:val="18"/>
                <w:szCs w:val="18"/>
                <w:b w:val="1"/>
                <w:bCs w:val="1"/>
                <w:color w:val="FFFFFF"/>
              </w:rPr>
              <w:t>Fiscal Year</w:t>
            </w:r>
          </w:p>
        </w:tc>
        <w:tc>
          <w:tcPr>
            <w:tcW w:w="10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Granted</w:t>
            </w:r>
          </w:p>
        </w:tc>
        <w:tc>
          <w:tcPr>
            <w:tcW w:w="420" w:type="dxa"/>
            <w:vAlign w:val="bottom"/>
            <w:shd w:val="clear" w:color="auto" w:fill="2D53A6"/>
          </w:tcPr>
          <w:p>
            <w:pPr>
              <w:spacing w:after="0"/>
              <w:rPr>
                <w:sz w:val="19"/>
                <w:szCs w:val="19"/>
                <w:color w:val="auto"/>
              </w:rPr>
            </w:pPr>
          </w:p>
        </w:tc>
        <w:tc>
          <w:tcPr>
            <w:tcW w:w="1440" w:type="dxa"/>
            <w:vAlign w:val="bottom"/>
            <w:shd w:val="clear" w:color="auto" w:fill="2D53A6"/>
          </w:tcPr>
          <w:p>
            <w:pPr>
              <w:ind w:left="100"/>
              <w:spacing w:after="0"/>
              <w:rPr>
                <w:sz w:val="20"/>
                <w:szCs w:val="20"/>
                <w:color w:val="auto"/>
              </w:rPr>
            </w:pPr>
            <w:r>
              <w:rPr>
                <w:rFonts w:ascii="Arial" w:cs="Arial" w:eastAsia="Arial" w:hAnsi="Arial"/>
                <w:sz w:val="18"/>
                <w:szCs w:val="18"/>
                <w:b w:val="1"/>
                <w:bCs w:val="1"/>
                <w:color w:val="FFFFFF"/>
              </w:rPr>
              <w:t>Granted</w:t>
            </w:r>
          </w:p>
        </w:tc>
        <w:tc>
          <w:tcPr>
            <w:tcW w:w="1440" w:type="dxa"/>
            <w:vAlign w:val="bottom"/>
            <w:shd w:val="clear" w:color="auto" w:fill="2D53A6"/>
          </w:tcPr>
          <w:p>
            <w:pPr>
              <w:ind w:left="100"/>
              <w:spacing w:after="0"/>
              <w:rPr>
                <w:sz w:val="20"/>
                <w:szCs w:val="20"/>
                <w:color w:val="auto"/>
              </w:rPr>
            </w:pPr>
            <w:r>
              <w:rPr>
                <w:rFonts w:ascii="Arial" w:cs="Arial" w:eastAsia="Arial" w:hAnsi="Arial"/>
                <w:sz w:val="18"/>
                <w:szCs w:val="18"/>
                <w:b w:val="1"/>
                <w:bCs w:val="1"/>
                <w:color w:val="FFFFFF"/>
              </w:rPr>
              <w:t>Vested</w:t>
            </w:r>
            <w:r>
              <w:rPr>
                <w:rFonts w:ascii="Arial" w:cs="Arial" w:eastAsia="Arial" w:hAnsi="Arial"/>
                <w:sz w:val="14"/>
                <w:szCs w:val="14"/>
                <w:b w:val="1"/>
                <w:bCs w:val="1"/>
                <w:color w:val="FFFFFF"/>
              </w:rPr>
              <w:t>(1)</w:t>
            </w:r>
          </w:p>
        </w:tc>
        <w:tc>
          <w:tcPr>
            <w:tcW w:w="1440" w:type="dxa"/>
            <w:vAlign w:val="bottom"/>
            <w:shd w:val="clear" w:color="auto" w:fill="2D53A6"/>
          </w:tcPr>
          <w:p>
            <w:pPr>
              <w:ind w:left="100"/>
              <w:spacing w:after="0"/>
              <w:rPr>
                <w:sz w:val="20"/>
                <w:szCs w:val="20"/>
                <w:color w:val="auto"/>
              </w:rPr>
            </w:pPr>
            <w:r>
              <w:rPr>
                <w:rFonts w:ascii="Arial" w:cs="Arial" w:eastAsia="Arial" w:hAnsi="Arial"/>
                <w:sz w:val="18"/>
                <w:szCs w:val="18"/>
                <w:b w:val="1"/>
                <w:bCs w:val="1"/>
                <w:color w:val="FFFFFF"/>
              </w:rPr>
              <w:t>PSUs Vested</w:t>
            </w:r>
          </w:p>
        </w:tc>
        <w:tc>
          <w:tcPr>
            <w:tcW w:w="14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Outstanding</w:t>
            </w:r>
          </w:p>
        </w:tc>
        <w:tc>
          <w:tcPr>
            <w:tcW w:w="1520" w:type="dxa"/>
            <w:vAlign w:val="bottom"/>
            <w:tcBorders>
              <w:right w:val="single" w:sz="8" w:color="2D53A6"/>
            </w:tcBorders>
            <w:shd w:val="clear" w:color="auto" w:fill="2D53A6"/>
          </w:tcPr>
          <w:p>
            <w:pPr>
              <w:jc w:val="right"/>
              <w:ind w:right="450"/>
              <w:spacing w:after="0"/>
              <w:rPr>
                <w:sz w:val="20"/>
                <w:szCs w:val="20"/>
                <w:color w:val="auto"/>
              </w:rPr>
            </w:pPr>
            <w:r>
              <w:rPr>
                <w:rFonts w:ascii="Arial" w:cs="Arial" w:eastAsia="Arial" w:hAnsi="Arial"/>
                <w:sz w:val="18"/>
                <w:szCs w:val="18"/>
                <w:b w:val="1"/>
                <w:bCs w:val="1"/>
                <w:color w:val="FFFFFF"/>
              </w:rPr>
              <w:t>Burn Rate</w:t>
            </w:r>
          </w:p>
        </w:tc>
      </w:tr>
      <w:tr>
        <w:trPr>
          <w:trHeight w:val="203"/>
        </w:trPr>
        <w:tc>
          <w:tcPr>
            <w:tcW w:w="2500" w:type="dxa"/>
            <w:vAlign w:val="bottom"/>
            <w:tcBorders>
              <w:left w:val="single" w:sz="8" w:color="2D53A6"/>
            </w:tcBorders>
          </w:tcPr>
          <w:p>
            <w:pPr>
              <w:ind w:left="80"/>
              <w:spacing w:after="0" w:line="202" w:lineRule="exact"/>
              <w:rPr>
                <w:sz w:val="20"/>
                <w:szCs w:val="20"/>
                <w:color w:val="auto"/>
              </w:rPr>
            </w:pPr>
            <w:r>
              <w:rPr>
                <w:rFonts w:ascii="Arial" w:cs="Arial" w:eastAsia="Arial" w:hAnsi="Arial"/>
                <w:sz w:val="18"/>
                <w:szCs w:val="18"/>
                <w:color w:val="auto"/>
              </w:rPr>
              <w:t>2025</w:t>
            </w:r>
          </w:p>
        </w:tc>
        <w:tc>
          <w:tcPr>
            <w:tcW w:w="104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902,256</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70,004</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972,260</w:t>
            </w:r>
          </w:p>
        </w:tc>
        <w:tc>
          <w:tcPr>
            <w:tcW w:w="1440" w:type="dxa"/>
            <w:vAlign w:val="bottom"/>
          </w:tcPr>
          <w:p>
            <w:pPr>
              <w:ind w:left="440"/>
              <w:spacing w:after="0" w:line="202" w:lineRule="exact"/>
              <w:rPr>
                <w:sz w:val="20"/>
                <w:szCs w:val="20"/>
                <w:color w:val="auto"/>
              </w:rPr>
            </w:pPr>
            <w:r>
              <w:rPr>
                <w:rFonts w:ascii="Arial" w:cs="Arial" w:eastAsia="Arial" w:hAnsi="Arial"/>
                <w:sz w:val="18"/>
                <w:szCs w:val="18"/>
                <w:color w:val="auto"/>
              </w:rPr>
              <w:t>46,723,047</w:t>
            </w:r>
          </w:p>
        </w:tc>
        <w:tc>
          <w:tcPr>
            <w:tcW w:w="1520" w:type="dxa"/>
            <w:vAlign w:val="bottom"/>
            <w:tcBorders>
              <w:right w:val="single" w:sz="8" w:color="2D53A6"/>
            </w:tcBorders>
          </w:tcPr>
          <w:p>
            <w:pPr>
              <w:jc w:val="right"/>
              <w:spacing w:after="0" w:line="202" w:lineRule="exact"/>
              <w:rPr>
                <w:sz w:val="20"/>
                <w:szCs w:val="20"/>
                <w:color w:val="auto"/>
              </w:rPr>
            </w:pPr>
            <w:r>
              <w:rPr>
                <w:rFonts w:ascii="Arial" w:cs="Arial" w:eastAsia="Arial" w:hAnsi="Arial"/>
                <w:sz w:val="18"/>
                <w:szCs w:val="18"/>
                <w:color w:val="auto"/>
              </w:rPr>
              <w:t>4.16%</w:t>
            </w:r>
          </w:p>
        </w:tc>
      </w:tr>
      <w:tr>
        <w:trPr>
          <w:trHeight w:val="203"/>
        </w:trPr>
        <w:tc>
          <w:tcPr>
            <w:tcW w:w="2500" w:type="dxa"/>
            <w:vAlign w:val="bottom"/>
            <w:tcBorders>
              <w:left w:val="single" w:sz="8" w:color="2D53A6"/>
            </w:tcBorders>
            <w:shd w:val="clear" w:color="auto" w:fill="E6E6E6"/>
          </w:tcPr>
          <w:p>
            <w:pPr>
              <w:ind w:left="80"/>
              <w:spacing w:after="0" w:line="202" w:lineRule="exact"/>
              <w:rPr>
                <w:sz w:val="20"/>
                <w:szCs w:val="20"/>
                <w:color w:val="auto"/>
              </w:rPr>
            </w:pPr>
            <w:r>
              <w:rPr>
                <w:rFonts w:ascii="Arial" w:cs="Arial" w:eastAsia="Arial" w:hAnsi="Arial"/>
                <w:sz w:val="18"/>
                <w:szCs w:val="18"/>
                <w:color w:val="auto"/>
              </w:rPr>
              <w:t>2024</w:t>
            </w:r>
          </w:p>
        </w:tc>
        <w:tc>
          <w:tcPr>
            <w:tcW w:w="1040" w:type="dxa"/>
            <w:vAlign w:val="bottom"/>
            <w:shd w:val="clear" w:color="auto" w:fill="E6E6E6"/>
          </w:tcPr>
          <w:p>
            <w:pPr>
              <w:spacing w:after="0"/>
              <w:rPr>
                <w:sz w:val="17"/>
                <w:szCs w:val="17"/>
                <w:color w:val="auto"/>
              </w:rPr>
            </w:pPr>
          </w:p>
        </w:tc>
        <w:tc>
          <w:tcPr>
            <w:tcW w:w="420" w:type="dxa"/>
            <w:vAlign w:val="bottom"/>
            <w:shd w:val="clear" w:color="auto" w:fill="E6E6E6"/>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E6E6E6"/>
          </w:tcPr>
          <w:p>
            <w:pPr>
              <w:jc w:val="right"/>
              <w:ind w:right="30"/>
              <w:spacing w:after="0" w:line="202" w:lineRule="exact"/>
              <w:rPr>
                <w:sz w:val="20"/>
                <w:szCs w:val="20"/>
                <w:color w:val="auto"/>
              </w:rPr>
            </w:pPr>
            <w:r>
              <w:rPr>
                <w:rFonts w:ascii="Arial" w:cs="Arial" w:eastAsia="Arial" w:hAnsi="Arial"/>
                <w:sz w:val="18"/>
                <w:szCs w:val="18"/>
                <w:color w:val="auto"/>
              </w:rPr>
              <w:t>407,217</w:t>
            </w:r>
          </w:p>
        </w:tc>
        <w:tc>
          <w:tcPr>
            <w:tcW w:w="1440" w:type="dxa"/>
            <w:vAlign w:val="bottom"/>
            <w:shd w:val="clear" w:color="auto" w:fill="E6E6E6"/>
          </w:tcPr>
          <w:p>
            <w:pPr>
              <w:jc w:val="right"/>
              <w:ind w:right="10"/>
              <w:spacing w:after="0" w:line="202" w:lineRule="exact"/>
              <w:rPr>
                <w:sz w:val="20"/>
                <w:szCs w:val="20"/>
                <w:color w:val="auto"/>
              </w:rPr>
            </w:pPr>
            <w:r>
              <w:rPr>
                <w:rFonts w:ascii="Arial" w:cs="Arial" w:eastAsia="Arial" w:hAnsi="Arial"/>
                <w:sz w:val="18"/>
                <w:szCs w:val="18"/>
                <w:color w:val="auto"/>
              </w:rPr>
              <w:t>62,680</w:t>
            </w:r>
          </w:p>
        </w:tc>
        <w:tc>
          <w:tcPr>
            <w:tcW w:w="1440" w:type="dxa"/>
            <w:vAlign w:val="bottom"/>
            <w:shd w:val="clear" w:color="auto" w:fill="E6E6E6"/>
          </w:tcPr>
          <w:p>
            <w:pPr>
              <w:jc w:val="right"/>
              <w:ind w:right="10"/>
              <w:spacing w:after="0" w:line="202" w:lineRule="exact"/>
              <w:rPr>
                <w:sz w:val="20"/>
                <w:szCs w:val="20"/>
                <w:color w:val="auto"/>
              </w:rPr>
            </w:pPr>
            <w:r>
              <w:rPr>
                <w:rFonts w:ascii="Arial" w:cs="Arial" w:eastAsia="Arial" w:hAnsi="Arial"/>
                <w:sz w:val="18"/>
                <w:szCs w:val="18"/>
                <w:color w:val="auto"/>
              </w:rPr>
              <w:t>469,897</w:t>
            </w:r>
          </w:p>
        </w:tc>
        <w:tc>
          <w:tcPr>
            <w:tcW w:w="1440" w:type="dxa"/>
            <w:vAlign w:val="bottom"/>
            <w:shd w:val="clear" w:color="auto" w:fill="E6E6E6"/>
          </w:tcPr>
          <w:p>
            <w:pPr>
              <w:ind w:left="440"/>
              <w:spacing w:after="0" w:line="202" w:lineRule="exact"/>
              <w:rPr>
                <w:sz w:val="20"/>
                <w:szCs w:val="20"/>
                <w:color w:val="auto"/>
              </w:rPr>
            </w:pPr>
            <w:r>
              <w:rPr>
                <w:rFonts w:ascii="Arial" w:cs="Arial" w:eastAsia="Arial" w:hAnsi="Arial"/>
                <w:sz w:val="18"/>
                <w:szCs w:val="18"/>
                <w:color w:val="auto"/>
              </w:rPr>
              <w:t>46,908,260</w:t>
            </w:r>
          </w:p>
        </w:tc>
        <w:tc>
          <w:tcPr>
            <w:tcW w:w="1520" w:type="dxa"/>
            <w:vAlign w:val="bottom"/>
            <w:tcBorders>
              <w:right w:val="single" w:sz="8" w:color="2D53A6"/>
            </w:tcBorders>
            <w:shd w:val="clear" w:color="auto" w:fill="E6E6E6"/>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03"/>
        </w:trPr>
        <w:tc>
          <w:tcPr>
            <w:tcW w:w="2500" w:type="dxa"/>
            <w:vAlign w:val="bottom"/>
            <w:tcBorders>
              <w:left w:val="single" w:sz="8" w:color="2D53A6"/>
            </w:tcBorders>
          </w:tcPr>
          <w:p>
            <w:pPr>
              <w:ind w:left="80"/>
              <w:spacing w:after="0" w:line="202" w:lineRule="exact"/>
              <w:rPr>
                <w:sz w:val="20"/>
                <w:szCs w:val="20"/>
                <w:color w:val="auto"/>
              </w:rPr>
            </w:pPr>
            <w:r>
              <w:rPr>
                <w:rFonts w:ascii="Arial" w:cs="Arial" w:eastAsia="Arial" w:hAnsi="Arial"/>
                <w:sz w:val="18"/>
                <w:szCs w:val="18"/>
                <w:color w:val="auto"/>
              </w:rPr>
              <w:t>2023</w:t>
            </w:r>
          </w:p>
        </w:tc>
        <w:tc>
          <w:tcPr>
            <w:tcW w:w="104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357,504</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257,845</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615,349</w:t>
            </w:r>
          </w:p>
        </w:tc>
        <w:tc>
          <w:tcPr>
            <w:tcW w:w="1440" w:type="dxa"/>
            <w:vAlign w:val="bottom"/>
          </w:tcPr>
          <w:p>
            <w:pPr>
              <w:ind w:left="440"/>
              <w:spacing w:after="0" w:line="202" w:lineRule="exact"/>
              <w:rPr>
                <w:sz w:val="20"/>
                <w:szCs w:val="20"/>
                <w:color w:val="auto"/>
              </w:rPr>
            </w:pPr>
            <w:r>
              <w:rPr>
                <w:rFonts w:ascii="Arial" w:cs="Arial" w:eastAsia="Arial" w:hAnsi="Arial"/>
                <w:sz w:val="18"/>
                <w:szCs w:val="18"/>
                <w:color w:val="auto"/>
              </w:rPr>
              <w:t>47,486,284</w:t>
            </w:r>
          </w:p>
        </w:tc>
        <w:tc>
          <w:tcPr>
            <w:tcW w:w="1520" w:type="dxa"/>
            <w:vAlign w:val="bottom"/>
            <w:tcBorders>
              <w:right w:val="single" w:sz="8" w:color="2D53A6"/>
            </w:tcBorders>
          </w:tcPr>
          <w:p>
            <w:pPr>
              <w:jc w:val="right"/>
              <w:spacing w:after="0" w:line="202" w:lineRule="exact"/>
              <w:rPr>
                <w:sz w:val="20"/>
                <w:szCs w:val="20"/>
                <w:color w:val="auto"/>
              </w:rPr>
            </w:pPr>
            <w:r>
              <w:rPr>
                <w:rFonts w:ascii="Arial" w:cs="Arial" w:eastAsia="Arial" w:hAnsi="Arial"/>
                <w:sz w:val="18"/>
                <w:szCs w:val="18"/>
                <w:color w:val="auto"/>
              </w:rPr>
              <w:t>2.59%</w:t>
            </w:r>
          </w:p>
        </w:tc>
      </w:tr>
      <w:tr>
        <w:trPr>
          <w:trHeight w:val="216"/>
        </w:trPr>
        <w:tc>
          <w:tcPr>
            <w:tcW w:w="2500" w:type="dxa"/>
            <w:vAlign w:val="bottom"/>
            <w:tcBorders>
              <w:left w:val="single" w:sz="8" w:color="2D53A6"/>
              <w:bottom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3-Year Average</w:t>
            </w:r>
          </w:p>
        </w:tc>
        <w:tc>
          <w:tcPr>
            <w:tcW w:w="1040" w:type="dxa"/>
            <w:vAlign w:val="bottom"/>
            <w:tcBorders>
              <w:bottom w:val="single" w:sz="8" w:color="2D53A6"/>
            </w:tcBorders>
            <w:shd w:val="clear" w:color="auto" w:fill="E6E6E6"/>
          </w:tcPr>
          <w:p>
            <w:pPr>
              <w:spacing w:after="0"/>
              <w:rPr>
                <w:sz w:val="18"/>
                <w:szCs w:val="18"/>
                <w:color w:val="auto"/>
              </w:rPr>
            </w:pPr>
          </w:p>
        </w:tc>
        <w:tc>
          <w:tcPr>
            <w:tcW w:w="420" w:type="dxa"/>
            <w:vAlign w:val="bottom"/>
            <w:tcBorders>
              <w:bottom w:val="single" w:sz="8" w:color="2D53A6"/>
            </w:tcBorders>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2D53A6"/>
            </w:tcBorders>
            <w:shd w:val="clear" w:color="auto" w:fill="E6E6E6"/>
          </w:tcPr>
          <w:p>
            <w:pPr>
              <w:jc w:val="right"/>
              <w:ind w:right="30"/>
              <w:spacing w:after="0"/>
              <w:rPr>
                <w:sz w:val="20"/>
                <w:szCs w:val="20"/>
                <w:color w:val="auto"/>
              </w:rPr>
            </w:pPr>
            <w:r>
              <w:rPr>
                <w:rFonts w:ascii="Arial" w:cs="Arial" w:eastAsia="Arial" w:hAnsi="Arial"/>
                <w:sz w:val="18"/>
                <w:szCs w:val="18"/>
                <w:color w:val="auto"/>
              </w:rPr>
              <w:t>555,659</w:t>
            </w:r>
          </w:p>
        </w:tc>
        <w:tc>
          <w:tcPr>
            <w:tcW w:w="1440" w:type="dxa"/>
            <w:vAlign w:val="bottom"/>
            <w:tcBorders>
              <w:bottom w:val="single" w:sz="8" w:color="2D53A6"/>
            </w:tcBorders>
            <w:shd w:val="clear" w:color="auto" w:fill="E6E6E6"/>
          </w:tcPr>
          <w:p>
            <w:pPr>
              <w:jc w:val="right"/>
              <w:ind w:right="10"/>
              <w:spacing w:after="0"/>
              <w:rPr>
                <w:sz w:val="20"/>
                <w:szCs w:val="20"/>
                <w:color w:val="auto"/>
              </w:rPr>
            </w:pPr>
            <w:r>
              <w:rPr>
                <w:rFonts w:ascii="Arial" w:cs="Arial" w:eastAsia="Arial" w:hAnsi="Arial"/>
                <w:sz w:val="18"/>
                <w:szCs w:val="18"/>
                <w:color w:val="auto"/>
              </w:rPr>
              <w:t>130,176</w:t>
            </w:r>
          </w:p>
        </w:tc>
        <w:tc>
          <w:tcPr>
            <w:tcW w:w="1440" w:type="dxa"/>
            <w:vAlign w:val="bottom"/>
            <w:tcBorders>
              <w:bottom w:val="single" w:sz="8" w:color="2D53A6"/>
            </w:tcBorders>
            <w:shd w:val="clear" w:color="auto" w:fill="E6E6E6"/>
          </w:tcPr>
          <w:p>
            <w:pPr>
              <w:jc w:val="right"/>
              <w:ind w:right="10"/>
              <w:spacing w:after="0"/>
              <w:rPr>
                <w:sz w:val="20"/>
                <w:szCs w:val="20"/>
                <w:color w:val="auto"/>
              </w:rPr>
            </w:pPr>
            <w:r>
              <w:rPr>
                <w:rFonts w:ascii="Arial" w:cs="Arial" w:eastAsia="Arial" w:hAnsi="Arial"/>
                <w:sz w:val="18"/>
                <w:szCs w:val="18"/>
                <w:color w:val="auto"/>
              </w:rPr>
              <w:t>685,835</w:t>
            </w:r>
          </w:p>
        </w:tc>
        <w:tc>
          <w:tcPr>
            <w:tcW w:w="1440" w:type="dxa"/>
            <w:vAlign w:val="bottom"/>
            <w:tcBorders>
              <w:bottom w:val="single" w:sz="8" w:color="2D53A6"/>
            </w:tcBorders>
            <w:shd w:val="clear" w:color="auto" w:fill="E6E6E6"/>
          </w:tcPr>
          <w:p>
            <w:pPr>
              <w:ind w:left="440"/>
              <w:spacing w:after="0"/>
              <w:rPr>
                <w:sz w:val="20"/>
                <w:szCs w:val="20"/>
                <w:color w:val="auto"/>
              </w:rPr>
            </w:pPr>
            <w:r>
              <w:rPr>
                <w:rFonts w:ascii="Arial" w:cs="Arial" w:eastAsia="Arial" w:hAnsi="Arial"/>
                <w:sz w:val="18"/>
                <w:szCs w:val="18"/>
                <w:color w:val="auto"/>
              </w:rPr>
              <w:t>47,039,197</w:t>
            </w:r>
          </w:p>
        </w:tc>
        <w:tc>
          <w:tcPr>
            <w:tcW w:w="15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2.92%</w:t>
            </w:r>
          </w:p>
        </w:tc>
      </w:tr>
    </w:tbl>
    <w:p>
      <w:pPr>
        <w:spacing w:after="0" w:line="193" w:lineRule="exact"/>
        <w:rPr>
          <w:sz w:val="20"/>
          <w:szCs w:val="20"/>
          <w:color w:val="auto"/>
        </w:rPr>
      </w:pPr>
    </w:p>
    <w:p>
      <w:pPr>
        <w:jc w:val="both"/>
        <w:ind w:left="340" w:right="120" w:hanging="332"/>
        <w:spacing w:after="0" w:line="263"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number of PSUs which were earned and became vested in the fiscal year and which are reported as “Released” in our annual report on Form 10-K for the applicable fiscal year. For additional information on the number of our PSUs outstanding, granted, vested and cancelled for each fiscal year, please see our annual report on Form 10-K for such fiscal year.</w:t>
      </w:r>
    </w:p>
    <w:p>
      <w:pPr>
        <w:spacing w:after="0" w:line="150"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On March 16, 2026, the closing price of our common stock on the Nasdaq Global Select Market was $28.58 per share. As of March 16, 2026, 46,903,489 shares of our common stock were outstanding. The table below presents the number of shares that were subject to outstanding equity awards under the 2005 Plan as of March 16, 2026.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Outstanding Award Type</w:t>
            </w:r>
          </w:p>
        </w:tc>
        <w:tc>
          <w:tcPr>
            <w:tcW w:w="478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Number of Shares</w:t>
            </w:r>
          </w:p>
        </w:tc>
      </w:tr>
      <w:tr>
        <w:trPr>
          <w:trHeight w:val="261"/>
        </w:trPr>
        <w:tc>
          <w:tcPr>
            <w:tcW w:w="64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4780" w:type="dxa"/>
            <w:vAlign w:val="bottom"/>
          </w:tcPr>
          <w:p>
            <w:pPr>
              <w:jc w:val="center"/>
              <w:ind w:left="2010"/>
              <w:spacing w:after="0"/>
              <w:rPr>
                <w:sz w:val="20"/>
                <w:szCs w:val="20"/>
                <w:color w:val="auto"/>
              </w:rPr>
            </w:pPr>
            <w:r>
              <w:rPr>
                <w:rFonts w:ascii="Arial" w:cs="Arial" w:eastAsia="Arial" w:hAnsi="Arial"/>
                <w:sz w:val="18"/>
                <w:szCs w:val="18"/>
                <w:color w:val="auto"/>
                <w:w w:val="99"/>
              </w:rPr>
              <w:t>1,269,479</w:t>
            </w:r>
          </w:p>
        </w:tc>
      </w:tr>
      <w:tr>
        <w:trPr>
          <w:trHeight w:val="23"/>
        </w:trPr>
        <w:tc>
          <w:tcPr>
            <w:tcW w:w="6460" w:type="dxa"/>
            <w:vAlign w:val="bottom"/>
            <w:tcBorders>
              <w:bottom w:val="single" w:sz="8" w:color="CCCCCC"/>
            </w:tcBorders>
          </w:tcPr>
          <w:p>
            <w:pPr>
              <w:spacing w:after="0"/>
              <w:rPr>
                <w:sz w:val="2"/>
                <w:szCs w:val="2"/>
                <w:color w:val="auto"/>
              </w:rPr>
            </w:pPr>
          </w:p>
        </w:tc>
        <w:tc>
          <w:tcPr>
            <w:tcW w:w="4780" w:type="dxa"/>
            <w:vAlign w:val="bottom"/>
            <w:tcBorders>
              <w:bottom w:val="single" w:sz="8" w:color="CCCCCC"/>
            </w:tcBorders>
          </w:tcPr>
          <w:p>
            <w:pPr>
              <w:spacing w:after="0"/>
              <w:rPr>
                <w:sz w:val="2"/>
                <w:szCs w:val="2"/>
                <w:color w:val="auto"/>
              </w:rPr>
            </w:pPr>
          </w:p>
        </w:tc>
      </w:tr>
      <w:tr>
        <w:trPr>
          <w:trHeight w:val="254"/>
        </w:trPr>
        <w:tc>
          <w:tcPr>
            <w:tcW w:w="6460" w:type="dxa"/>
            <w:vAlign w:val="bottom"/>
          </w:tcPr>
          <w:p>
            <w:pPr>
              <w:ind w:left="40"/>
              <w:spacing w:after="0"/>
              <w:rPr>
                <w:sz w:val="20"/>
                <w:szCs w:val="20"/>
                <w:color w:val="auto"/>
              </w:rPr>
            </w:pPr>
            <w:r>
              <w:rPr>
                <w:rFonts w:ascii="Arial" w:cs="Arial" w:eastAsia="Arial" w:hAnsi="Arial"/>
                <w:sz w:val="18"/>
                <w:szCs w:val="18"/>
                <w:color w:val="auto"/>
              </w:rPr>
              <w:t>Performance stock units</w:t>
            </w:r>
            <w:r>
              <w:rPr>
                <w:rFonts w:ascii="Arial" w:cs="Arial" w:eastAsia="Arial" w:hAnsi="Arial"/>
                <w:sz w:val="14"/>
                <w:szCs w:val="14"/>
                <w:color w:val="auto"/>
              </w:rPr>
              <w:t>(1)</w:t>
            </w:r>
          </w:p>
        </w:tc>
        <w:tc>
          <w:tcPr>
            <w:tcW w:w="4780" w:type="dxa"/>
            <w:vAlign w:val="bottom"/>
          </w:tcPr>
          <w:p>
            <w:pPr>
              <w:jc w:val="center"/>
              <w:ind w:left="2010"/>
              <w:spacing w:after="0"/>
              <w:rPr>
                <w:sz w:val="20"/>
                <w:szCs w:val="20"/>
                <w:color w:val="auto"/>
              </w:rPr>
            </w:pPr>
            <w:r>
              <w:rPr>
                <w:rFonts w:ascii="Arial" w:cs="Arial" w:eastAsia="Arial" w:hAnsi="Arial"/>
                <w:sz w:val="18"/>
                <w:szCs w:val="18"/>
                <w:color w:val="auto"/>
                <w:w w:val="98"/>
              </w:rPr>
              <w:t>835,532</w:t>
            </w:r>
          </w:p>
        </w:tc>
      </w:tr>
      <w:tr>
        <w:trPr>
          <w:trHeight w:val="23"/>
        </w:trPr>
        <w:tc>
          <w:tcPr>
            <w:tcW w:w="6460" w:type="dxa"/>
            <w:vAlign w:val="bottom"/>
            <w:tcBorders>
              <w:bottom w:val="single" w:sz="8" w:color="CCCCCC"/>
            </w:tcBorders>
          </w:tcPr>
          <w:p>
            <w:pPr>
              <w:spacing w:after="0"/>
              <w:rPr>
                <w:sz w:val="2"/>
                <w:szCs w:val="2"/>
                <w:color w:val="auto"/>
              </w:rPr>
            </w:pPr>
          </w:p>
        </w:tc>
        <w:tc>
          <w:tcPr>
            <w:tcW w:w="4780" w:type="dxa"/>
            <w:vAlign w:val="bottom"/>
            <w:tcBorders>
              <w:bottom w:val="single" w:sz="8" w:color="CCCCCC"/>
            </w:tcBorders>
          </w:tcPr>
          <w:p>
            <w:pPr>
              <w:spacing w:after="0"/>
              <w:rPr>
                <w:sz w:val="2"/>
                <w:szCs w:val="2"/>
                <w:color w:val="auto"/>
              </w:rPr>
            </w:pPr>
          </w:p>
        </w:tc>
      </w:tr>
      <w:tr>
        <w:trPr>
          <w:trHeight w:val="254"/>
        </w:trPr>
        <w:tc>
          <w:tcPr>
            <w:tcW w:w="6460" w:type="dxa"/>
            <w:vAlign w:val="bottom"/>
          </w:tcPr>
          <w:p>
            <w:pPr>
              <w:ind w:left="40"/>
              <w:spacing w:after="0"/>
              <w:rPr>
                <w:sz w:val="20"/>
                <w:szCs w:val="20"/>
                <w:color w:val="auto"/>
              </w:rPr>
            </w:pPr>
            <w:r>
              <w:rPr>
                <w:rFonts w:ascii="Arial" w:cs="Arial" w:eastAsia="Arial" w:hAnsi="Arial"/>
                <w:sz w:val="18"/>
                <w:szCs w:val="18"/>
                <w:color w:val="auto"/>
              </w:rPr>
              <w:t>Total shares subject to outstanding awards</w:t>
            </w:r>
          </w:p>
        </w:tc>
        <w:tc>
          <w:tcPr>
            <w:tcW w:w="4780" w:type="dxa"/>
            <w:vAlign w:val="bottom"/>
          </w:tcPr>
          <w:p>
            <w:pPr>
              <w:jc w:val="center"/>
              <w:ind w:left="2010"/>
              <w:spacing w:after="0"/>
              <w:rPr>
                <w:sz w:val="20"/>
                <w:szCs w:val="20"/>
                <w:color w:val="auto"/>
              </w:rPr>
            </w:pPr>
            <w:r>
              <w:rPr>
                <w:rFonts w:ascii="Arial" w:cs="Arial" w:eastAsia="Arial" w:hAnsi="Arial"/>
                <w:sz w:val="18"/>
                <w:szCs w:val="18"/>
                <w:color w:val="auto"/>
                <w:w w:val="99"/>
              </w:rPr>
              <w:t>2,105,011</w:t>
            </w:r>
          </w:p>
        </w:tc>
      </w:tr>
      <w:tr>
        <w:trPr>
          <w:trHeight w:val="23"/>
        </w:trPr>
        <w:tc>
          <w:tcPr>
            <w:tcW w:w="6460" w:type="dxa"/>
            <w:vAlign w:val="bottom"/>
            <w:tcBorders>
              <w:bottom w:val="single" w:sz="8" w:color="CCCCCC"/>
            </w:tcBorders>
          </w:tcPr>
          <w:p>
            <w:pPr>
              <w:spacing w:after="0"/>
              <w:rPr>
                <w:sz w:val="2"/>
                <w:szCs w:val="2"/>
                <w:color w:val="auto"/>
              </w:rPr>
            </w:pPr>
          </w:p>
        </w:tc>
        <w:tc>
          <w:tcPr>
            <w:tcW w:w="4780" w:type="dxa"/>
            <w:vAlign w:val="bottom"/>
            <w:tcBorders>
              <w:bottom w:val="single" w:sz="8" w:color="CCCCCC"/>
            </w:tcBorders>
          </w:tcPr>
          <w:p>
            <w:pPr>
              <w:spacing w:after="0"/>
              <w:rPr>
                <w:sz w:val="2"/>
                <w:szCs w:val="2"/>
                <w:color w:val="auto"/>
              </w:rPr>
            </w:pPr>
          </w:p>
        </w:tc>
      </w:tr>
      <w:tr>
        <w:trPr>
          <w:trHeight w:val="254"/>
        </w:trPr>
        <w:tc>
          <w:tcPr>
            <w:tcW w:w="6460" w:type="dxa"/>
            <w:vAlign w:val="bottom"/>
          </w:tcPr>
          <w:p>
            <w:pPr>
              <w:ind w:left="40"/>
              <w:spacing w:after="0"/>
              <w:rPr>
                <w:sz w:val="20"/>
                <w:szCs w:val="20"/>
                <w:color w:val="auto"/>
              </w:rPr>
            </w:pPr>
            <w:r>
              <w:rPr>
                <w:rFonts w:ascii="Arial" w:cs="Arial" w:eastAsia="Arial" w:hAnsi="Arial"/>
                <w:sz w:val="18"/>
                <w:szCs w:val="18"/>
                <w:color w:val="auto"/>
              </w:rPr>
              <w:t>Number of shares remaining available for grant</w:t>
            </w:r>
          </w:p>
        </w:tc>
        <w:tc>
          <w:tcPr>
            <w:tcW w:w="4780" w:type="dxa"/>
            <w:vAlign w:val="bottom"/>
          </w:tcPr>
          <w:p>
            <w:pPr>
              <w:jc w:val="center"/>
              <w:ind w:left="2010"/>
              <w:spacing w:after="0"/>
              <w:rPr>
                <w:sz w:val="20"/>
                <w:szCs w:val="20"/>
                <w:color w:val="auto"/>
              </w:rPr>
            </w:pPr>
            <w:r>
              <w:rPr>
                <w:rFonts w:ascii="Arial" w:cs="Arial" w:eastAsia="Arial" w:hAnsi="Arial"/>
                <w:sz w:val="18"/>
                <w:szCs w:val="18"/>
                <w:color w:val="auto"/>
                <w:w w:val="99"/>
              </w:rPr>
              <w:t>1,314,460</w:t>
            </w:r>
          </w:p>
        </w:tc>
      </w:tr>
      <w:tr>
        <w:trPr>
          <w:trHeight w:val="23"/>
        </w:trPr>
        <w:tc>
          <w:tcPr>
            <w:tcW w:w="64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340" w:right="140" w:hanging="332"/>
        <w:spacing w:after="0" w:line="193" w:lineRule="auto"/>
        <w:tabs>
          <w:tab w:leader="none" w:pos="3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number of PSUs that are outstanding as of March 16, 2026, reflects the target number of shares. Up to 200% of the target number of PSUs may be earned based on satisfaction of the applicable performance goals.</w:t>
      </w:r>
    </w:p>
    <w:p>
      <w:pPr>
        <w:spacing w:after="0" w:line="16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determining the number of shares to request for approval under the 2026 Plan, our Compensation Committee considered various factors, including our recent share usage, anticipated hiring needs in the next two years, potential dilution, our current stock price, recent experiences in the equity awards expected by new hire candidates, and general guidance from institutional proxy advisory firms, such as ISS, that our stockholders might consider in evaluating the 2026 Plan .</w:t>
      </w:r>
    </w:p>
    <w:p>
      <w:pPr>
        <w:spacing w:after="0" w:line="16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Based on our current equity award practices, the Compensation Committee estimates that the additional shares that would be authorized by the 2026 Plan may be sufficient to provide us with an opportunity to grant equity awards for approximately three (3) years. Circumstances that could alter this estimate include the future price of our common shares, the mix of options and full-value awards provided as long-term incentive compensation, grant amounts provided by our competitors, payout of performance-based awards in excess of target in the event of superior performance, hiring activity, and promotions during the next few years.</w:t>
      </w:r>
    </w:p>
    <w:p>
      <w:pPr>
        <w:spacing w:after="0" w:line="16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Board adopted the 2026 Plan on March 20, 2026, subject to approval by our stockholders. If stockholders do not approve the 2026 Plan, the 2005 Plan will not terminate and we can continue to grant awards under the 2005 Plan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Highlights of the 2026 Plan</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2026 Plan continues to contain provisions that are included in the 2005 Plan that we believe are consistent with best practices in equity compensation and which protect the stockholders’ interests, as described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evergreen authorization</w:t>
      </w:r>
      <w:r>
        <w:rPr>
          <w:rFonts w:ascii="Arial" w:cs="Arial" w:eastAsia="Arial" w:hAnsi="Arial"/>
          <w:sz w:val="18"/>
          <w:szCs w:val="18"/>
          <w:color w:val="auto"/>
        </w:rPr>
        <w:t>. The 2026 Plan does not have an evergreen provision</w:t>
      </w:r>
    </w:p>
    <w:p>
      <w:pPr>
        <w:spacing w:after="0" w:line="19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Gross share counting</w:t>
      </w:r>
      <w:r>
        <w:rPr>
          <w:rFonts w:ascii="Arial" w:cs="Arial" w:eastAsia="Arial" w:hAnsi="Arial"/>
          <w:sz w:val="18"/>
          <w:szCs w:val="18"/>
          <w:color w:val="auto"/>
        </w:rPr>
        <w:t>. The 2026 Plan generally provides for gross share counting. The number of shares remaining available for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2026 Plan is reduced by the gross number of shares subject to options and stock appreciation rights, including those settled on a net basis, and any shares withheld for taxes in connection with the vesting or settlement of any award will not again be available for the future grant of awards. Further, any shares of our common stock we repurchase in the open market with option exercise proceeds will not increase the maximum number of shares that may be issued under the 2026 Plan.</w:t>
      </w:r>
    </w:p>
    <w:p>
      <w:pPr>
        <w:sectPr>
          <w:pgSz w:w="11900" w:h="16838" w:orient="portrait"/>
          <w:cols w:equalWidth="0" w:num="1">
            <w:col w:w="11240"/>
          </w:cols>
          <w:pgMar w:left="320" w:top="122" w:right="3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Minimum vesting</w:t>
      </w:r>
      <w:r>
        <w:rPr>
          <w:rFonts w:ascii="Arial" w:cs="Arial" w:eastAsia="Arial" w:hAnsi="Arial"/>
          <w:sz w:val="18"/>
          <w:szCs w:val="18"/>
          <w:color w:val="auto"/>
        </w:rPr>
        <w:t>. The 2026 Plan requires each award to have a minimum vesting period of one year, except for (i) substitute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in connection with a transaction, (ii) shares delivered in lieu of fully vested cash obligations, (iii) awards to non-employee directors that vest on the earlier of the one year anniversary of grant and the next annual meeting of stockholders that is at least 50 weeks after the immediately preceding years’ annual meeting of stockholders, (iv) 5% of the aggregate number of shares authorized for issuance under the 2026 Plan, or (v) if vesting is accelerated upon a participant’s retirement, death or disability or in connection with a change in control.</w:t>
      </w:r>
    </w:p>
    <w:p>
      <w:pPr>
        <w:spacing w:after="0" w:line="163"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No automatic vesting upon a change in control</w:t>
      </w:r>
      <w:r>
        <w:rPr>
          <w:rFonts w:ascii="Arial" w:cs="Arial" w:eastAsia="Arial" w:hAnsi="Arial"/>
          <w:sz w:val="18"/>
          <w:szCs w:val="18"/>
          <w:color w:val="auto"/>
        </w:rPr>
        <w:t>. The 2026 Plan does not provide for automatic acceleration of award vesting upon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in control, except for any non-employee director awards which will automatically accelerate vesting upon a change in control. An acquiring corporation may assume, continue or substitute new awards for outstanding awards, and if it does so, the vesting of the outstanding awards will generally not accelerate on the change in control. The vesting of awards that are not assumed, continued or replaced by a publicly held corporation will be accelerated. The plan administrator has the discretion to accelerate the vesting of outstanding awards or to require that participants exchange outstanding stock-based awards for a payment in cash.</w:t>
      </w:r>
    </w:p>
    <w:p>
      <w:pPr>
        <w:spacing w:after="0" w:line="16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Prohibition on repricing</w:t>
      </w:r>
      <w:r>
        <w:rPr>
          <w:rFonts w:ascii="Arial" w:cs="Arial" w:eastAsia="Arial" w:hAnsi="Arial"/>
          <w:sz w:val="18"/>
          <w:szCs w:val="18"/>
          <w:color w:val="auto"/>
        </w:rPr>
        <w:t>. The 2026 Plan prohibits the repricing of options or stock appreciation rights without the approval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including the cancellation and replacement of options or stock appreciation rights with a grant of options or stock appreciation rights having lower exercise prices, a grant of full-value awards or payments in cash.</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No discounted options or stock appreciation rights</w:t>
      </w:r>
      <w:r>
        <w:rPr>
          <w:rFonts w:ascii="Arial" w:cs="Arial" w:eastAsia="Arial" w:hAnsi="Arial"/>
          <w:sz w:val="18"/>
          <w:szCs w:val="18"/>
          <w:color w:val="auto"/>
        </w:rPr>
        <w:t>. Options and stock appreciation rights must have an exercise price or base price at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the fair market value per share of our common stock on the date of grant.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tax gross-ups</w:t>
      </w:r>
      <w:r>
        <w:rPr>
          <w:rFonts w:ascii="Arial" w:cs="Arial" w:eastAsia="Arial" w:hAnsi="Arial"/>
          <w:sz w:val="18"/>
          <w:szCs w:val="18"/>
          <w:color w:val="auto"/>
        </w:rPr>
        <w:t>. The 2026 Plan does not provide for any tax gross-ups.</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No liberal change-in-control definition</w:t>
      </w:r>
      <w:r>
        <w:rPr>
          <w:rFonts w:ascii="Arial" w:cs="Arial" w:eastAsia="Arial" w:hAnsi="Arial"/>
          <w:sz w:val="18"/>
          <w:szCs w:val="18"/>
          <w:color w:val="auto"/>
        </w:rPr>
        <w:t>. Under the 2026 Plan, a change in control occurs upon the consummation of the transaction rather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announcement or stockholder approval of the transaction.</w:t>
      </w:r>
    </w:p>
    <w:p>
      <w:pPr>
        <w:spacing w:after="0" w:line="140"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Limitation on dividends and dividend equivalents</w:t>
      </w:r>
      <w:r>
        <w:rPr>
          <w:rFonts w:ascii="Arial" w:cs="Arial" w:eastAsia="Arial" w:hAnsi="Arial"/>
          <w:sz w:val="18"/>
          <w:szCs w:val="18"/>
          <w:color w:val="auto"/>
        </w:rPr>
        <w:t>. Any dividends or dividend equivalents payable in connection with an award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same restrictions as the underlying award and will not be paid until and unless such award vests or is settled, if later.</w:t>
      </w:r>
    </w:p>
    <w:p>
      <w:pPr>
        <w:spacing w:after="0" w:line="14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Limited Transferability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are not transferable except by will or by the laws of descent and distribution, or pursuant to a domestic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 order.</w:t>
      </w:r>
    </w:p>
    <w:p>
      <w:pPr>
        <w:spacing w:after="0" w:line="14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Awards Subject to Clawback</w:t>
      </w:r>
      <w:r>
        <w:rPr>
          <w:rFonts w:ascii="Arial" w:cs="Arial" w:eastAsia="Arial" w:hAnsi="Arial"/>
          <w:sz w:val="18"/>
          <w:szCs w:val="18"/>
          <w:color w:val="auto"/>
        </w:rPr>
        <w:t>. All awards granted under the 2026 Plan are subject to forfeiture or recovery to the fullest extent required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listing standards of the Nasdaq or any current or future clawback policy that may be adopted by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Summary of the 2026 Plan</w:t>
      </w:r>
    </w:p>
    <w:p>
      <w:pPr>
        <w:spacing w:after="0" w:line="20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A summary of the principal provisions of the 2026 Plan is set forth below, subject to stockholder approval. The summary does not purport to be a complete description of all of the provisions of the 2026 Plan and is qualified by reference to the full text of the 2026 Plan, a copy of which is attached as </w:t>
      </w:r>
      <w:r>
        <w:rPr>
          <w:rFonts w:ascii="Arial" w:cs="Arial" w:eastAsia="Arial" w:hAnsi="Arial"/>
          <w:sz w:val="18"/>
          <w:szCs w:val="18"/>
          <w:b w:val="1"/>
          <w:bCs w:val="1"/>
          <w:u w:val="single" w:color="auto"/>
          <w:color w:val="auto"/>
        </w:rPr>
        <w:t>Appendix C</w:t>
      </w:r>
      <w:r>
        <w:rPr>
          <w:rFonts w:ascii="Arial" w:cs="Arial" w:eastAsia="Arial" w:hAnsi="Arial"/>
          <w:sz w:val="18"/>
          <w:szCs w:val="18"/>
          <w:color w:val="auto"/>
        </w:rPr>
        <w:t xml:space="preserve"> to this Proxy Statement.</w:t>
      </w:r>
    </w:p>
    <w:p>
      <w:pPr>
        <w:spacing w:after="0" w:line="145"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The purpose of the 2026 Plan is to advance the interests of the Company by providing an incentive program that will enable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to attract and retain employees, consultants and directors upon whose judgment, interest and efforts the Company’s success is dependent and to provide them with an equity interest in the success of the Company in order to motivate superior performance. These incentives may be provided through the grant of stock options, stock appreciation rights, restricted stock, restricted stock units, performance shares (which may consist of performance share units (“</w:t>
      </w:r>
      <w:r>
        <w:rPr>
          <w:rFonts w:ascii="Arial" w:cs="Arial" w:eastAsia="Arial" w:hAnsi="Arial"/>
          <w:sz w:val="18"/>
          <w:szCs w:val="18"/>
          <w:u w:val="single" w:color="auto"/>
          <w:color w:val="auto"/>
        </w:rPr>
        <w:t>PSUs</w:t>
      </w:r>
      <w:r>
        <w:rPr>
          <w:rFonts w:ascii="Arial" w:cs="Arial" w:eastAsia="Arial" w:hAnsi="Arial"/>
          <w:sz w:val="18"/>
          <w:szCs w:val="18"/>
          <w:color w:val="auto"/>
        </w:rPr>
        <w:t>”), deferred stock units (“</w:t>
      </w:r>
      <w:r>
        <w:rPr>
          <w:rFonts w:ascii="Arial" w:cs="Arial" w:eastAsia="Arial" w:hAnsi="Arial"/>
          <w:sz w:val="18"/>
          <w:szCs w:val="18"/>
          <w:u w:val="single" w:color="auto"/>
          <w:color w:val="auto"/>
        </w:rPr>
        <w:t>DSUs</w:t>
      </w:r>
      <w:r>
        <w:rPr>
          <w:rFonts w:ascii="Arial" w:cs="Arial" w:eastAsia="Arial" w:hAnsi="Arial"/>
          <w:sz w:val="18"/>
          <w:szCs w:val="18"/>
          <w:color w:val="auto"/>
        </w:rPr>
        <w:t>”), performance units, certain other stock-based awards and cash-based performance awards). Incentive stock options granted under the 2023 Plan are intended to qualify as "incentive stock options" within the meaning of Section 422 of the Internal Revenue Code of 1986, as amended, which is referred to as "the Code" in this Proposal. Nonstatutory stock options granted under the 2026 Plan are not intended to qualify as incentive stock options under the Code.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The maximum aggregate number of shares authorized for issuance under the 2026 Plan is the sum of the following:</w:t>
      </w:r>
    </w:p>
    <w:p>
      <w:pPr>
        <w:spacing w:after="0" w:line="198"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3,400,000, new additionally requested shares</w:t>
      </w:r>
    </w:p>
    <w:p>
      <w:pPr>
        <w:spacing w:after="0" w:line="36" w:lineRule="exact"/>
        <w:rPr>
          <w:rFonts w:ascii="Arial" w:cs="Arial" w:eastAsia="Arial" w:hAnsi="Arial"/>
          <w:sz w:val="18"/>
          <w:szCs w:val="18"/>
          <w:color w:val="auto"/>
        </w:rPr>
      </w:pPr>
    </w:p>
    <w:p>
      <w:pPr>
        <w:ind w:left="660" w:right="300" w:hanging="328"/>
        <w:spacing w:after="0" w:line="271"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less one share for each share subject to any award granted under the 2005 Plan between March 20, 2026 and prior to the date of the annual meeting.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no event shall the number of shares subject to any equity award granted under the 2005 Plan after March 20, 2026 and prior to the annual meeting exceed 10,000 shares. If any stock option or stock appreciation right previously granted under the 2005 Plan or granted under the 2026 Plan expires or is forfeited, cancelled or terminated for any reason without having been exercised, or if any awards are not issued pursuant to full-value awards because such award or any portion thereof expires or otherwise terminates without all of the shares covered having been issued, are not issued because such award is settled in cash, or if shares subject to forfeiture or repurchase are forfeited or repurchased by the Company for an amount not greater than the purchase price, any such shares that are reacquired or subject to such a terminated award will again become available for issuance under the 2026 Plan. Upon any stock dividend, stock split, reverse stock split, recapitalization or similar change in our capital structure, appropriate adjustments will be made to the shares subject to the 2026 Plan, to the award limits described below and to all outstanding awards. However, shares will not again become available for issuance under the 2026 Plan if they are (i) withheld or surrendered to satisfy tax withholding obligations or (ii) surrendered in payment of the purchase or exercise price of an option or stock appreciation right.(either by means of a cashless exercise, attestation or actual surrender of shares).</w:t>
      </w:r>
    </w:p>
    <w:p>
      <w:pPr>
        <w:spacing w:after="0" w:line="17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 xml:space="preserve">Limitation on Awards and Other Compensation to Nonemployee Directors. </w:t>
      </w:r>
      <w:r>
        <w:rPr>
          <w:rFonts w:ascii="Arial" w:cs="Arial" w:eastAsia="Arial" w:hAnsi="Arial"/>
          <w:sz w:val="18"/>
          <w:szCs w:val="18"/>
          <w:color w:val="auto"/>
        </w:rPr>
        <w:t>The 2026 Plan provides for an annual limit of $750,000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awarded to any nonemployee director during each calendar year, including both shares of stock subject to 2026 Plan awards (calculating the value of any such awards based on the grant date fair value of such awards for financial reporting purposes) and any cash fees paid to such nonemployee director (but excluding any expense reimbursements or distributions from any deferred compensation program.</w:t>
      </w:r>
    </w:p>
    <w:p>
      <w:pPr>
        <w:spacing w:after="0" w:line="16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2026 Plan is administered by the Compensation Committee of the Board of Directors, or, in the absence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by the Board of Directors. To the extent permitted by applicable law and the terms of the 2026 Plan, the Committee may delegate to the appropriate officers of Cohu the authority to grant, amend, modify, cancel, extend or renew awards to persons other than directors or executive officers whose transactions are subject to Section 16 of the Exchange Act, as amended (for purposes of this summary, the term “Committee” refers to either such committee, the Board of Directors and any of Cohu’s officers to whom such authority may be delegated as provided in the 2026 Plan, to the extent such delegation is applicable). Subject to the provisions of the 2026 Plan, the Committee determines in its discretion the persons to whom and the times at which awards are granted, the types and sizes of such awards, and all of their terms and conditions. All awards granted under the 2026 Plan must be evidenced by a written agreement between the Company and the participant specifying the number of shares subject to the award and the other terms and conditions of the award, consistent with the requirements of the 2026 Plan. The Committee may amend, cancel, renew any award, waive any restrictions or conditions applicable to any award, and accelerate, continue, extend or defer the vesting of any award. The 2026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2026 Plan. The Committee will interpret the 2026 Plan and awards granted thereunder, and all determinations of the Committee will be final and binding on all persons having an interest in the 2026 Plan or any award.</w:t>
      </w:r>
    </w:p>
    <w:p>
      <w:pPr>
        <w:spacing w:after="0" w:line="17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auto"/>
        </w:rPr>
        <w:t>Prohibition of Option and SAR Repricing</w:t>
      </w:r>
      <w:r>
        <w:rPr>
          <w:rFonts w:ascii="Arial" w:cs="Arial" w:eastAsia="Arial" w:hAnsi="Arial"/>
          <w:sz w:val="18"/>
          <w:szCs w:val="18"/>
          <w:color w:val="auto"/>
        </w:rPr>
        <w:t>. The 2026 Plan expressly provides that, without the approval of a majority of the votes cast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or by proxy at a meeting of our stockholders, the Committee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full-value awards in exchange for the cancellation of such outstanding options or stock appreciation rights, or (3) the cancellation of such outstanding options or stock appreciation rights in exchange for payments in cash.</w:t>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Minimum Vesting</w:t>
      </w:r>
      <w:r>
        <w:rPr>
          <w:rFonts w:ascii="Arial" w:cs="Arial" w:eastAsia="Arial" w:hAnsi="Arial"/>
          <w:sz w:val="18"/>
          <w:szCs w:val="18"/>
          <w:color w:val="auto"/>
        </w:rPr>
        <w:t>. No more than 5% of the aggregate number of shares authorized under the 2026 Plan may be issued pursuant to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provide for vesting over a period of less than one year. This minimum vesting requirement will not prohibit the vesting of (i) substitute awards granted in connection with a transaction, (ii) shares delivered in lieu of fully vested cash obligations, (iii) awards to non-employee directors that vest on the earlier of the one year anniversary or grant and the next annual meeting of stockholders that is at least 50 weeks after the immediately preceding years’ annual meeting of stockholders, (iv) 5% of the aggregate number of shares authorized for issuance under the 2026 Plan or (v) accelerating the vesting of awards in connection with a “Change in Control,” as defined by the 2026 Plan, or upon a participant’s retirement, death or disability.</w:t>
      </w:r>
    </w:p>
    <w:p>
      <w:pPr>
        <w:spacing w:after="0" w:line="17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Awards other than incentive stock options may be granted to employees, directors and consultants of the Company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or future parent or subsidiary corporations of the Company. Incentive stock options may only be granted to employees of the Company or any present or future parent or subsidiary corporations of the Company. As of March 16, 2026, the Company had approximately 2,800 employees, 41 consultants and 8 non-employee directors who would be eligible to receive awards under the 2026 Plan if it were effective as of such date.</w:t>
      </w:r>
    </w:p>
    <w:p>
      <w:pPr>
        <w:spacing w:after="0" w:line="163"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b w:val="1"/>
          <w:bCs w:val="1"/>
          <w:i w:val="1"/>
          <w:iCs w:val="1"/>
          <w:color w:val="auto"/>
        </w:rPr>
        <w:t>Stock Options and Stock Appreciation Rights</w:t>
      </w:r>
      <w:r>
        <w:rPr>
          <w:rFonts w:ascii="Arial" w:cs="Arial" w:eastAsia="Arial" w:hAnsi="Arial"/>
          <w:sz w:val="18"/>
          <w:szCs w:val="18"/>
          <w:color w:val="auto"/>
        </w:rPr>
        <w:t>. The following is a general description of the terms of stock options and stock appreciation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that may be awarded under the 2026 Plan. Individual grants may have different terms, subject to the overall requirements of the 2026 Plan</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exercise price of each option may not be less than the fair market value of a share of our common stock on the date of grant. However, any incentive stock option granted to a person who at the time of grant owns stock possessing more than 10% of the total combined voting power of all classes of stock of the Company or any parent or subsidiary corporation of the Company (a “Ten Percent Stockholder”) must have an exercise price equal to at least 110% of the fair market value of a share of common stock on the date of grant.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2026 Plan provides that the option exercise price may be paid: (1) in cash, check or a cash equivalent; (2) by cashless exercise or tender of shares of common stock of the Company subject to attestation to the ownership of the shares and to having a fair market value not less than the exercise price; (3) by net exercise whereby the number of shares issuable upon the exercise of the option is reduced by a number of shares having a fair market value equal to the exercise price; (4) in any other form of payment as may be approved by the Committee; or (5) by a combination of the above forms of payment. Nevertheless, the Committee may restrict the forms of payment permitted in connection with any option grant. No option may be exercised unless the optionee has made adequate provision for federal, state, local and foreign taxes, if any, relating to the exercise of the option, including, if permitted or required by the Company, through the optionee’s surrender of a portion of the option shares to the Company.</w:t>
      </w:r>
    </w:p>
    <w:p>
      <w:pPr>
        <w:spacing w:after="0" w:line="16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Options and stock appreciation rights granted under the 2026 Plan will become vested and exercisable at such times or upon such events and subject to such terms, conditions, performance criteria or restrictions as specified by the Committee, subject to the minimum vesting requirements described above and the continued service of the holder. The maximum term of any option or stock appreciation right granted under the 2026 Plan is ten years, provided that an incentive stock option granted to a Ten Percent Stockholder must have a term not exceeding five years. The Committee will specify in each written option or stock appreciation right agreement, and solely in its discretion, the period of post-termination exercise applicable to each option or stock appreciation right.</w:t>
      </w:r>
    </w:p>
    <w:p>
      <w:pPr>
        <w:spacing w:after="0" w:line="165"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color w:val="auto"/>
        </w:rPr>
        <w:t>Generally, stock options and stock appreciation rights are nontransferable by the holder other than by will or by the laws of descent and distribution, and are exercisable during the holder’s lifetime only by the holder. However, a nonstatutory stock option may be assigned or transferred to the extent permitted by the Committee in its sole discretion, other than to a third party financial institution for value.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issued under the 2026 Plan pursuant to the exercise of incentive stock options may not exceed 3,400,000 shares.</w:t>
      </w:r>
    </w:p>
    <w:p>
      <w:pPr>
        <w:spacing w:after="0" w:line="19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color w:val="auto"/>
        </w:rPr>
        <w:t>. The Committee may grant restricted stock awards under the 2026 Plan specifying the number of shares of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award and including such terms and conditions as the Committee shall from time to time establish. The Committee determines the purchase price payable under restricted stock purchase rights, which may be less than the then current fair market value of Cohu’s common stock, or may grant restricted stock without any purchase price. Restricted stock awards may be subject to vesting conditions specified by the Committee based on service or performance criteria. Participants may not transfer shares acquired pursuant to a restricted stock award until the shares vest. Unless otherwise provided by the Committee, participants forfeit any unvested shares of restricted stock upon termination of service. Participants holding restricted stock generally may vote the shares and receive any dividends paid; however, no dividends or distributions will be paid on shares of stock subject to vesting conditions except to the extent that such vesting conditions are satisfied, and the restrictions on the original restricted stock award apply to adjustments made upon a change in the capital structure of Cohu, and any substituted or additional securities or property arising from such award.</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The Committee may grant restricted stock units under the 2026 Plan which represent a right to receive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at a future date determined in accordance with the participant’s award agreement. No monetary payment is required for receipt of restricted stock units or the shares issued in settlement of the award, the consideration for which is furnished in the form of the participant’s services to the Company. The Committee may grant restricted stock unit awards subject to vesting conditions based on such service or performance criteria as the Committee specifies, subject to the minimum vesting requirements described above. Participants have no voting rights or rights to receive cash dividends with respect to restricted stock unit awards until the restricted stock units vest and shares of common stock are issued in settlement of such awards. Non-employee directors who elect to defer settlement of their RSU shares are eligible to receive dividend equivalents during the deferral period and are paid when the award is ultimately settled at the deferred settlement date. The Committee may grant restricted stock units that entitle their holders to receive dividend equivalents, which are rights to receive additional restricted stock units for a number of shares whose value is equal to any cash dividends we pay and that are subject to the same vesting conditions and settled at the time that the vested restricted stock units are settled. Any dividend equivalents are subject to the same restrictions and risk of forfeiture as the underlying award.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Performance Awards</w:t>
      </w:r>
      <w:r>
        <w:rPr>
          <w:rFonts w:ascii="Arial" w:cs="Arial" w:eastAsia="Arial" w:hAnsi="Arial"/>
          <w:sz w:val="18"/>
          <w:szCs w:val="18"/>
          <w:color w:val="auto"/>
        </w:rPr>
        <w:t>. The Committee may grant performance awards subject to such conditions and the attainment of such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goals over such periods as the Committee determines, subject to the minimum vesting requirements described above. The performance goals are set forth in a written agreement between the Company and the participant. These awards may be designated as performance shares (which may include performance units) or as cash-settled performance units or other cash-based performance bonuses.</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Performance shares may be granted in the form of restricted stock or performance units and represent the right to earn or receive shares subject to attainment of performance goals. Performance units represent the right to receive a cash payment, the amount of which is determined by reference to the value of a specified number of our shares, subject to the attainment of performance goals. Cash-based performance bonuses represent the right to receive a cash payment determined pursuant to such formula and other terms as determined by the Committee, subject to the attainment of performance goals.</w:t>
      </w:r>
    </w:p>
    <w:p>
      <w:pPr>
        <w:spacing w:after="0" w:line="163"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Performance awards will specify a predetermined amount of cash or shares that may be earned by the participant to the extent that one or more performance goals are attained within the applicable performance period. In granting a performance award, the Committee will establish one or more performance goals based on the attainment of specified target levels with respect to one or more measures of objective or subjective business, financial, or individual performance or other performance criteria as may be selected by the Committee.</w:t>
      </w:r>
    </w:p>
    <w:p>
      <w:pPr>
        <w:spacing w:after="0" w:line="16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Following completion of the applicable performance period, the Committee will determine the extent to which the applicable performance goals have been attained and the resulting value to be paid, or number of shares to be issued to or otherwise earned by the participant. The Committee may make positive or negative adjustments to performance award payments to reflect individual job performance or other factors. In its discretion, the Committee may provide for the payment to a participant awarded performance shares of dividend equivalents with respect to cash dividends paid on the Company’s common stock, provided that the dividend equivalents will be paid only to the extent that the performance award becomes vested and nonforfeitable.</w:t>
      </w:r>
    </w:p>
    <w:p>
      <w:pPr>
        <w:spacing w:after="0" w:line="16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No performance award may be sold or transferred other than by will or the laws of descent and distribution prior to the end of the applicable performance period.</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Deferred Stock Unit Awards</w:t>
      </w:r>
      <w:r>
        <w:rPr>
          <w:rFonts w:ascii="Arial" w:cs="Arial" w:eastAsia="Arial" w:hAnsi="Arial"/>
          <w:sz w:val="18"/>
          <w:szCs w:val="18"/>
          <w:color w:val="auto"/>
        </w:rPr>
        <w:t>. Deferred stock unit awards may be granted in lieu of payment in cash or stock of all or any portion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cash and/or stock compensation. Deferred stock units are unfunded bookkeeping units, each representing a right to receive one share of our common stock in accordance with the terms and conditions of a deferred stock unit award agreement.</w:t>
      </w:r>
    </w:p>
    <w:p>
      <w:pPr>
        <w:spacing w:after="0" w:line="15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Deferred stock unit awards granted in lieu of earned cash compensation are fully vested upon grant and will be settled by distribution to the participant of a number of whole shares of common stock equal to the number of units subject to the award on a date set forth in the participant’s written agreement in accordance with the terms of the 2026 Plan at the time of his or her advance election. Such deferred stock units granted in lieu of earned cash compensation are not subject to the minimum vesting requirements described above. The Committee may also grant deferred stock units that are linked to the achievement of performance goals or other vesting criteria, in which case they would be subject to the minimum vesting requirements.</w:t>
      </w:r>
    </w:p>
    <w:p>
      <w:pPr>
        <w:spacing w:after="0" w:line="16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A holder of a deferred stock unit has no voting rights or other rights as a stockholder until shares of common stock are issued to the participant in settlement of the deferred stock unit. However, the Committee may grant deferred stock units entitling their holders to be credited with dividend equivalents with respect to any payment of cash dividends on an equivalent number of shares of common stock. Such dividend equivalents will be credited in the form of additional whole and fractional units determined by the fair market value of a share of common stock on the dividend payment date and will be paid to the holder at the same time that the deferred stock units are settled. Prior to settlement, no deferred stock unit may be assigned or transferred other than by will or the laws of descent and distribution.</w:t>
      </w:r>
    </w:p>
    <w:p>
      <w:pPr>
        <w:spacing w:after="0" w:line="165"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The 2026 Plan permits the Committee to grant other awards based on Cohu’s stock or based on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on its stock. Participants have no voting rights or rights to receive cash dividends with respect to other awards until shares of common stock are issued in settlement of such awards. At its discretion, the Committee may provide for the payment of dividend equivalents (which will be subject to the same restrictions and risks of forfeiture as the underlying award) with respect to cash dividends paid on Cohu’s common stock that are subject to such awards.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The 2026 Plan defines a “Change in Control” of the Company as any of the following events upon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the Company immediately before the event do not retain immediately after the event, in substantially the same proportions as their ownership of shares of the Company’s voting stock immediately before the event, direct or indirect beneficial ownership of a majority of the total combined voting power of the voting securities of the Company, its successor or the corporation to which the assets of the Company were transferred: (i) a sale or exchange by the stockholders in a single or series of related transactions of more than 50% of the Company’s voting stock; (ii) a merger or consolidation in which the Company is a party; (iii) the sale, exchange or transfer of all or substantially all of the assets of the Company; or (iv) a liquidation or dissolution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a Change in Control occurs, the surviving, continuing, successor or purchasing corporation or parent corporation thereof may, without any participant’s consent, assume or continue any or all outstanding awards or substitute substantially equivalent new awards for any or all outstanding awards. The 2026 Plan also authorizes the Committee, in its discretion and without the consent of any participant, to cancel each or any award denominated in shares of stock upon a Change in Control in exchange for a payment to the participant with respect each share subject to the cancelled award of an amount equal to the excess of the consideration to be paid per share of common stock in the Change in Control transaction over the exercise or purchase price per share, if any, under the award. The Committee may provide for the acceleration of vesting of any or all outstanding awards upon such terms and to such extent as it determines, except that the vesting of all awards held by members of the Board who are not employees will automatically be accelerated in full.</w:t>
      </w:r>
    </w:p>
    <w:p>
      <w:pPr>
        <w:spacing w:after="0" w:line="167"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Any award not assumed, exercised or settled prior to the Change in Control will terminate effective as of the time of the change in control. The 2026 Plan authorizes the Committee, in its discretion, to provide for different treatment of any award, as may be specified in such award’s written agreement, which may provide for acceleration of the vesting or settlement of any award, or provide for longer periods of exercisability, upon a Change in Control.</w:t>
      </w:r>
    </w:p>
    <w:p>
      <w:pPr>
        <w:spacing w:after="0" w:line="16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i w:val="1"/>
          <w:iCs w:val="1"/>
          <w:color w:val="auto"/>
        </w:rPr>
        <w:t>Termination or Amendment</w:t>
      </w:r>
      <w:r>
        <w:rPr>
          <w:rFonts w:ascii="Arial" w:cs="Arial" w:eastAsia="Arial" w:hAnsi="Arial"/>
          <w:sz w:val="18"/>
          <w:szCs w:val="18"/>
          <w:color w:val="auto"/>
        </w:rPr>
        <w:t>. The Board may terminate or amend the 2026 Plan at any time, provided that no amendment may be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stockholder approval if the Board deems such approval necessary for compliance with any applicable tax or securities law or other regulatory requirements, including the requirements of any stock exchange or market system on which the common stock of the Company is then listed. Incentive stock option awards will not be granted under the 2026 Plan later than the tenth anniversary of the date the Board or Committee most recently approved the applicable number of shares issuable under the 2026 Plan pursuant to the exercise of incentive stock options, or if earlier, the tenth anniversary of the date the stockholders most recently approved the applicable number of shares issuable under the 2026 Plan pursuant to the exercise of incentive stock options. No termination or amendment may affect any outstanding award unless expressly provided by the Board, and, in any event, may not materially adversely affect an outstanding award without the consent of the participant unless necessary to comply with any applicable law, regulation or rule.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2D53A6"/>
        </w:rPr>
        <w:t>Summary of U.S. Federal Income Tax Consequences</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following is only a summary of the United States federal income tax consequences to participants who receive 2026 Plan awards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2026 Plan.</w:t>
      </w:r>
    </w:p>
    <w:p>
      <w:pPr>
        <w:spacing w:after="0" w:line="16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Incentive Stock Options</w:t>
      </w:r>
      <w:r>
        <w:rPr>
          <w:rFonts w:ascii="Arial" w:cs="Arial" w:eastAsia="Arial" w:hAnsi="Arial"/>
          <w:sz w:val="18"/>
          <w:szCs w:val="18"/>
          <w:color w:val="auto"/>
        </w:rPr>
        <w:t>. An optionee recognizes no taxable income for regular income tax purposes as a result of the grant or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incentive stock option qualifying under Section 422 of the Code. Optionees who neither dispose of their shares within two years following the date the option was granted nor within one year following the exercise of the option will normally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determination date (see discussion under “Nonstatutory Stock Options” below)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The difference between the option exercise price and the fair market value of the shares on the determination date of an incentive stock option (see discussion under “Nonstatutory Stock Options” below)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65"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b w:val="1"/>
          <w:bCs w:val="1"/>
          <w:i w:val="1"/>
          <w:iCs w:val="1"/>
          <w:color w:val="auto"/>
        </w:rPr>
        <w:t>Nonstatutory Stock Options</w:t>
      </w:r>
      <w:r>
        <w:rPr>
          <w:rFonts w:ascii="Arial" w:cs="Arial" w:eastAsia="Arial" w:hAnsi="Arial"/>
          <w:sz w:val="18"/>
          <w:szCs w:val="18"/>
          <w:color w:val="auto"/>
        </w:rPr>
        <w:t>. Options not designated or qualifying as incentive stock options will be nonstatutory stock options having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 tax status. An optionee generally recognizes no taxable income as the result of the grant of such an option. Upon exercise of a nonstatutory stock option, the optionee normally recognizes ordinary income in the amount of the difference between the option exercise price and the fair market value of the shares on the determination date (as defined below). If the optionee is an employee, such ordinary income generally is subject to withholding of income and employment taxes.</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“determination date” is the date on which a nonstatutory stock option is exercised unless the shares are subject to a substantial risk of forfeiture (as in the case where an optionee is permitted to exercise an unvested option and receive unvested shares which, until they vest, are subject to the Company’s right to repurchase them at the original exercise price upon the optionee’s termination of service) and are not transferable, in which case the determination date is the earlier of (i) the date on which the shares become transferable or (ii) the date on which the shares are no longer subject to a substantial risk of forfeiture. If the determination date is after the exercise date, the optionee may elect, pursuant to Section 83(b) of the Code, to have the exercise date be the determination date by filing an election with the Internal Revenue Service no later than 30 days after the date the option is exercised. Upon the sale of stock acquired by the exercise of a nonstatutory stock option, any gain or loss, based on the difference between the sale price and the fair market value on the determination date, will be taxed as capital gain or loss. No tax deduction is available to the Company with respect to the grant of a nonstatutory stock option or the sale of the stock acquired pursuant to such grant. The Company generally should be entitled to a deduction equal to the amount of ordinary income recognized by the optionee as a result of the exercise of a nonstatutory stock option, except to the extent such deduction is limited by applicable provisions of the Code.</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No taxable income is recognized when a stock appreciation right is granted to a participant. Upon exercise,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will recognize ordinary income in an amount equal to the amount of cash received and the fair market value of any shares of our common stock received. Any additional gain or loss recognized upon any later disposition of the shares would be capital gain or loss.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color w:val="auto"/>
        </w:rPr>
        <w:t>. A participant acquiring restricted stock generally will recognize ordinary income equal to the fair market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on the “determination date” (as defined above under “Nonstatutory Stock Options”). If the participant is an employee, such ordinary income generally is subject to withholding of income and employment taxes. If the determination date is after the date on which the participant acquires the shares, the participant may elect, pursuant to Section 83(b) of the Code, to have the date of acquisition be the determination date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7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Performance and Restricted Stock Units Awards</w:t>
      </w:r>
      <w:r>
        <w:rPr>
          <w:rFonts w:ascii="Arial" w:cs="Arial" w:eastAsia="Arial" w:hAnsi="Arial"/>
          <w:sz w:val="18"/>
          <w:szCs w:val="18"/>
          <w:color w:val="auto"/>
        </w:rPr>
        <w:t>. A participant generally will recognize no income upon the grant of performance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PSUs), performance units, RSUs and cash-based performance bonus opportunities. Upon the settlement and/or payment of such awards, participants normally will recognize ordinary income in the year of receipt in an amount equal to the cash received and the fair market value of any nonrestricted shares received. If the participant is an employee, such ordinary income generally is subject to withholding of income and employment taxes. If the participant receives shares of restricted stock, the participant generally will be taxed in the same manner as described above (see discussion under “Restricted Stock”). Upon the sale of any shares received, any gain or loss, based on the difference between the sale price and the fair market value on the “determination date” (as defined above under “Nonstatutory Stock Options”),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6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i w:val="1"/>
          <w:iCs w:val="1"/>
          <w:color w:val="auto"/>
        </w:rPr>
        <w:t>Deferred Stock Unit Awards</w:t>
      </w:r>
      <w:r>
        <w:rPr>
          <w:rFonts w:ascii="Arial" w:cs="Arial" w:eastAsia="Arial" w:hAnsi="Arial"/>
          <w:sz w:val="18"/>
          <w:szCs w:val="18"/>
          <w:color w:val="auto"/>
        </w:rPr>
        <w:t>. A participant generally will recognize no income upon the grant of a Deferred Stock Unit Award.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 of such an award, the participant normally will recognize ordinary income in the year of settlement in an amount equal to the fair market value of any unrestricted shares of our common stock received.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A participant generally will recognize income with respect to any other stock-based award at the time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manner required by the applicable provisions of the Code and such taxation will depend upon the specifics of any such award.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Section 162(m) or other applicable provisions of the Code.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New Plan Benefits</w:t>
      </w:r>
    </w:p>
    <w:p>
      <w:pPr>
        <w:spacing w:after="0" w:line="200"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Stock Options Granted to Certain Individuals and Groups</w:t>
      </w:r>
      <w:r>
        <w:rPr>
          <w:rFonts w:ascii="Arial" w:cs="Arial" w:eastAsia="Arial" w:hAnsi="Arial"/>
          <w:sz w:val="18"/>
          <w:szCs w:val="18"/>
          <w:color w:val="auto"/>
        </w:rPr>
        <w:t>. The number of awards (if any) that an individual may receive under the 2026 Plan</w:t>
      </w:r>
      <w:r>
        <w:rPr>
          <w:rFonts w:ascii="Arial" w:cs="Arial" w:eastAsia="Arial" w:hAnsi="Arial"/>
          <w:sz w:val="18"/>
          <w:szCs w:val="18"/>
          <w:i w:val="1"/>
          <w:iCs w:val="1"/>
          <w:color w:val="auto"/>
        </w:rPr>
        <w:t xml:space="preserve"> </w:t>
      </w:r>
      <w:r>
        <w:rPr>
          <w:rFonts w:ascii="Arial" w:cs="Arial" w:eastAsia="Arial" w:hAnsi="Arial"/>
          <w:sz w:val="18"/>
          <w:szCs w:val="18"/>
          <w:color w:val="auto"/>
        </w:rPr>
        <w:t>is at the discretion of the Compensation Committee and therefore cannot be determined in advance. Our executive officers are eligible to receive awards under the 2026 Plan and, accordingly, our executive officers have an interest in this proposal. We have not approved any awards under the 2026 Plan that are conditioned on stockholder approval of the 2026 Plan. The grants of annual meeting awards to our non-employee directors as described under “Director Compensation,” will be made under the 2026 Plan instead of the 2025 Plan if the 2026 Plan is approved. No awards will be granted under the 2026 Plan prior to its approval by the stockholders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0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 majority of the votes cast is required to approve Proposal No. 4.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7410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741045"/>
                    </a:xfrm>
                    <a:prstGeom prst="rect">
                      <a:avLst/>
                    </a:prstGeom>
                    <a:noFill/>
                  </pic:spPr>
                </pic:pic>
              </a:graphicData>
            </a:graphic>
          </wp:anchor>
        </w:drawing>
      </w:r>
    </w:p>
    <w:p>
      <w:pPr>
        <w:spacing w:after="0" w:line="265" w:lineRule="exact"/>
        <w:rPr>
          <w:sz w:val="20"/>
          <w:szCs w:val="20"/>
          <w:color w:val="auto"/>
        </w:rPr>
      </w:pPr>
    </w:p>
    <w:p>
      <w:pPr>
        <w:ind w:left="100" w:right="160"/>
        <w:spacing w:after="0" w:line="244" w:lineRule="auto"/>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of the Cohu 2026 Equity Incentive Plan. The Board of Directors believes that approval of the 2026 Plan is in the best interests of the Company and its stockholders for the reasons stated above. Therefore, the Board unanimously recommends a vote </w:t>
      </w:r>
      <w:r>
        <w:rPr>
          <w:rFonts w:ascii="Arial" w:cs="Arial" w:eastAsia="Arial" w:hAnsi="Arial"/>
          <w:sz w:val="22"/>
          <w:szCs w:val="22"/>
          <w:color w:val="FFFFFF"/>
        </w:rPr>
        <w:t>“</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of the 2026 Plan.</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361" w:lineRule="exact"/>
        <w:rPr>
          <w:sz w:val="20"/>
          <w:szCs w:val="20"/>
          <w:color w:val="auto"/>
        </w:rPr>
      </w:pPr>
    </w:p>
    <w:p>
      <w:pPr>
        <w:ind w:right="660"/>
        <w:spacing w:after="0" w:line="298" w:lineRule="auto"/>
        <w:rPr>
          <w:sz w:val="20"/>
          <w:szCs w:val="20"/>
          <w:color w:val="auto"/>
        </w:rPr>
      </w:pPr>
      <w:r>
        <w:rPr>
          <w:rFonts w:ascii="Arial" w:cs="Arial" w:eastAsia="Arial" w:hAnsi="Arial"/>
          <w:sz w:val="25"/>
          <w:szCs w:val="25"/>
          <w:b w:val="1"/>
          <w:bCs w:val="1"/>
          <w:color w:val="auto"/>
        </w:rPr>
        <w:t>Proposal No. 5: Approval of the Amended and Restated Cohu, Inc. 1997 Employee Stock Purchase Plan</w:t>
      </w:r>
    </w:p>
    <w:p>
      <w:pPr>
        <w:spacing w:after="0" w:line="8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are asking stockholders to approve an amendment and restatement of our 1997 Employee Stock Purchase Plan (the “1997 ESPP”) to, increase the number of shares that may be issued under the 1997 ESPP by an additional 600,000 shares. As proposed to be amended and restated (the “Amended and Restated 1997 ESPP”), our Amended and Restated 1997 ESPP would increase the number of shares of common stock available for issuance by an additional 600,000 shares to 4,350,000 shares. Other than this increase to the share reserve the terms of the Amended and Restated 1997 ESPP are materially the same as the terms of the 1997 ESPP.</w:t>
      </w:r>
    </w:p>
    <w:p>
      <w:pPr>
        <w:spacing w:after="0" w:line="163"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Our Board recommends stockholders approve the Amended and Restated 1997 ESPP to promote our long-term growth and profitability by aligning the interests of our employees with those of other stockholders and providing additional incentives to enhance stockholder value. The 1997 ESPP is designed to allow eligible employees of the Company and its participating subsidiaries (whether now existing or subsequently established or acquired) to purchase common shares at designated intervals at a discount through their accumulated payroll deductions or other contributions.</w:t>
      </w:r>
    </w:p>
    <w:p>
      <w:pPr>
        <w:spacing w:after="0" w:line="16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Board believes that Cohu’s success is due to its highly talented employee base and that future success depends on our ability to continue attracting and retaining high-caliber employees. Our ability to grant equity awards is a necessary and powerful recruiting and retention tool to maintain and create stockholder value. Currently, a maximum of 3,750,000 shares of our common stock may be issued under the 1997 ESPP. As of March 16, 2026, a total of 3,396,419 shares of our common stock have been issued under the 1997 ESPP, and 353,581 shares are available for future issuances. As a result, we believe that the current authorized number of shares under the 1997 ESPP is inadequate to provide reasonable incentives to our employees going forward.</w:t>
      </w:r>
    </w:p>
    <w:p>
      <w:pPr>
        <w:spacing w:after="0" w:line="16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1997 ESPP is otherwise substantially unchanged since our stockholders last approved certain amendments to the 1997 ESPP at the 2023 Annual Meeting of Stockholders. Our employees are our most valuable assets, and the 1997 ESPP is important to our ability to attract and retain outstanding and highly skilled individuals in the extremely competitive labor markets in which we must compete. The purchase of stock is also crucial to our ability to motivate employees to achieve our long-term goals and provides a source of capital.</w:t>
      </w:r>
    </w:p>
    <w:p>
      <w:pPr>
        <w:spacing w:after="0" w:line="16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Our Board adopted the Amended and Restated 1997 ESPP on March 20, 2026, subject to approval by stockholders. If stockholders do not approve the Amended and Restated 1997 ESPP, no shares will be added to the number of shares reserved for issuance under the 1997 ESPP and we believe we would be at a significant disadvantage against our competitors for recruiting, retaining and motivating those individuals who are critical to our success. A summary of the principal provisions of the Amended and Restated 1997 ESPP as proposed to be amended is set forth below. The summary is qualified by reference to the full text of the Amended and Restated 1997 ESPP, as amended, a copy of which is attached as </w:t>
      </w:r>
      <w:r>
        <w:rPr>
          <w:rFonts w:ascii="Arial" w:cs="Arial" w:eastAsia="Arial" w:hAnsi="Arial"/>
          <w:sz w:val="18"/>
          <w:szCs w:val="18"/>
          <w:b w:val="1"/>
          <w:bCs w:val="1"/>
          <w:u w:val="single" w:color="auto"/>
          <w:color w:val="auto"/>
        </w:rPr>
        <w:t>Appendix D</w:t>
      </w:r>
      <w:r>
        <w:rPr>
          <w:rFonts w:ascii="Arial" w:cs="Arial" w:eastAsia="Arial" w:hAnsi="Arial"/>
          <w:sz w:val="18"/>
          <w:szCs w:val="18"/>
          <w:color w:val="auto"/>
        </w:rPr>
        <w:t xml:space="preserve"> to this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2D53A6"/>
        </w:rPr>
        <w:t>Summary of the Amended and Restated 1997 ESPP</w:t>
      </w:r>
    </w:p>
    <w:p>
      <w:pPr>
        <w:spacing w:after="0" w:line="20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Board of Directors believes that the recruitment and retention of qualified personnel are essential to the Company’s continued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and success and that the Amended and Restated 1997 ESPP is necessary for the Company to remain competitive in its compensation practices. The majority of high technology companies have purchase plans similar to the Amended and Restated 1997 ESPP described herein. The Amended and Restated 1997 ESPP provides employees the opportunity to purchase our common stock at a discount from market through payroll deductions.</w:t>
      </w:r>
    </w:p>
    <w:p>
      <w:pPr>
        <w:spacing w:after="0" w:line="16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Amended and Restated 1997 ESPP will be administered by the Compensation Committee of the Board.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has full authority to adopt such rules and procedures as it may deem necessary for proper plan administration and to interpret the provisions of the Amended and Restated 1997 ESPP. All costs and expenses incurred in plan administration are paid by the Company without charge to participants.</w:t>
      </w:r>
    </w:p>
    <w:p>
      <w:pPr>
        <w:spacing w:after="0" w:line="16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Eligibility and Participation</w:t>
      </w:r>
      <w:r>
        <w:rPr>
          <w:rFonts w:ascii="Arial" w:cs="Arial" w:eastAsia="Arial" w:hAnsi="Arial"/>
          <w:sz w:val="18"/>
          <w:szCs w:val="18"/>
          <w:color w:val="auto"/>
        </w:rPr>
        <w:t>. Any regular employee, including officers, who is employed by the Company (or any of its majority-owned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for more than 20 hours per week and more than five months in a calendar year is eligible to participate in the Amended and Restated 1997 ESPP, provided that the employee is employed on the first day of an offering period and subject to certain limitations imposed by the Code. As of March 16, 2026, approximately 2,500 employees were eligible to participate in the 1997 ESPP. Eligible employees become participants in the Amended and Restated 1997 ESPP by delivering a subscription agreement authorizing payroll deductions prior to the applicable offering date, or at such other time as may be determined by the Compensation Committee with respect to a given offering. By executing a subscription agreement to participate in the Amended and Restated 1997 ESPP, each employee is granted a right to purchase shares of our common stock. No employee may subscribe for shares under the Amended and Restated 1997 ESPP if, immediately after the grant of the purchase right, the employee would own 5% or more of the voting stock of all classes of stock of the Company, nor may any employee be granted purchase right that would permit such employee to purchase stock under the Amended and Restated 1997 ESPP at a rate that exceeds $25,000 in value (determined at the fair market value of the shares at the time the purchase right is granted) for each calendar year in which such purchase right is outstanding at any time.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Offering Periods</w:t>
      </w:r>
      <w:r>
        <w:rPr>
          <w:rFonts w:ascii="Arial" w:cs="Arial" w:eastAsia="Arial" w:hAnsi="Arial"/>
          <w:sz w:val="18"/>
          <w:szCs w:val="18"/>
          <w:color w:val="auto"/>
        </w:rPr>
        <w:t>. The Amended and Restated 1997 ESPP is implemented in a series of successive offering periods each with a duration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Offering periods commence on or about November 1 and May 1. Shares are purchased by participants on the last business day of each offering period. The Board of Directors may alter the duration of the offering periods without stockholder approval, provided that no offering period may have a term exceeding 27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The price per share at which shares are purchased under the Amended and Restated 1997 ESPP is equal to the lower of</w:t>
      </w:r>
    </w:p>
    <w:p>
      <w:pPr>
        <w:spacing w:after="0" w:line="14" w:lineRule="exact"/>
        <w:rPr>
          <w:sz w:val="20"/>
          <w:szCs w:val="20"/>
          <w:color w:val="auto"/>
        </w:rPr>
      </w:pPr>
    </w:p>
    <w:p>
      <w:pPr>
        <w:jc w:val="both"/>
        <w:ind w:firstLine="8"/>
        <w:spacing w:after="0"/>
        <w:tabs>
          <w:tab w:leader="none" w:pos="2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85% of the fair market value of the common stock on the date of commencement of the offering period and (ii) 85% of the fair market value of the common stock on the last day of the offering period. The fair market value of our common stock on any relevant date will be deemed to equal the closing price on such date on the Nasdaq Global Select Market. On March 16, 2026, the closing price of the Company’s common stock on the Nasdaq Global Select Market was $28.58 per share.</w:t>
      </w:r>
    </w:p>
    <w:p>
      <w:pPr>
        <w:spacing w:after="0" w:line="167"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Payment of Purchase Price; Payroll Deductions</w:t>
      </w:r>
      <w:r>
        <w:rPr>
          <w:rFonts w:ascii="Arial" w:cs="Arial" w:eastAsia="Arial" w:hAnsi="Arial"/>
          <w:sz w:val="18"/>
          <w:szCs w:val="18"/>
          <w:color w:val="auto"/>
        </w:rPr>
        <w:t>. The purchase price for shares is accumulated by payroll deductions during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The deductions may not exceed 10% of a participant’s eligible compensation, which is defined in the 1997 ESPP to include regular straight-time salary, exclusive of any payments for overtime, bonuses, commissions or incentive compensation. Each participant’s right to purchase shares during a six-month offering period is limited to 3,000 shares. Payroll deductions commence on the first payday following the commencement of the offering and continue until the end of the offering period unless sooner terminated as provided for in the Amended and Restated 1997 ESPP. All payroll deductions are credited to the participant’s account under the Amended and Restated 1997 ESPP and are deposited with our general funds and may be used by the Company for any corporate purpose.</w:t>
      </w:r>
    </w:p>
    <w:p>
      <w:pPr>
        <w:spacing w:after="0" w:line="17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b w:val="1"/>
          <w:bCs w:val="1"/>
          <w:i w:val="1"/>
          <w:iCs w:val="1"/>
          <w:color w:val="auto"/>
        </w:rPr>
        <w:t>Withdrawal</w:t>
      </w:r>
      <w:r>
        <w:rPr>
          <w:rFonts w:ascii="Arial" w:cs="Arial" w:eastAsia="Arial" w:hAnsi="Arial"/>
          <w:sz w:val="18"/>
          <w:szCs w:val="18"/>
          <w:color w:val="auto"/>
        </w:rPr>
        <w:t>. A participant’s interest in a given offering may be terminated in whole, but not in part, by signing and delivering a notice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withdrawal from the Amended and Restated 1997 ESPP. Such withdrawal may be elected at any time prior to the end of the applicable six-month offering period and will result in a refund of all payroll deductions for that offering period. Any withdrawal by the participant of accumulated payroll deductions for a given offering automatically terminates the participant’s interest in that offering. A participant who ceases to be an eligible employee receives a refund of their payroll deductions for the offering period in which such loss of eligibility status occurs. No interest is paid on such refunds.</w:t>
      </w:r>
    </w:p>
    <w:p>
      <w:pPr>
        <w:spacing w:after="0" w:line="165" w:lineRule="exact"/>
        <w:rPr>
          <w:sz w:val="20"/>
          <w:szCs w:val="20"/>
          <w:color w:val="auto"/>
        </w:rPr>
      </w:pPr>
    </w:p>
    <w:p>
      <w:pPr>
        <w:ind w:right="140"/>
        <w:spacing w:after="0"/>
        <w:rPr>
          <w:sz w:val="20"/>
          <w:szCs w:val="20"/>
          <w:color w:val="auto"/>
        </w:rPr>
      </w:pPr>
      <w:r>
        <w:rPr>
          <w:rFonts w:ascii="Arial" w:cs="Arial" w:eastAsia="Arial" w:hAnsi="Arial"/>
          <w:sz w:val="18"/>
          <w:szCs w:val="18"/>
          <w:b w:val="1"/>
          <w:bCs w:val="1"/>
          <w:i w:val="1"/>
          <w:iCs w:val="1"/>
          <w:color w:val="auto"/>
        </w:rPr>
        <w:t>Shares Reserved for Issuance; Capital Changes</w:t>
      </w:r>
      <w:r>
        <w:rPr>
          <w:rFonts w:ascii="Arial" w:cs="Arial" w:eastAsia="Arial" w:hAnsi="Arial"/>
          <w:sz w:val="18"/>
          <w:szCs w:val="18"/>
          <w:color w:val="auto"/>
        </w:rPr>
        <w:t>. If Amended and Restated 1997 ESPP is approved by the stockholders,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authorized for issuance under the Amended and Restated 1997 ESPP will be 4,350,000 shares. In the event any change is made in the capitalization of the Company, such as stock splits or stock dividends, which results in an increase or decrease in the number of shares of common stock outstanding, we will make appropriate adjustments to outstanding purchase rights and the offering period purchase limits. In the event the Company is acquired by merger or asset sale during an offering period, all outstanding purchase rights may be assumed or equivalent purchase rights may be substituted by the successor corporation. If the successor corporation does not agree to assume or substitute for the purchase rights, the Board will provide for outstanding purchase rights to be exercised immediately prior to the acquisition.</w:t>
      </w:r>
    </w:p>
    <w:p>
      <w:pPr>
        <w:spacing w:after="0" w:line="171"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b w:val="1"/>
          <w:bCs w:val="1"/>
          <w:i w:val="1"/>
          <w:iCs w:val="1"/>
          <w:color w:val="auto"/>
        </w:rPr>
        <w:t>Nonassignability</w:t>
      </w:r>
      <w:r>
        <w:rPr>
          <w:rFonts w:ascii="Arial" w:cs="Arial" w:eastAsia="Arial" w:hAnsi="Arial"/>
          <w:sz w:val="18"/>
          <w:szCs w:val="18"/>
          <w:color w:val="auto"/>
        </w:rPr>
        <w:t>. No rights or accumulated payroll deductions of an employee under the Amended and Restated 1997 ESPP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pledged, assigned or transferred for any reason, and any such attempt may be treated as an election to withdraw from the Amended and Restated 1997 ESPP.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w:t>
      </w:r>
      <w:r>
        <w:rPr>
          <w:rFonts w:ascii="Arial" w:cs="Arial" w:eastAsia="Arial" w:hAnsi="Arial"/>
          <w:sz w:val="18"/>
          <w:szCs w:val="18"/>
          <w:color w:val="auto"/>
        </w:rPr>
        <w:t>. The Amended and Restated 1997 ESPP will continue in effect until the first to occur of (i) its termination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(ii) the date on which all shares available for issuance under the Amended and Restated 1997 ESPP have been</w:t>
      </w:r>
    </w:p>
    <w:p>
      <w:pPr>
        <w:spacing w:after="0" w:line="234" w:lineRule="auto"/>
        <w:rPr>
          <w:sz w:val="20"/>
          <w:szCs w:val="20"/>
          <w:color w:val="auto"/>
        </w:rPr>
      </w:pPr>
      <w:r>
        <w:rPr>
          <w:rFonts w:ascii="Arial" w:cs="Arial" w:eastAsia="Arial" w:hAnsi="Arial"/>
          <w:sz w:val="18"/>
          <w:szCs w:val="18"/>
          <w:color w:val="auto"/>
        </w:rPr>
        <w:t>issued or (iii) the date on which all outstanding purchase rights are exercised in connection with an acquisition of the Company. The Board of</w:t>
      </w:r>
    </w:p>
    <w:p>
      <w:pPr>
        <w:spacing w:after="0" w:line="235" w:lineRule="auto"/>
        <w:rPr>
          <w:sz w:val="20"/>
          <w:szCs w:val="20"/>
          <w:color w:val="auto"/>
        </w:rPr>
      </w:pPr>
      <w:r>
        <w:rPr>
          <w:rFonts w:ascii="Arial" w:cs="Arial" w:eastAsia="Arial" w:hAnsi="Arial"/>
          <w:sz w:val="18"/>
          <w:szCs w:val="18"/>
          <w:color w:val="auto"/>
        </w:rPr>
        <w:t>Directors may at any time amend or terminate the Amended and Restated 1997 ESPP, except that such termination shall not affect purchase</w:t>
      </w:r>
    </w:p>
    <w:p>
      <w:pPr>
        <w:spacing w:after="0" w:line="235" w:lineRule="auto"/>
        <w:rPr>
          <w:sz w:val="20"/>
          <w:szCs w:val="20"/>
          <w:color w:val="auto"/>
        </w:rPr>
      </w:pPr>
      <w:r>
        <w:rPr>
          <w:rFonts w:ascii="Arial" w:cs="Arial" w:eastAsia="Arial" w:hAnsi="Arial"/>
          <w:sz w:val="18"/>
          <w:szCs w:val="18"/>
          <w:color w:val="auto"/>
        </w:rPr>
        <w:t>rights previously granted nor may any amendment make any change in a purchase right granted prior thereto which adversely affects the</w:t>
      </w:r>
    </w:p>
    <w:p>
      <w:pPr>
        <w:spacing w:after="0" w:line="235" w:lineRule="auto"/>
        <w:rPr>
          <w:sz w:val="20"/>
          <w:szCs w:val="20"/>
          <w:color w:val="auto"/>
        </w:rPr>
      </w:pPr>
      <w:r>
        <w:rPr>
          <w:rFonts w:ascii="Arial" w:cs="Arial" w:eastAsia="Arial" w:hAnsi="Arial"/>
          <w:sz w:val="18"/>
          <w:szCs w:val="18"/>
          <w:color w:val="auto"/>
        </w:rPr>
        <w:t>rights of any participant. No amendment may be made to the Amended and Restated 1997 ESPP without the prior approval of our</w:t>
      </w:r>
    </w:p>
    <w:p>
      <w:pPr>
        <w:spacing w:after="0"/>
        <w:rPr>
          <w:sz w:val="20"/>
          <w:szCs w:val="20"/>
          <w:color w:val="auto"/>
        </w:rPr>
      </w:pPr>
      <w:r>
        <w:rPr>
          <w:rFonts w:ascii="Arial" w:cs="Arial" w:eastAsia="Arial" w:hAnsi="Arial"/>
          <w:sz w:val="17"/>
          <w:szCs w:val="17"/>
          <w:color w:val="auto"/>
        </w:rPr>
        <w:t>stockholders if such amendment would increase the number of shares reserved under the Amended and Restated 1997 ESPP, permit payroll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deductions in excess of 10% of the participant’s compensation, materially modify the eligibility requirements or materially increase the</w:t>
      </w:r>
    </w:p>
    <w:p>
      <w:pPr>
        <w:spacing w:after="0" w:line="234" w:lineRule="auto"/>
        <w:rPr>
          <w:sz w:val="20"/>
          <w:szCs w:val="20"/>
          <w:color w:val="auto"/>
        </w:rPr>
      </w:pPr>
      <w:r>
        <w:rPr>
          <w:rFonts w:ascii="Arial" w:cs="Arial" w:eastAsia="Arial" w:hAnsi="Arial"/>
          <w:sz w:val="18"/>
          <w:szCs w:val="18"/>
          <w:color w:val="auto"/>
        </w:rPr>
        <w:t>benefits which may accrue under the 1997 ESPP.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Summary of U.S. Federal Income Tax Consequences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following is only a summary of the United States federal income tax consequences to participants in the Amended and Restated 1997 ESPP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Amended and Restated 1997 ESPP.</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Amended and Restated 1997 ESPP is intended to qualify under the provisions of Sections 421 and 423 of the Code. Under these provisions, no income will be taxable to a participant at the time of grant of the purchase right or when shares are purchased. Upon disposition of the shares, the participant will generally be subject to tax, and the amount of the tax will depend upon the holding period. If the shares have been held by the participant for more than two years after the first day of the offering period in which the shares were acquired and more than one year after the purchase date of the shares then the lesser of (i) the excess of the fair market value of the shares at the time of such disposition over the purchase price of the shares, or (ii) 15% of the fair market value of the shares on the first day of the offering period, will be treated as ordinary income, and any further gain upon such disposition will be treated as long-term capital gain. If the shares are disposed of before the expiration of the holding periods described above, the excess of the fair market value of the shares on the last day of the offering period over the purchase price will be treated as ordinary income, and any further gain or loss on such disposition will be long-term or short-term capital gain or loss, depending on the holding period. We are not entitled to a deduction for amounts taxable to a participant, except to the extent of ordinary income reported by participants upon disposition of shares prior to the expiration of the holding periods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Benefits and Additional Information</w:t>
      </w:r>
    </w:p>
    <w:p>
      <w:pPr>
        <w:spacing w:after="0" w:line="19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Because benefits under the Amended and Restated 1997 ESPP will depend on employees’ elections to participate and the fair market value of the Company’s common stock at various future dates, it is not possible to determine the benefits that will be received by executive officers and other employees if the Amended and Restated 1997 ESPP is approved by the stockholders. Non-employee directors are not eligible to participate in the Amended and Restated 1997 ESPP.</w:t>
      </w:r>
    </w:p>
    <w:p>
      <w:pPr>
        <w:spacing w:after="0" w:line="160"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number of shares of common stock purchased under the 1997 ESPP since its inception through March 16, 2026, by the following individuals and groups are as follows:</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0" w:type="dxa"/>
            <w:vAlign w:val="bottom"/>
            <w:shd w:val="clear" w:color="auto" w:fill="2D53A6"/>
          </w:tcPr>
          <w:p>
            <w:pPr>
              <w:spacing w:after="0"/>
              <w:rPr>
                <w:sz w:val="18"/>
                <w:szCs w:val="18"/>
                <w:color w:val="auto"/>
              </w:rPr>
            </w:pPr>
          </w:p>
        </w:tc>
        <w:tc>
          <w:tcPr>
            <w:tcW w:w="1700" w:type="dxa"/>
            <w:vAlign w:val="bottom"/>
            <w:shd w:val="clear" w:color="auto" w:fill="2D53A6"/>
          </w:tcPr>
          <w:p>
            <w:pPr>
              <w:ind w:left="280"/>
              <w:spacing w:after="0"/>
              <w:rPr>
                <w:sz w:val="20"/>
                <w:szCs w:val="20"/>
                <w:color w:val="auto"/>
              </w:rPr>
            </w:pPr>
            <w:r>
              <w:rPr>
                <w:rFonts w:ascii="Arial" w:cs="Arial" w:eastAsia="Arial" w:hAnsi="Arial"/>
                <w:sz w:val="18"/>
                <w:szCs w:val="18"/>
                <w:b w:val="1"/>
                <w:bCs w:val="1"/>
                <w:color w:val="FFFFFF"/>
              </w:rPr>
              <w:t>Number of</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Name and Position</w:t>
            </w:r>
          </w:p>
        </w:tc>
        <w:tc>
          <w:tcPr>
            <w:tcW w:w="1700" w:type="dxa"/>
            <w:vAlign w:val="bottom"/>
            <w:shd w:val="clear" w:color="auto" w:fill="2D53A6"/>
          </w:tcPr>
          <w:p>
            <w:pPr>
              <w:ind w:left="280"/>
              <w:spacing w:after="0"/>
              <w:rPr>
                <w:sz w:val="20"/>
                <w:szCs w:val="20"/>
                <w:color w:val="auto"/>
              </w:rPr>
            </w:pPr>
            <w:r>
              <w:rPr>
                <w:rFonts w:ascii="Arial" w:cs="Arial" w:eastAsia="Arial" w:hAnsi="Arial"/>
                <w:sz w:val="18"/>
                <w:szCs w:val="18"/>
                <w:b w:val="1"/>
                <w:bCs w:val="1"/>
                <w:color w:val="FFFFFF"/>
              </w:rPr>
              <w:t>Shares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0" w:type="dxa"/>
            <w:vAlign w:val="bottom"/>
          </w:tcPr>
          <w:p>
            <w:pPr>
              <w:spacing w:after="0" w:line="186" w:lineRule="exact"/>
              <w:rPr>
                <w:sz w:val="20"/>
                <w:szCs w:val="20"/>
                <w:color w:val="auto"/>
              </w:rPr>
            </w:pPr>
            <w:r>
              <w:rPr>
                <w:rFonts w:ascii="Arial" w:cs="Arial" w:eastAsia="Arial" w:hAnsi="Arial"/>
                <w:sz w:val="18"/>
                <w:szCs w:val="18"/>
                <w:color w:val="auto"/>
              </w:rPr>
              <w:t>Luis A. Müller</w:t>
            </w:r>
          </w:p>
        </w:tc>
        <w:tc>
          <w:tcPr>
            <w:tcW w:w="17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42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0" w:type="dxa"/>
            <w:vAlign w:val="bottom"/>
            <w:shd w:val="clear" w:color="auto" w:fill="E6E6E6"/>
          </w:tcPr>
          <w:p>
            <w:pPr>
              <w:spacing w:after="0" w:line="186" w:lineRule="exact"/>
              <w:rPr>
                <w:sz w:val="20"/>
                <w:szCs w:val="20"/>
                <w:color w:val="auto"/>
              </w:rPr>
            </w:pPr>
            <w:r>
              <w:rPr>
                <w:rFonts w:ascii="Arial" w:cs="Arial" w:eastAsia="Arial" w:hAnsi="Arial"/>
                <w:sz w:val="18"/>
                <w:szCs w:val="18"/>
                <w:color w:val="auto"/>
              </w:rPr>
              <w:t>Jeffrey D. Jones</w:t>
            </w:r>
          </w:p>
        </w:tc>
        <w:tc>
          <w:tcPr>
            <w:tcW w:w="1700" w:type="dxa"/>
            <w:vAlign w:val="bottom"/>
            <w:vMerge w:val="restart"/>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0" w:type="dxa"/>
            <w:vAlign w:val="bottom"/>
            <w:shd w:val="clear" w:color="auto" w:fill="E6E6E6"/>
          </w:tcPr>
          <w:p>
            <w:pPr>
              <w:spacing w:after="0"/>
              <w:rPr>
                <w:sz w:val="20"/>
                <w:szCs w:val="20"/>
                <w:color w:val="auto"/>
              </w:rPr>
            </w:pPr>
            <w:r>
              <w:rPr>
                <w:rFonts w:ascii="Arial" w:cs="Arial" w:eastAsia="Arial" w:hAnsi="Arial"/>
                <w:sz w:val="18"/>
                <w:szCs w:val="18"/>
                <w:i w:val="1"/>
                <w:iCs w:val="1"/>
                <w:color w:val="auto"/>
              </w:rPr>
              <w:t>Senior Vice President Finance and Chief Financial Officer</w:t>
            </w:r>
          </w:p>
        </w:tc>
        <w:tc>
          <w:tcPr>
            <w:tcW w:w="170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0" w:type="dxa"/>
            <w:vAlign w:val="bottom"/>
          </w:tcPr>
          <w:p>
            <w:pPr>
              <w:spacing w:after="0" w:line="186" w:lineRule="exact"/>
              <w:rPr>
                <w:sz w:val="20"/>
                <w:szCs w:val="20"/>
                <w:color w:val="auto"/>
              </w:rPr>
            </w:pPr>
            <w:r>
              <w:rPr>
                <w:rFonts w:ascii="Arial" w:cs="Arial" w:eastAsia="Arial" w:hAnsi="Arial"/>
                <w:sz w:val="18"/>
                <w:szCs w:val="18"/>
                <w:color w:val="auto"/>
              </w:rPr>
              <w:t>Christopher G. Bohrson</w:t>
            </w:r>
          </w:p>
        </w:tc>
        <w:tc>
          <w:tcPr>
            <w:tcW w:w="1700" w:type="dxa"/>
            <w:vAlign w:val="bottom"/>
            <w:vMerge w:val="restart"/>
          </w:tcPr>
          <w:p>
            <w:pPr>
              <w:jc w:val="right"/>
              <w:ind w:right="1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9"/>
        </w:trPr>
        <w:tc>
          <w:tcPr>
            <w:tcW w:w="8420" w:type="dxa"/>
            <w:vAlign w:val="bottom"/>
            <w:gridSpan w:val="2"/>
          </w:tcPr>
          <w:p>
            <w:pPr>
              <w:spacing w:after="0"/>
              <w:rPr>
                <w:sz w:val="20"/>
                <w:szCs w:val="20"/>
                <w:color w:val="auto"/>
              </w:rPr>
            </w:pPr>
            <w:r>
              <w:rPr>
                <w:rFonts w:ascii="Arial" w:cs="Arial" w:eastAsia="Arial" w:hAnsi="Arial"/>
                <w:sz w:val="18"/>
                <w:szCs w:val="18"/>
                <w:i w:val="1"/>
                <w:iCs w:val="1"/>
                <w:color w:val="auto"/>
              </w:rPr>
              <w:t>Senior Vice President and Chief Customer Officer</w:t>
            </w: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0" w:type="dxa"/>
            <w:vAlign w:val="bottom"/>
            <w:shd w:val="clear" w:color="auto" w:fill="E6E6E6"/>
          </w:tcPr>
          <w:p>
            <w:pPr>
              <w:spacing w:after="0" w:line="186" w:lineRule="exact"/>
              <w:rPr>
                <w:sz w:val="20"/>
                <w:szCs w:val="20"/>
                <w:color w:val="auto"/>
              </w:rPr>
            </w:pPr>
            <w:r>
              <w:rPr>
                <w:rFonts w:ascii="Arial" w:cs="Arial" w:eastAsia="Arial" w:hAnsi="Arial"/>
                <w:sz w:val="18"/>
                <w:szCs w:val="18"/>
                <w:color w:val="auto"/>
              </w:rPr>
              <w:t>Klaus Ilgenfritz</w:t>
            </w:r>
          </w:p>
        </w:tc>
        <w:tc>
          <w:tcPr>
            <w:tcW w:w="1700" w:type="dxa"/>
            <w:vAlign w:val="bottom"/>
            <w:vMerge w:val="restart"/>
            <w:shd w:val="clear" w:color="auto" w:fill="E6E6E6"/>
          </w:tcPr>
          <w:p>
            <w:pPr>
              <w:jc w:val="right"/>
              <w:ind w:right="10"/>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0" w:type="dxa"/>
            <w:vAlign w:val="bottom"/>
            <w:shd w:val="clear" w:color="auto" w:fill="E6E6E6"/>
          </w:tcPr>
          <w:p>
            <w:pPr>
              <w:spacing w:after="0"/>
              <w:rPr>
                <w:sz w:val="20"/>
                <w:szCs w:val="20"/>
                <w:color w:val="auto"/>
              </w:rPr>
            </w:pPr>
            <w:r>
              <w:rPr>
                <w:rFonts w:ascii="Arial" w:cs="Arial" w:eastAsia="Arial" w:hAnsi="Arial"/>
                <w:sz w:val="18"/>
                <w:szCs w:val="18"/>
                <w:i w:val="1"/>
                <w:iCs w:val="1"/>
                <w:color w:val="auto"/>
              </w:rPr>
              <w:t>Senior Vice President and Chief Product Officer</w:t>
            </w:r>
          </w:p>
        </w:tc>
        <w:tc>
          <w:tcPr>
            <w:tcW w:w="170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2" w:lineRule="exact"/>
              <w:rPr>
                <w:sz w:val="20"/>
                <w:szCs w:val="20"/>
                <w:color w:val="auto"/>
              </w:rPr>
            </w:pPr>
            <w:r>
              <w:rPr>
                <w:rFonts w:ascii="Arial" w:cs="Arial" w:eastAsia="Arial" w:hAnsi="Arial"/>
                <w:sz w:val="18"/>
                <w:szCs w:val="18"/>
                <w:color w:val="auto"/>
              </w:rPr>
              <w:t>All Current Named Executive Officers, as a Group (4 Persons)</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All Other Employees, Including all Current Officers who are not Named Executive Officers, as a Group</w:t>
            </w:r>
          </w:p>
        </w:tc>
        <w:tc>
          <w:tcPr>
            <w:tcW w:w="1700" w:type="dxa"/>
            <w:vAlign w:val="bottom"/>
            <w:shd w:val="clear" w:color="auto" w:fill="E6E6E6"/>
          </w:tcPr>
          <w:p>
            <w:pPr>
              <w:jc w:val="right"/>
              <w:ind w:right="10"/>
              <w:spacing w:after="0" w:line="202" w:lineRule="exact"/>
              <w:rPr>
                <w:sz w:val="20"/>
                <w:szCs w:val="20"/>
                <w:color w:val="auto"/>
              </w:rPr>
            </w:pPr>
            <w:r>
              <w:rPr>
                <w:rFonts w:ascii="Arial" w:cs="Arial" w:eastAsia="Arial" w:hAnsi="Arial"/>
                <w:sz w:val="18"/>
                <w:szCs w:val="18"/>
                <w:color w:val="auto"/>
              </w:rPr>
              <w:t>3,379,501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No shares were purchased under the 1997 ESPP by any non-employee directors, any other nominees for election as directors or any associates of such directors or nominees or of any executive officers, and no person has purchased five percent or more of the total number of shares issued under the 1997 ESPP.</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0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A majority of the votes cast is required to approve Proposal No. 5.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7410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741045"/>
                    </a:xfrm>
                    <a:prstGeom prst="rect">
                      <a:avLst/>
                    </a:prstGeom>
                    <a:noFill/>
                  </pic:spPr>
                </pic:pic>
              </a:graphicData>
            </a:graphic>
          </wp:anchor>
        </w:drawing>
      </w:r>
    </w:p>
    <w:p>
      <w:pPr>
        <w:spacing w:after="0" w:line="265" w:lineRule="exact"/>
        <w:rPr>
          <w:sz w:val="20"/>
          <w:szCs w:val="20"/>
          <w:color w:val="auto"/>
        </w:rPr>
      </w:pPr>
    </w:p>
    <w:p>
      <w:pPr>
        <w:ind w:left="100" w:right="80"/>
        <w:spacing w:after="0" w:line="244" w:lineRule="auto"/>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of the Amended and Restated 1997 ESPP. The Board of Directors believes that approval of the Amended and Restated 1997 ESPP is in the best interests of the Company and its stockholders for the reasons stated above. Therefore, the Board unanimously recommends a vote </w:t>
      </w:r>
      <w:r>
        <w:rPr>
          <w:rFonts w:ascii="Arial" w:cs="Arial" w:eastAsia="Arial" w:hAnsi="Arial"/>
          <w:sz w:val="22"/>
          <w:szCs w:val="22"/>
          <w:color w:val="FFFFFF"/>
        </w:rPr>
        <w:t>“</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of the Amended and Restated 1997 ESPP.</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No. 6: Ratification of Independent Registered Public Accounting Firm</w:t>
      </w:r>
    </w:p>
    <w:p>
      <w:pPr>
        <w:spacing w:after="0" w:line="21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Audit Committee of the Board has appointed Ernst &amp; Young LLP as Cohu’s independent registered public accounting firm for the fiscal year ending December 26, 2026. Ernst &amp; Young LLP served as Cohu’s independent registered public accounting firm for the fiscal year ended December 27, 2025, and also provided certain tax services. See “Principal Accounting Fees and Services” on page 52. Representatives of Ernst &amp; Young LLP are expected to attend the Meeting, where they will be available to respond to appropriate questions and, if they desire, to make a statement. Ernst &amp; Young LLP (or its predecessor firms) has been Cohu’s independent registered public accounting firm since 1956. Our Board recommends that the stockholders approve the ratification of the appointment of Ernst &amp; Young LLP as Cohu’s independent registered public accounting firm for the fiscal year ending December 26, 2026. If the appointment is not ratified, the Audit Committee will consider whether it should select another independent registered public accounting firm.</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majority of the votes cast is required to approve Proposal No. 3. If you hold your shares through a broker and you do not instruct the broker on how to vote on this “routine” proposal, your broker will nevertheless have authority to vote your shares on this “routine” proposal in your broker’s discretion. Abstentions will have no effect on the approval of this proposal.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586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586740"/>
                    </a:xfrm>
                    <a:prstGeom prst="rect">
                      <a:avLst/>
                    </a:prstGeom>
                    <a:noFill/>
                  </pic:spPr>
                </pic:pic>
              </a:graphicData>
            </a:graphic>
          </wp:anchor>
        </w:drawing>
      </w:r>
    </w:p>
    <w:p>
      <w:pPr>
        <w:spacing w:after="0" w:line="265" w:lineRule="exact"/>
        <w:rPr>
          <w:sz w:val="20"/>
          <w:szCs w:val="20"/>
          <w:color w:val="auto"/>
        </w:rPr>
      </w:pPr>
    </w:p>
    <w:p>
      <w:pPr>
        <w:jc w:val="both"/>
        <w:ind w:left="100" w:right="640"/>
        <w:spacing w:after="0" w:line="251" w:lineRule="auto"/>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the ratification of the appointment of Ernst &amp; Young LLP as Cohu</w:t>
      </w:r>
      <w:r>
        <w:rPr>
          <w:rFonts w:ascii="Arial" w:cs="Arial" w:eastAsia="Arial" w:hAnsi="Arial"/>
          <w:sz w:val="22"/>
          <w:szCs w:val="22"/>
          <w:color w:val="FFFFFF"/>
        </w:rPr>
        <w:t>’</w:t>
      </w:r>
      <w:r>
        <w:rPr>
          <w:rFonts w:ascii="Arial" w:cs="Arial" w:eastAsia="Arial" w:hAnsi="Arial"/>
          <w:sz w:val="22"/>
          <w:szCs w:val="22"/>
          <w:b w:val="1"/>
          <w:bCs w:val="1"/>
          <w:color w:val="FFFFFF"/>
        </w:rPr>
        <w:t>s independent registered public accounting firm for the fiscal year ending December 26, 2026.</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683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53" w:lineRule="exact"/>
        <w:rPr>
          <w:sz w:val="20"/>
          <w:szCs w:val="20"/>
          <w:color w:val="auto"/>
        </w:rPr>
      </w:pPr>
    </w:p>
    <w:p>
      <w:pPr>
        <w:ind w:left="420"/>
        <w:spacing w:after="0"/>
        <w:rPr>
          <w:sz w:val="20"/>
          <w:szCs w:val="20"/>
          <w:color w:val="auto"/>
        </w:rPr>
      </w:pPr>
      <w:r>
        <w:rPr>
          <w:rFonts w:ascii="Arial" w:cs="Arial" w:eastAsia="Arial" w:hAnsi="Arial"/>
          <w:sz w:val="36"/>
          <w:szCs w:val="36"/>
          <w:b w:val="1"/>
          <w:bCs w:val="1"/>
          <w:color w:val="FFFFFF"/>
        </w:rPr>
        <w:t>Voting and Meeting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General Information</w:t>
      </w:r>
    </w:p>
    <w:p>
      <w:pPr>
        <w:spacing w:after="0" w:line="21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This proxy statement is furnished in connection with the solicitation by the Board of Directors of Cohu, Inc., a Delaware corporation (“Cohu”), of your proxy for use at the 2026 Annual Meeting of Stockholders to be held on Friday, May 15, 2026, at 1:00 p.m. Pacific Time (the “Meeting”). The Meeting will be a ‘‘virtual-only” meeting of stockholders. You will be able to attend the Meeting as well as vote and submit your questions during the live webcast of the Meeting by visiting </w:t>
      </w:r>
      <w:r>
        <w:rPr>
          <w:rFonts w:ascii="Arial" w:cs="Arial" w:eastAsia="Arial" w:hAnsi="Arial"/>
          <w:sz w:val="18"/>
          <w:szCs w:val="18"/>
          <w:u w:val="single" w:color="auto"/>
          <w:color w:val="2D53A6"/>
        </w:rPr>
        <w:t>http://www.virtualshareholdermeeting.com/COHU2025</w:t>
      </w:r>
      <w:r>
        <w:rPr>
          <w:rFonts w:ascii="Arial" w:cs="Arial" w:eastAsia="Arial" w:hAnsi="Arial"/>
          <w:sz w:val="18"/>
          <w:szCs w:val="18"/>
          <w:color w:val="auto"/>
        </w:rPr>
        <w:t xml:space="preserve"> and entering the 16-digit control number included in our notice of Internet availability of the proxy materials, on your proxy card or in the instructions that accompanied your proxy materials.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Electronic Distribution</w:t>
      </w:r>
    </w:p>
    <w:p>
      <w:pPr>
        <w:spacing w:after="0" w:line="20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furnishing our proxy materials to our stockholders over the internet using “Notice and Access” delivery. Electronic delivery is faster, convenient, economical and more environmentally friendly. On or about April [*], 2026, we expect to mail to our stockholders a Notice of Internet Availability of Proxy Materials containing instructions on how to access our proxy materials and the Cohu 2025 Annual Report via the Internet and how to vote your proxy. If you received the Notice of Internet Availability of Proxy Materials, you will not automatically receive a printed copy of Cohu’s proxy materials in the mail. If you would like to receive a printed copy, please follow the instructions provided in the Notice of Internet Availability of Proxy Materials.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Voting</w:t>
      </w:r>
    </w:p>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23, 2026, the record date fixed by our Board of Directors (the “Board”), Cohu had outstanding [*], shares of common stock. Only stockholders of record as of the close of business on March 23, 2026, will be entitled to vote at the Meeting and any adjournment thereof. We encourage you to read the entire Proxy Statement for more information prior to voting.</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Voting Procedures</w:t>
      </w:r>
    </w:p>
    <w:p>
      <w:pPr>
        <w:spacing w:after="0" w:line="20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 stockholder of Cohu, you have a right to vote on certain business matters affecting Cohu. This proxy statement relates only to the solicitation of proxies from the stockholders with respect to the election of the three (3) Class 1 directors nominated by the Board; an advisory vote on named executive officer compensation; approval an amendment to our Amended and Restated Certificate of Incorporation to increase the number of authorized shares of our common stock; approval of the Cohu, Inc. 2026 Equity Incentive Plan; approval of the Amended and Restated Cohu, Inc. 1997 Employee Stock Purchase Plan; and ratification of the appointment of Cohu’s independent registered public accounting firm. Each share of Cohu’s common stock you own entitles you to one vote for each proposal other than the election of directors. With respect to the election of directors, each share of Cohu’s common stock is entitled to cumulative voting rights, which means that when voting for director nominees each share is entitled to a number of votes equal to the number of nominees for election as directors. Accordingly, when voting for director nominees, all of the votes to which a share of Cohu common stock is entitled may be voted in favor of one nominee or may be distributed among the nominees. The proxy holders will have the discretionary authority to cumulate votes in the election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2D53A6"/>
        </w:rPr>
        <w:t>Methods of Voting</w:t>
      </w:r>
    </w:p>
    <w:p>
      <w:pPr>
        <w:spacing w:after="0" w:line="20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If you are a Cohu stockholder of record, you may vote by following the Internet voting instructions on your Notice of Internet Availability of Proxy Materials. 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spacing w:after="0" w:line="16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If you are a stockholder of record and return a signed proxy card but do not specify how you want to vote your shares, your shares will be voted FOR the named nominees for Class 1 director, FOR the advisory vote to approve named executive officer compensation, FOR the approval of the amendment to our Amended and Restated Certificate of Incorporation to increase the number of authorized shares of our common stock, FOR the approval of the Cohu, Inc. 2026 Equity Incentive Plan, FOR the approval of the Amended and Restated Cohu, Inc. 1997 Employee Stock Purchase Plan, and FOR the ratification of the appointment of Ernst &amp; Young LLP as Cohu’s independent registered public accounting firm for fiscal year 2026, and in the discretion of the proxies (as defined below) as to other matters that may properly come before the Meeting.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 from your broker, bank, trustee, or other nominee.</w:t>
      </w:r>
    </w:p>
    <w:p>
      <w:pPr>
        <w:spacing w:after="0" w:line="16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Voting over the Internet</w:t>
      </w:r>
      <w:r>
        <w:rPr>
          <w:rFonts w:ascii="Arial" w:cs="Arial" w:eastAsia="Arial" w:hAnsi="Arial"/>
          <w:sz w:val="18"/>
          <w:szCs w:val="18"/>
          <w:color w:val="auto"/>
        </w:rPr>
        <w:t>. If you are a stockholder of record, to vote over the Internet, please follow the instructions included on your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Internet Availability of Proxy Materials.</w:t>
      </w:r>
    </w:p>
    <w:p>
      <w:pPr>
        <w:spacing w:after="0" w:line="14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Voting by Mail</w:t>
      </w:r>
      <w:r>
        <w:rPr>
          <w:rFonts w:ascii="Arial" w:cs="Arial" w:eastAsia="Arial" w:hAnsi="Arial"/>
          <w:sz w:val="18"/>
          <w:szCs w:val="18"/>
          <w:color w:val="auto"/>
        </w:rPr>
        <w:t>. If you are a stockholder of record and have requested a paper copy of the proxy materials you may vote by mail by signing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in the prepaid and addressed envelope provided. If you do that, you are authorizing the individuals named on 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 Please sign and return all proxy cards to ensure that all of your shares are voted.</w:t>
      </w:r>
    </w:p>
    <w:p>
      <w:pPr>
        <w:spacing w:after="0" w:line="16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color w:val="auto"/>
        </w:rPr>
        <w:t>Voting by Telephone</w:t>
      </w:r>
      <w:r>
        <w:rPr>
          <w:rFonts w:ascii="Arial" w:cs="Arial" w:eastAsia="Arial" w:hAnsi="Arial"/>
          <w:sz w:val="18"/>
          <w:szCs w:val="18"/>
          <w:color w:val="auto"/>
        </w:rPr>
        <w:t>. If you have requested a paper copy of the proxy materials you may vote by telephone by following the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on your proxy card. If you vote by telephone, you do not need to complete and mail your proxy card.</w:t>
      </w:r>
    </w:p>
    <w:p>
      <w:pPr>
        <w:spacing w:after="0" w:line="14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color w:val="auto"/>
        </w:rPr>
        <w:t>Voting in Person at the Virtual Meeting</w:t>
      </w:r>
      <w:r>
        <w:rPr>
          <w:rFonts w:ascii="Arial" w:cs="Arial" w:eastAsia="Arial" w:hAnsi="Arial"/>
          <w:sz w:val="18"/>
          <w:szCs w:val="18"/>
          <w:color w:val="auto"/>
        </w:rPr>
        <w:t>. The Meeting will be held entirely online to allow for greater participation. Stockholders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participate in the Meeting by visiting the following website: </w:t>
      </w:r>
      <w:r>
        <w:rPr>
          <w:rFonts w:ascii="Arial" w:cs="Arial" w:eastAsia="Arial" w:hAnsi="Arial"/>
          <w:sz w:val="18"/>
          <w:szCs w:val="18"/>
          <w:u w:val="single" w:color="auto"/>
          <w:color w:val="2D53A6"/>
        </w:rPr>
        <w:t>http://www.virtualshareholdermeeting.com/COHU2026</w:t>
      </w:r>
      <w:r>
        <w:rPr>
          <w:rFonts w:ascii="Arial" w:cs="Arial" w:eastAsia="Arial" w:hAnsi="Arial"/>
          <w:sz w:val="18"/>
          <w:szCs w:val="18"/>
          <w:color w:val="auto"/>
        </w:rPr>
        <w:t>. To participate in the Meeting, you will need the 16-digit control number included on your Notice, on your proxy card or on the instructions that accompanied your proxy materials. Shares held in your name as the stockholder of record may be voted electronically during the Meeting. Shares for which you are the beneficial owner but not the stockholder of record also may be voted electronically during the Meeting; however, you may not vote beneficially held shares electronically at the Meeting unless you receive a valid proxy from your bank, brokerage firm, broker dealer or other nominee holder and those institutions will likely require your instructions to be submitted before the deadline listed above. Even if you plan to attend the Meeting, we recommend that you vote your shares in advance, so that your vote will be counted if you later decide not to attend the Meeting.</w:t>
      </w:r>
    </w:p>
    <w:p>
      <w:pPr>
        <w:spacing w:after="0" w:line="170"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color w:val="auto"/>
        </w:rPr>
        <w:t>Log in Instructions</w:t>
      </w:r>
      <w:r>
        <w:rPr>
          <w:rFonts w:ascii="Arial" w:cs="Arial" w:eastAsia="Arial" w:hAnsi="Arial"/>
          <w:sz w:val="18"/>
          <w:szCs w:val="18"/>
          <w:color w:val="auto"/>
        </w:rPr>
        <w:t>. To attend the Meeting, please log in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2D53A6"/>
        </w:rPr>
        <w:t>http://www.virtualshareholdermeeting.com/COHU2026</w:t>
      </w:r>
      <w:r>
        <w:rPr>
          <w:rFonts w:ascii="Arial" w:cs="Arial" w:eastAsia="Arial" w:hAnsi="Arial"/>
          <w:sz w:val="18"/>
          <w:szCs w:val="18"/>
          <w:color w:val="auto"/>
        </w:rPr>
        <w:t>. Stockholders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record date will need their unique 16-digit control number, which appears on the Notice and the instructions that accompanied the proxy materials, in order to be able to be able to submit a question or vote at the Meeting. If you are the beneficial owner of shares held in “street name” by a bank, broker or other holder of record, you may gain access to the Meeting by following the instructions in the voting instruction card provided by your bank, broker or other nominee.</w:t>
      </w:r>
    </w:p>
    <w:p>
      <w:pPr>
        <w:spacing w:after="0" w:line="16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auto"/>
        </w:rPr>
        <w:t>Submitting Questions Prior To or at the Meeting</w:t>
      </w:r>
      <w:r>
        <w:rPr>
          <w:rFonts w:ascii="Arial" w:cs="Arial" w:eastAsia="Arial" w:hAnsi="Arial"/>
          <w:sz w:val="18"/>
          <w:szCs w:val="18"/>
          <w:color w:val="auto"/>
        </w:rPr>
        <w:t>. If you would like to submit a question to be addressed during the question and answer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portion of the Meeting, you may do so in advance at </w:t>
      </w:r>
      <w:r>
        <w:rPr>
          <w:rFonts w:ascii="Arial" w:cs="Arial" w:eastAsia="Arial" w:hAnsi="Arial"/>
          <w:sz w:val="18"/>
          <w:szCs w:val="18"/>
          <w:u w:val="single" w:color="auto"/>
          <w:color w:val="2D53A6"/>
        </w:rPr>
        <w:t>http://www.virtualshareholdermeeting.com/COHU2026</w:t>
      </w:r>
      <w:r>
        <w:rPr>
          <w:rFonts w:ascii="Arial" w:cs="Arial" w:eastAsia="Arial" w:hAnsi="Arial"/>
          <w:sz w:val="18"/>
          <w:szCs w:val="18"/>
          <w:color w:val="auto"/>
        </w:rPr>
        <w:t xml:space="preserve"> or you may type it into the dialog box provided at any point during the Meeting (until the floor is closed to questions). We intend to answer questions submitted prior to or during the Meeting that are pertinent to the Cohu and the Meeting matters, as time permits. Questions and answers will be grouped by topic and substantially similar questions will be grouped and answered once.</w:t>
      </w:r>
    </w:p>
    <w:p>
      <w:pPr>
        <w:spacing w:after="0" w:line="16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Technical Assistance</w:t>
      </w:r>
      <w:r>
        <w:rPr>
          <w:rFonts w:ascii="Arial" w:cs="Arial" w:eastAsia="Arial" w:hAnsi="Arial"/>
          <w:sz w:val="18"/>
          <w:szCs w:val="18"/>
          <w:color w:val="auto"/>
        </w:rPr>
        <w:t>. Beginning approximately thirty minutes prior to the start of and during the Meeting, we will have a support team ready</w:t>
      </w:r>
      <w:r>
        <w:rPr>
          <w:rFonts w:ascii="Arial" w:cs="Arial" w:eastAsia="Arial" w:hAnsi="Arial"/>
          <w:sz w:val="18"/>
          <w:szCs w:val="18"/>
          <w:b w:val="1"/>
          <w:bCs w:val="1"/>
          <w:color w:val="auto"/>
        </w:rPr>
        <w:t xml:space="preserve"> </w:t>
      </w:r>
      <w:r>
        <w:rPr>
          <w:rFonts w:ascii="Arial" w:cs="Arial" w:eastAsia="Arial" w:hAnsi="Arial"/>
          <w:sz w:val="18"/>
          <w:szCs w:val="18"/>
          <w:color w:val="auto"/>
        </w:rPr>
        <w:t>to assist stockholders with any technical difficulties they may have accessing or hearing the Meeting. If you encounter any difficulties accessing the Meeting during the check-in or during the Meeting, please call the technical support number that will be posted on the Meeting website log-in page.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Revoking Your Proxy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is voted at the Meeting. In order to do this as a stockholder of record, you must:</w:t>
      </w:r>
    </w:p>
    <w:p>
      <w:pPr>
        <w:spacing w:after="0" w:line="198"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a new vote over the Internet, by telephone or by signing and returning another proxy card bearing a later date;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written notice of the revocation to Cohu’s Secretary;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If you are the beneficial owner of your shares (shares registered in the name of a broker, bank or other nominee), you must contact the broker, bank or other nominee holding your shares and follow their instructions to change your vote or revoke your proxy.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Quorum Requirement</w:t>
      </w:r>
    </w:p>
    <w:p>
      <w:pPr>
        <w:spacing w:after="0" w:line="20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A quorum, which is a majority of the outstanding shares entitled to vote as of the record date, March 23, 2026, must be present in person or represented by proxy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 votes (as described below) will be counted as present for the purpose of determining a quorum.</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Votes Required for the Proposals</w:t>
      </w:r>
    </w:p>
    <w:p>
      <w:pPr>
        <w:spacing w:after="0" w:line="20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For Proposal No. 1, Cohu utilizes a majority voting standard in uncontested elections of directors. In an uncontested election, a director nominee must receive a majority of the votes cast for such nominee’s election (meaning the number of shares voted “For” a nominee must exceed the number of shares voted “Against” such nominee) in order to be elected. If the number of shares voted “Against” a director exceeds the number of shares voted “For” such director in any election, then the director nominee(s) would be requested to submit a letter of resignation and the Board would decide, through a process managed by the Nominating and Governance Committee, whether to accept the resignation. A contested election will generally include any situation in which Cohu receives a notice that a stockholder has nominated a person for election to the Board at a meeting of stockholders. A plurality voting standard will apply in contested director elections.</w:t>
      </w:r>
    </w:p>
    <w:p>
      <w:pPr>
        <w:spacing w:after="0" w:line="17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affirmative vote of a majority of the shares of Cohu common stock cast at the Meeting is required for approval of the advisory vote on named executive compensation (Proposal No. 2) approval of the Cohu, Inc. 2026 Equity Incentive Plan (Proposal No. 4), approval of the Amended and Restated Cohu, Inc. 1997 Employee Stock Purchase Plan (Proposal No. 5)and the ratification of the appointment of Cohu’s independent registered public accounting firm (Proposal No. 6). The affirmative vote of a majority of the issued and outstanding shares of the company’s common stock as of the record date is required to approve an amendment to our Amended and Restated Certificate of Incorporation to increase the number of authorized shares of our common stock (Proposal No. 3).</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Broker Non-Votes</w:t>
      </w:r>
    </w:p>
    <w:p>
      <w:pPr>
        <w:spacing w:after="0" w:line="20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“routine” matters. Only Proposal No. 3 the approval of an amendment to our Amended and Restated Certificate of Incorporation to increase the number of authorized shares of our common stock) and Proposal No. 6 (the ratification of the appointment of Cohu’s independent registered public accounting firm) is considered “routine.” As such, we do not expect any broker non-votes on Proposal Nos. 3 and 6. Your broker will not have discretion to vote on any of the other matters, which are deemed “non-routine” matters, absent direction from you. Accordingly, shares subject to a broker “non-vote” will not be considered entitled to vote with respect to Proposal Nos. 1, 2, 4 and 5 and will not affect the outcome of these proposals. We strongly encourage you to provide instructions to your broker regarding the voting of your shares.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2D53A6"/>
        </w:rPr>
        <w:t>Abstentions</w:t>
      </w:r>
    </w:p>
    <w:p>
      <w:pPr>
        <w:spacing w:after="0" w:line="20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Abstentions are counted as present and entitled to vote for purposes of determining a quorum. However, abstentions are not deemed to be votes cast and, therefore, with respect to Proposal Nos, 1, 2, 4, 5 and 6, abstentions will have no effect on the outcome of voting on the proposals to be voted upon at the Meeting. [Abstentions will have the effect of a vote “Against” Proposal No. 3.]</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Voting Confidentiality</w:t>
      </w:r>
    </w:p>
    <w:p>
      <w:pPr>
        <w:spacing w:after="0" w:line="20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Proxies, ballots and voting tabulations are handled on a confidential basis to protect your voting privacy. Such information will not be disclosed except as required by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Voting Results</w:t>
      </w:r>
    </w:p>
    <w:p>
      <w:pPr>
        <w:spacing w:after="0" w:line="200"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 xml:space="preserve">Final voting results will be announced at the Meeting and will be posted shortly after the Meeting on our website at </w:t>
      </w:r>
      <w:r>
        <w:rPr>
          <w:rFonts w:ascii="Arial" w:cs="Arial" w:eastAsia="Arial" w:hAnsi="Arial"/>
          <w:sz w:val="18"/>
          <w:szCs w:val="18"/>
          <w:u w:val="single" w:color="auto"/>
          <w:color w:val="2D53A6"/>
        </w:rPr>
        <w:t>www.cohu.com</w:t>
      </w:r>
      <w:r>
        <w:rPr>
          <w:rFonts w:ascii="Arial" w:cs="Arial" w:eastAsia="Arial" w:hAnsi="Arial"/>
          <w:sz w:val="18"/>
          <w:szCs w:val="18"/>
          <w:color w:val="auto"/>
        </w:rPr>
        <w:t>. Voting results will also be published in a Current Report on Form 8-K to be filed with the Securities and Exchange Commission (“SEC”) within four business days of the Meeting. After the reports are filed, you may obtain a copy by:</w:t>
      </w:r>
    </w:p>
    <w:p>
      <w:pPr>
        <w:spacing w:after="0" w:line="15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Visiting our website at </w:t>
      </w:r>
      <w:r>
        <w:rPr>
          <w:rFonts w:ascii="Arial" w:cs="Arial" w:eastAsia="Arial" w:hAnsi="Arial"/>
          <w:sz w:val="18"/>
          <w:szCs w:val="18"/>
          <w:u w:val="single" w:color="auto"/>
          <w:color w:val="2D53A6"/>
        </w:rPr>
        <w:t>www.cohu.com</w:t>
      </w:r>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Contacting our Investor Relations department at (858) 848-8106; or</w:t>
      </w: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Viewing our Form 8-K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2D53A6"/>
        </w:rPr>
        <w:t>Proxy Solicitation Costs</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may engage, as necessary, an outside solicitor in connection with this proxy solicitation. We will reimburse brokerage firms and other custodians for their reasonable out-of-pocket expenses for forwarding the proxy materials to you.</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Householding</w:t>
      </w:r>
    </w:p>
    <w:p>
      <w:pPr>
        <w:spacing w:after="0" w:line="200"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Under “householding,” stockholders of record who have the same address and last name will receive only one copy of the Notice of Internet Availability of Proxy Materials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spacing w:after="0" w:line="16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If you are eligible for householding but you and other stockholders of record with whom you share an address received multiple copies of the Notice of Internet Availability of Proxy Materials, or if you hold stock in more than one account, and, in either case, you wish to receive only a single copy of the Notice for your household, please contact: Corporate Secretary, Cohu, Inc., 17087 Via Del Campo San Diego, CA 92127-1711 or by telephone at 858-848-8119. If you participate in householding and wish to receive a separate copy of the Notice of Internet Availability of Proxy Materials, or if you do not wish to continue to participate in householding and prefer to receive separate copies in the future, please contact Cohu’s Corporate Secretary as indicated above. Upon request, we will promptly deliver a separate copy of the Notice of Internet Availability of Proxy Materials and, if applicable, the proxy materials to any stockholder at a shared address to which we delivered a single copy of any of these documents. Beneficial owners can request information about householding from their broker, banks, trustee, or other nominee.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88" w:lineRule="exact"/>
        <w:rPr>
          <w:sz w:val="20"/>
          <w:szCs w:val="20"/>
          <w:color w:val="auto"/>
        </w:rPr>
      </w:pPr>
    </w:p>
    <w:p>
      <w:pPr>
        <w:jc w:val="center"/>
        <w:ind w:left="360" w:right="220"/>
        <w:spacing w:after="0" w:line="272" w:lineRule="auto"/>
        <w:rPr>
          <w:sz w:val="20"/>
          <w:szCs w:val="20"/>
          <w:color w:val="auto"/>
        </w:rPr>
      </w:pPr>
      <w:r>
        <w:rPr>
          <w:rFonts w:ascii="Arial" w:cs="Arial" w:eastAsia="Arial" w:hAnsi="Arial"/>
          <w:sz w:val="22"/>
          <w:szCs w:val="22"/>
          <w:b w:val="1"/>
          <w:bCs w:val="1"/>
          <w:color w:val="auto"/>
        </w:rPr>
        <w:t>IMPORTANT NOTICE REGARDING THE AVAILABILITY OF PROXY MATERIALS FOR THE STOCKHOLDER MEETING TO BE HELD ON MAY 15, 2026</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This proxy statement and Cohu</w:t>
      </w:r>
      <w:r>
        <w:rPr>
          <w:rFonts w:ascii="Arial" w:cs="Arial" w:eastAsia="Arial" w:hAnsi="Arial"/>
          <w:sz w:val="22"/>
          <w:szCs w:val="22"/>
          <w:color w:val="auto"/>
        </w:rPr>
        <w:t>’</w:t>
      </w:r>
      <w:r>
        <w:rPr>
          <w:rFonts w:ascii="Arial" w:cs="Arial" w:eastAsia="Arial" w:hAnsi="Arial"/>
          <w:sz w:val="22"/>
          <w:szCs w:val="22"/>
          <w:b w:val="1"/>
          <w:bCs w:val="1"/>
          <w:color w:val="auto"/>
        </w:rPr>
        <w:t>s Fiscal Year 2025 Annual Report are both</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available at </w:t>
      </w:r>
      <w:r>
        <w:rPr>
          <w:rFonts w:ascii="Arial" w:cs="Arial" w:eastAsia="Arial" w:hAnsi="Arial"/>
          <w:sz w:val="22"/>
          <w:szCs w:val="22"/>
          <w:b w:val="1"/>
          <w:bCs w:val="1"/>
          <w:u w:val="single" w:color="auto"/>
          <w:color w:val="2D53A6"/>
        </w:rPr>
        <w:t>http://materials.proxyvote.com/192576</w:t>
      </w:r>
      <w:r>
        <w:rPr>
          <w:rFonts w:ascii="Arial" w:cs="Arial" w:eastAsia="Arial" w:hAnsi="Arial"/>
          <w:sz w:val="22"/>
          <w:szCs w:val="22"/>
          <w:b w:val="1"/>
          <w:bCs w:val="1"/>
          <w:color w:val="auto"/>
        </w:rPr>
        <w:t xml:space="preserve"> and </w:t>
      </w:r>
      <w:r>
        <w:rPr>
          <w:rFonts w:ascii="Arial" w:cs="Arial" w:eastAsia="Arial" w:hAnsi="Arial"/>
          <w:sz w:val="22"/>
          <w:szCs w:val="22"/>
          <w:b w:val="1"/>
          <w:bCs w:val="1"/>
          <w:u w:val="single" w:color="auto"/>
          <w:color w:val="2D53A6"/>
        </w:rPr>
        <w:t>www.cohu.com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771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53" w:lineRule="exact"/>
        <w:rPr>
          <w:sz w:val="20"/>
          <w:szCs w:val="20"/>
          <w:color w:val="auto"/>
        </w:rPr>
      </w:pPr>
    </w:p>
    <w:p>
      <w:pPr>
        <w:ind w:left="420"/>
        <w:spacing w:after="0"/>
        <w:rPr>
          <w:sz w:val="20"/>
          <w:szCs w:val="20"/>
          <w:color w:val="auto"/>
        </w:rPr>
      </w:pPr>
      <w:r>
        <w:rPr>
          <w:rFonts w:ascii="Arial" w:cs="Arial" w:eastAsia="Arial" w:hAnsi="Arial"/>
          <w:sz w:val="36"/>
          <w:szCs w:val="36"/>
          <w:b w:val="1"/>
          <w:bCs w:val="1"/>
          <w:color w:val="FFFFFF"/>
        </w:rPr>
        <w:t>Appendices</w:t>
      </w: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Appendix A</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2D53A6"/>
        </w:rPr>
        <w:t>Non-GAAP Financial Measures</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This Proxy Statement includes references to non-GAAP Net loss, EPS, Gross Profit and Pre-tax loss. These financial measures differ from such figures prepared under generally accepted accounting principles (GAAP) by adjusting Cohu’s actual results prepared under GAAP to exclude charges and the related income tax effect for: share-based compensation, the amortization of purchased intangible assets, restructuring costs, manufacturing transition and severance costs, impairments, acquisition and financing-related costs, duplicated facility costs, adjustment to contingent consideration, adjustments to indemnification receivable, and pension curtailment adjustments. Reconciliations of GAAP to non-GAAP amounts for the periods presented herein are provided below and should be considered together with the Consolidated Statements of Operations. Human Resources and the Compensation Committee utilized these non-GAAP measure in evaluating compensation decisions in 2025 to benchmark compensation decisions based on measures utilized by management and the Board in evaluating Cohu’s performance.</w:t>
      </w:r>
    </w:p>
    <w:p>
      <w:pPr>
        <w:spacing w:after="0" w:line="17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These non-GAAP measures are not meant as a substitute for GAAP but are included for informational and comparative purposes. Cohu’s management believes that this information can assist investors in evaluating Cohu’s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60" w:type="dxa"/>
            <w:vAlign w:val="bottom"/>
          </w:tcPr>
          <w:p>
            <w:pPr>
              <w:spacing w:after="0"/>
              <w:rPr>
                <w:sz w:val="20"/>
                <w:szCs w:val="20"/>
                <w:color w:val="auto"/>
              </w:rPr>
            </w:pPr>
            <w:r>
              <w:rPr>
                <w:rFonts w:ascii="Arial" w:cs="Arial" w:eastAsia="Arial" w:hAnsi="Arial"/>
                <w:sz w:val="18"/>
                <w:szCs w:val="18"/>
                <w:color w:val="auto"/>
              </w:rPr>
              <w:t>A reconciliation of these non-GAAP measures to GAAP is as follows:</w:t>
            </w: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660" w:type="dxa"/>
            <w:vAlign w:val="bottom"/>
            <w:tcBorders>
              <w:right w:val="single" w:sz="8" w:color="2D53A6"/>
            </w:tcBorders>
            <w:shd w:val="clear" w:color="auto" w:fill="2D53A6"/>
          </w:tcPr>
          <w:p>
            <w:pPr>
              <w:spacing w:after="0"/>
              <w:rPr>
                <w:sz w:val="17"/>
                <w:szCs w:val="17"/>
                <w:color w:val="auto"/>
              </w:rPr>
            </w:pPr>
          </w:p>
        </w:tc>
        <w:tc>
          <w:tcPr>
            <w:tcW w:w="1800" w:type="dxa"/>
            <w:vAlign w:val="bottom"/>
            <w:tcBorders>
              <w:right w:val="single" w:sz="8" w:color="2D53A6"/>
            </w:tcBorders>
            <w:gridSpan w:val="3"/>
            <w:shd w:val="clear" w:color="auto" w:fill="2D53A6"/>
          </w:tcPr>
          <w:p>
            <w:pPr>
              <w:jc w:val="center"/>
              <w:spacing w:after="0" w:line="201" w:lineRule="exact"/>
              <w:rPr>
                <w:sz w:val="20"/>
                <w:szCs w:val="20"/>
                <w:color w:val="auto"/>
              </w:rPr>
            </w:pPr>
            <w:r>
              <w:rPr>
                <w:rFonts w:ascii="Arial" w:cs="Arial" w:eastAsia="Arial" w:hAnsi="Arial"/>
                <w:sz w:val="18"/>
                <w:szCs w:val="18"/>
                <w:b w:val="1"/>
                <w:bCs w:val="1"/>
                <w:color w:val="FFFFFF"/>
                <w:w w:val="99"/>
              </w:rPr>
              <w:t>Twelve Months</w:t>
            </w:r>
          </w:p>
        </w:tc>
        <w:tc>
          <w:tcPr>
            <w:tcW w:w="1120" w:type="dxa"/>
            <w:vAlign w:val="bottom"/>
            <w:shd w:val="clear" w:color="auto" w:fill="2D53A6"/>
          </w:tcPr>
          <w:p>
            <w:pPr>
              <w:spacing w:after="0"/>
              <w:rPr>
                <w:sz w:val="17"/>
                <w:szCs w:val="17"/>
                <w:color w:val="auto"/>
              </w:rPr>
            </w:pPr>
          </w:p>
        </w:tc>
        <w:tc>
          <w:tcPr>
            <w:tcW w:w="40" w:type="dxa"/>
            <w:vAlign w:val="bottom"/>
            <w:shd w:val="clear" w:color="auto" w:fill="2D53A6"/>
          </w:tcPr>
          <w:p>
            <w:pPr>
              <w:spacing w:after="0"/>
              <w:rPr>
                <w:sz w:val="17"/>
                <w:szCs w:val="17"/>
                <w:color w:val="auto"/>
              </w:rPr>
            </w:pPr>
          </w:p>
        </w:tc>
        <w:tc>
          <w:tcPr>
            <w:tcW w:w="520" w:type="dxa"/>
            <w:vAlign w:val="bottom"/>
            <w:shd w:val="clear" w:color="auto" w:fill="2D53A6"/>
          </w:tcPr>
          <w:p>
            <w:pPr>
              <w:spacing w:after="0"/>
              <w:rPr>
                <w:sz w:val="17"/>
                <w:szCs w:val="17"/>
                <w:color w:val="auto"/>
              </w:rPr>
            </w:pPr>
          </w:p>
        </w:tc>
        <w:tc>
          <w:tcPr>
            <w:tcW w:w="60" w:type="dxa"/>
            <w:vAlign w:val="bottom"/>
            <w:shd w:val="clear" w:color="auto" w:fill="2D53A6"/>
          </w:tcPr>
          <w:p>
            <w:pPr>
              <w:spacing w:after="0"/>
              <w:rPr>
                <w:sz w:val="17"/>
                <w:szCs w:val="17"/>
                <w:color w:val="auto"/>
              </w:rPr>
            </w:pPr>
          </w:p>
        </w:tc>
        <w:tc>
          <w:tcPr>
            <w:tcW w:w="40" w:type="dxa"/>
            <w:vAlign w:val="bottom"/>
            <w:shd w:val="clear" w:color="auto" w:fill="2D53A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vMerge w:val="restart"/>
            <w:shd w:val="clear" w:color="auto" w:fill="2D53A6"/>
          </w:tcPr>
          <w:p>
            <w:pPr>
              <w:ind w:left="20"/>
              <w:spacing w:after="0"/>
              <w:rPr>
                <w:sz w:val="20"/>
                <w:szCs w:val="20"/>
                <w:color w:val="auto"/>
              </w:rPr>
            </w:pPr>
            <w:r>
              <w:rPr>
                <w:rFonts w:ascii="Arial" w:cs="Arial" w:eastAsia="Arial" w:hAnsi="Arial"/>
                <w:sz w:val="18"/>
                <w:szCs w:val="18"/>
                <w:b w:val="1"/>
                <w:bCs w:val="1"/>
                <w:color w:val="FFFFFF"/>
              </w:rPr>
              <w:t>Net loss reconciliation (</w:t>
            </w:r>
            <w:r>
              <w:rPr>
                <w:rFonts w:ascii="Arial" w:cs="Arial" w:eastAsia="Arial" w:hAnsi="Arial"/>
                <w:sz w:val="18"/>
                <w:szCs w:val="18"/>
                <w:b w:val="1"/>
                <w:bCs w:val="1"/>
                <w:i w:val="1"/>
                <w:iCs w:val="1"/>
                <w:color w:val="FFFFFF"/>
              </w:rPr>
              <w:t>in thousands</w:t>
            </w:r>
            <w:r>
              <w:rPr>
                <w:rFonts w:ascii="Arial" w:cs="Arial" w:eastAsia="Arial" w:hAnsi="Arial"/>
                <w:sz w:val="18"/>
                <w:szCs w:val="18"/>
                <w:b w:val="1"/>
                <w:bCs w:val="1"/>
                <w:color w:val="FFFFFF"/>
              </w:rPr>
              <w:t>)</w:t>
            </w:r>
          </w:p>
        </w:tc>
        <w:tc>
          <w:tcPr>
            <w:tcW w:w="1800" w:type="dxa"/>
            <w:vAlign w:val="bottom"/>
            <w:tcBorders>
              <w:right w:val="single" w:sz="8" w:color="2D53A6"/>
            </w:tcBorders>
            <w:gridSpan w:val="3"/>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Ended</w:t>
            </w:r>
          </w:p>
        </w:tc>
        <w:tc>
          <w:tcPr>
            <w:tcW w:w="1780" w:type="dxa"/>
            <w:vAlign w:val="bottom"/>
            <w:gridSpan w:val="5"/>
            <w:vMerge w:val="restart"/>
            <w:shd w:val="clear" w:color="auto" w:fill="2D53A6"/>
          </w:tcPr>
          <w:p>
            <w:pPr>
              <w:ind w:left="380"/>
              <w:spacing w:after="0"/>
              <w:rPr>
                <w:sz w:val="20"/>
                <w:szCs w:val="20"/>
                <w:color w:val="auto"/>
              </w:rPr>
            </w:pPr>
            <w:r>
              <w:rPr>
                <w:rFonts w:ascii="Arial" w:cs="Arial" w:eastAsia="Arial" w:hAnsi="Arial"/>
                <w:sz w:val="18"/>
                <w:szCs w:val="18"/>
                <w:b w:val="1"/>
                <w:bCs w:val="1"/>
                <w:color w:val="FFFFFF"/>
              </w:rPr>
              <w:t>Diluted EPS</w:t>
            </w:r>
          </w:p>
        </w:tc>
        <w:tc>
          <w:tcPr>
            <w:tcW w:w="0" w:type="dxa"/>
            <w:vAlign w:val="bottom"/>
          </w:tcPr>
          <w:p>
            <w:pPr>
              <w:spacing w:after="0"/>
              <w:rPr>
                <w:sz w:val="1"/>
                <w:szCs w:val="1"/>
                <w:color w:val="auto"/>
              </w:rPr>
            </w:pPr>
          </w:p>
        </w:tc>
      </w:tr>
      <w:tr>
        <w:trPr>
          <w:trHeight w:val="139"/>
        </w:trPr>
        <w:tc>
          <w:tcPr>
            <w:tcW w:w="7660" w:type="dxa"/>
            <w:vAlign w:val="bottom"/>
            <w:tcBorders>
              <w:right w:val="single" w:sz="8" w:color="2D53A6"/>
            </w:tcBorders>
            <w:vMerge w:val="continue"/>
            <w:shd w:val="clear" w:color="auto" w:fill="2D53A6"/>
          </w:tcPr>
          <w:p>
            <w:pPr>
              <w:spacing w:after="0"/>
              <w:rPr>
                <w:sz w:val="12"/>
                <w:szCs w:val="12"/>
                <w:color w:val="auto"/>
              </w:rPr>
            </w:pPr>
          </w:p>
        </w:tc>
        <w:tc>
          <w:tcPr>
            <w:tcW w:w="1800" w:type="dxa"/>
            <w:vAlign w:val="bottom"/>
            <w:tcBorders>
              <w:right w:val="single" w:sz="8" w:color="2D53A6"/>
            </w:tcBorders>
            <w:gridSpan w:val="3"/>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December 27,</w:t>
            </w:r>
          </w:p>
        </w:tc>
        <w:tc>
          <w:tcPr>
            <w:tcW w:w="1780" w:type="dxa"/>
            <w:vAlign w:val="bottom"/>
            <w:gridSpan w:val="5"/>
            <w:vMerge w:val="continue"/>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7660" w:type="dxa"/>
            <w:vAlign w:val="bottom"/>
            <w:tcBorders>
              <w:right w:val="single" w:sz="8" w:color="2D53A6"/>
            </w:tcBorders>
            <w:shd w:val="clear" w:color="auto" w:fill="2D53A6"/>
          </w:tcPr>
          <w:p>
            <w:pPr>
              <w:spacing w:after="0"/>
              <w:rPr>
                <w:sz w:val="5"/>
                <w:szCs w:val="5"/>
                <w:color w:val="auto"/>
              </w:rPr>
            </w:pPr>
          </w:p>
        </w:tc>
        <w:tc>
          <w:tcPr>
            <w:tcW w:w="1800" w:type="dxa"/>
            <w:vAlign w:val="bottom"/>
            <w:tcBorders>
              <w:right w:val="single" w:sz="8" w:color="2D53A6"/>
            </w:tcBorders>
            <w:gridSpan w:val="3"/>
            <w:vMerge w:val="continue"/>
            <w:shd w:val="clear" w:color="auto" w:fill="2D53A6"/>
          </w:tcPr>
          <w:p>
            <w:pPr>
              <w:spacing w:after="0"/>
              <w:rPr>
                <w:sz w:val="5"/>
                <w:szCs w:val="5"/>
                <w:color w:val="auto"/>
              </w:rPr>
            </w:pPr>
          </w:p>
        </w:tc>
        <w:tc>
          <w:tcPr>
            <w:tcW w:w="1120" w:type="dxa"/>
            <w:vAlign w:val="bottom"/>
            <w:shd w:val="clear" w:color="auto" w:fill="2D53A6"/>
          </w:tcPr>
          <w:p>
            <w:pPr>
              <w:spacing w:after="0"/>
              <w:rPr>
                <w:sz w:val="5"/>
                <w:szCs w:val="5"/>
                <w:color w:val="auto"/>
              </w:rPr>
            </w:pPr>
          </w:p>
        </w:tc>
        <w:tc>
          <w:tcPr>
            <w:tcW w:w="40" w:type="dxa"/>
            <w:vAlign w:val="bottom"/>
            <w:shd w:val="clear" w:color="auto" w:fill="2D53A6"/>
          </w:tcPr>
          <w:p>
            <w:pPr>
              <w:spacing w:after="0"/>
              <w:rPr>
                <w:sz w:val="5"/>
                <w:szCs w:val="5"/>
                <w:color w:val="auto"/>
              </w:rPr>
            </w:pPr>
          </w:p>
        </w:tc>
        <w:tc>
          <w:tcPr>
            <w:tcW w:w="520" w:type="dxa"/>
            <w:vAlign w:val="bottom"/>
            <w:shd w:val="clear" w:color="auto" w:fill="2D53A6"/>
          </w:tcPr>
          <w:p>
            <w:pPr>
              <w:spacing w:after="0"/>
              <w:rPr>
                <w:sz w:val="5"/>
                <w:szCs w:val="5"/>
                <w:color w:val="auto"/>
              </w:rPr>
            </w:pPr>
          </w:p>
        </w:tc>
        <w:tc>
          <w:tcPr>
            <w:tcW w:w="60" w:type="dxa"/>
            <w:vAlign w:val="bottom"/>
            <w:shd w:val="clear" w:color="auto" w:fill="2D53A6"/>
          </w:tcPr>
          <w:p>
            <w:pPr>
              <w:spacing w:after="0"/>
              <w:rPr>
                <w:sz w:val="5"/>
                <w:szCs w:val="5"/>
                <w:color w:val="auto"/>
              </w:rPr>
            </w:pPr>
          </w:p>
        </w:tc>
        <w:tc>
          <w:tcPr>
            <w:tcW w:w="40" w:type="dxa"/>
            <w:vAlign w:val="bottom"/>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7660" w:type="dxa"/>
            <w:vAlign w:val="bottom"/>
            <w:tcBorders>
              <w:bottom w:val="single" w:sz="8" w:color="2D53A6"/>
              <w:right w:val="single" w:sz="8" w:color="2D53A6"/>
            </w:tcBorders>
            <w:shd w:val="clear" w:color="auto" w:fill="2D53A6"/>
          </w:tcPr>
          <w:p>
            <w:pPr>
              <w:spacing w:after="0"/>
              <w:rPr>
                <w:sz w:val="20"/>
                <w:szCs w:val="20"/>
                <w:color w:val="auto"/>
              </w:rPr>
            </w:pPr>
          </w:p>
        </w:tc>
        <w:tc>
          <w:tcPr>
            <w:tcW w:w="1740" w:type="dxa"/>
            <w:vAlign w:val="bottom"/>
            <w:gridSpan w:val="2"/>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2025</w:t>
            </w:r>
          </w:p>
        </w:tc>
        <w:tc>
          <w:tcPr>
            <w:tcW w:w="60" w:type="dxa"/>
            <w:vAlign w:val="bottom"/>
            <w:tcBorders>
              <w:right w:val="single" w:sz="8" w:color="2D53A6"/>
            </w:tcBorders>
            <w:shd w:val="clear" w:color="auto" w:fill="2D53A6"/>
          </w:tcPr>
          <w:p>
            <w:pPr>
              <w:spacing w:after="0"/>
              <w:rPr>
                <w:sz w:val="20"/>
                <w:szCs w:val="20"/>
                <w:color w:val="auto"/>
              </w:rPr>
            </w:pPr>
          </w:p>
        </w:tc>
        <w:tc>
          <w:tcPr>
            <w:tcW w:w="1120" w:type="dxa"/>
            <w:vAlign w:val="bottom"/>
            <w:shd w:val="clear" w:color="auto" w:fill="2D53A6"/>
          </w:tcPr>
          <w:p>
            <w:pPr>
              <w:spacing w:after="0"/>
              <w:rPr>
                <w:sz w:val="20"/>
                <w:szCs w:val="20"/>
                <w:color w:val="auto"/>
              </w:rPr>
            </w:pPr>
          </w:p>
        </w:tc>
        <w:tc>
          <w:tcPr>
            <w:tcW w:w="40" w:type="dxa"/>
            <w:vAlign w:val="bottom"/>
            <w:shd w:val="clear" w:color="auto" w:fill="2D53A6"/>
          </w:tcPr>
          <w:p>
            <w:pPr>
              <w:spacing w:after="0"/>
              <w:rPr>
                <w:sz w:val="20"/>
                <w:szCs w:val="20"/>
                <w:color w:val="auto"/>
              </w:rPr>
            </w:pPr>
          </w:p>
        </w:tc>
        <w:tc>
          <w:tcPr>
            <w:tcW w:w="520" w:type="dxa"/>
            <w:vAlign w:val="bottom"/>
            <w:shd w:val="clear" w:color="auto" w:fill="2D53A6"/>
          </w:tcPr>
          <w:p>
            <w:pPr>
              <w:spacing w:after="0"/>
              <w:rPr>
                <w:sz w:val="20"/>
                <w:szCs w:val="20"/>
                <w:color w:val="auto"/>
              </w:rPr>
            </w:pPr>
          </w:p>
        </w:tc>
        <w:tc>
          <w:tcPr>
            <w:tcW w:w="60" w:type="dxa"/>
            <w:vAlign w:val="bottom"/>
            <w:shd w:val="clear" w:color="auto" w:fill="2D53A6"/>
          </w:tcPr>
          <w:p>
            <w:pPr>
              <w:spacing w:after="0"/>
              <w:rPr>
                <w:sz w:val="20"/>
                <w:szCs w:val="20"/>
                <w:color w:val="auto"/>
              </w:rPr>
            </w:pPr>
          </w:p>
        </w:tc>
        <w:tc>
          <w:tcPr>
            <w:tcW w:w="40" w:type="dxa"/>
            <w:vAlign w:val="bottom"/>
            <w:shd w:val="clear" w:color="auto" w:fill="2D53A6"/>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7660" w:type="dxa"/>
            <w:vAlign w:val="bottom"/>
            <w:tcBorders>
              <w:right w:val="single" w:sz="8" w:color="2D53A6"/>
            </w:tcBorders>
          </w:tcPr>
          <w:p>
            <w:pPr>
              <w:spacing w:after="0" w:line="163" w:lineRule="exact"/>
              <w:rPr>
                <w:sz w:val="20"/>
                <w:szCs w:val="20"/>
                <w:color w:val="auto"/>
              </w:rPr>
            </w:pPr>
            <w:r>
              <w:rPr>
                <w:rFonts w:ascii="Arial" w:cs="Arial" w:eastAsia="Arial" w:hAnsi="Arial"/>
                <w:sz w:val="18"/>
                <w:szCs w:val="18"/>
                <w:color w:val="auto"/>
              </w:rPr>
              <w:t>Net loss - GAAP basis</w:t>
            </w:r>
          </w:p>
        </w:tc>
        <w:tc>
          <w:tcPr>
            <w:tcW w:w="1800" w:type="dxa"/>
            <w:vAlign w:val="bottom"/>
            <w:tcBorders>
              <w:right w:val="single" w:sz="8" w:color="2D53A6"/>
            </w:tcBorders>
            <w:gridSpan w:val="3"/>
          </w:tcPr>
          <w:p>
            <w:pPr>
              <w:jc w:val="right"/>
              <w:ind w:right="40"/>
              <w:spacing w:after="0" w:line="163" w:lineRule="exact"/>
              <w:rPr>
                <w:sz w:val="20"/>
                <w:szCs w:val="20"/>
                <w:color w:val="auto"/>
              </w:rPr>
            </w:pPr>
            <w:r>
              <w:rPr>
                <w:rFonts w:ascii="Arial" w:cs="Arial" w:eastAsia="Arial" w:hAnsi="Arial"/>
                <w:sz w:val="18"/>
                <w:szCs w:val="18"/>
                <w:color w:val="auto"/>
              </w:rPr>
              <w:t>$(74,273)</w:t>
            </w:r>
          </w:p>
        </w:tc>
        <w:tc>
          <w:tcPr>
            <w:tcW w:w="1780" w:type="dxa"/>
            <w:vAlign w:val="bottom"/>
            <w:gridSpan w:val="5"/>
          </w:tcPr>
          <w:p>
            <w:pPr>
              <w:jc w:val="right"/>
              <w:ind w:right="40"/>
              <w:spacing w:after="0" w:line="163"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Share-based compensation</w:t>
            </w: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23,042</w:t>
            </w:r>
          </w:p>
        </w:tc>
        <w:tc>
          <w:tcPr>
            <w:tcW w:w="60" w:type="dxa"/>
            <w:vAlign w:val="bottom"/>
            <w:tcBorders>
              <w:right w:val="single" w:sz="8" w:color="2D53A6"/>
            </w:tcBorders>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0.49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Amortization of purchased intangible assets</w:t>
            </w: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37,466</w:t>
            </w:r>
          </w:p>
        </w:tc>
        <w:tc>
          <w:tcPr>
            <w:tcW w:w="60" w:type="dxa"/>
            <w:vAlign w:val="bottom"/>
            <w:tcBorders>
              <w:right w:val="single" w:sz="8" w:color="2D53A6"/>
            </w:tcBorders>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0.80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Restructuring charges related to inventory adjustments in cost of sales</w:t>
            </w: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745</w:t>
            </w:r>
          </w:p>
        </w:tc>
        <w:tc>
          <w:tcPr>
            <w:tcW w:w="60" w:type="dxa"/>
            <w:vAlign w:val="bottom"/>
            <w:tcBorders>
              <w:right w:val="single" w:sz="8" w:color="2D53A6"/>
            </w:tcBorders>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Restructuring charges</w:t>
            </w: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10,143</w:t>
            </w:r>
          </w:p>
        </w:tc>
        <w:tc>
          <w:tcPr>
            <w:tcW w:w="60" w:type="dxa"/>
            <w:vAlign w:val="bottom"/>
            <w:tcBorders>
              <w:right w:val="single" w:sz="8" w:color="2D53A6"/>
            </w:tcBorders>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Manufacturing transition and severance costs</w:t>
            </w: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519</w:t>
            </w:r>
          </w:p>
        </w:tc>
        <w:tc>
          <w:tcPr>
            <w:tcW w:w="60" w:type="dxa"/>
            <w:vAlign w:val="bottom"/>
            <w:tcBorders>
              <w:right w:val="single" w:sz="8" w:color="2D53A6"/>
            </w:tcBorders>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Impairment charges included in SG&amp;A</w:t>
            </w:r>
          </w:p>
        </w:tc>
        <w:tc>
          <w:tcPr>
            <w:tcW w:w="1800" w:type="dxa"/>
            <w:vAlign w:val="bottom"/>
            <w:tcBorders>
              <w:right w:val="single" w:sz="8" w:color="2D53A6"/>
            </w:tcBorders>
            <w:gridSpan w:val="3"/>
          </w:tcPr>
          <w:p>
            <w:pPr>
              <w:jc w:val="right"/>
              <w:ind w:right="40"/>
              <w:spacing w:after="0" w:line="202" w:lineRule="exact"/>
              <w:rPr>
                <w:sz w:val="20"/>
                <w:szCs w:val="20"/>
                <w:color w:val="auto"/>
              </w:rPr>
            </w:pPr>
            <w:r>
              <w:rPr>
                <w:rFonts w:ascii="Arial" w:cs="Arial" w:eastAsia="Arial" w:hAnsi="Arial"/>
                <w:sz w:val="18"/>
                <w:szCs w:val="18"/>
                <w:color w:val="auto"/>
              </w:rPr>
              <w:t>(449)</w:t>
            </w:r>
          </w:p>
        </w:tc>
        <w:tc>
          <w:tcPr>
            <w:tcW w:w="178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Acquisition and financing costs included in SG&amp;A</w:t>
            </w: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457</w:t>
            </w:r>
          </w:p>
        </w:tc>
        <w:tc>
          <w:tcPr>
            <w:tcW w:w="60" w:type="dxa"/>
            <w:vAlign w:val="bottom"/>
            <w:tcBorders>
              <w:right w:val="single" w:sz="8" w:color="2D53A6"/>
            </w:tcBorders>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Duplicate facility costs</w:t>
            </w: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1,799</w:t>
            </w:r>
          </w:p>
        </w:tc>
        <w:tc>
          <w:tcPr>
            <w:tcW w:w="60" w:type="dxa"/>
            <w:vAlign w:val="bottom"/>
            <w:tcBorders>
              <w:right w:val="single" w:sz="8" w:color="2D53A6"/>
            </w:tcBorders>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Adjustment to contingent consideration</w:t>
            </w:r>
          </w:p>
        </w:tc>
        <w:tc>
          <w:tcPr>
            <w:tcW w:w="1800" w:type="dxa"/>
            <w:vAlign w:val="bottom"/>
            <w:tcBorders>
              <w:right w:val="single" w:sz="8" w:color="2D53A6"/>
            </w:tcBorders>
            <w:gridSpan w:val="3"/>
          </w:tcPr>
          <w:p>
            <w:pPr>
              <w:jc w:val="right"/>
              <w:ind w:right="40"/>
              <w:spacing w:after="0" w:line="202" w:lineRule="exact"/>
              <w:rPr>
                <w:sz w:val="20"/>
                <w:szCs w:val="20"/>
                <w:color w:val="auto"/>
              </w:rPr>
            </w:pPr>
            <w:r>
              <w:rPr>
                <w:rFonts w:ascii="Arial" w:cs="Arial" w:eastAsia="Arial" w:hAnsi="Arial"/>
                <w:sz w:val="18"/>
                <w:szCs w:val="18"/>
                <w:color w:val="auto"/>
              </w:rPr>
              <w:t>(1,700)</w:t>
            </w:r>
          </w:p>
        </w:tc>
        <w:tc>
          <w:tcPr>
            <w:tcW w:w="178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Adjustments to indemnification receivable</w:t>
            </w:r>
          </w:p>
        </w:tc>
        <w:tc>
          <w:tcPr>
            <w:tcW w:w="1800" w:type="dxa"/>
            <w:vAlign w:val="bottom"/>
            <w:tcBorders>
              <w:right w:val="single" w:sz="8" w:color="2D53A6"/>
            </w:tcBorders>
            <w:gridSpan w:val="3"/>
          </w:tcPr>
          <w:p>
            <w:pPr>
              <w:jc w:val="right"/>
              <w:ind w:right="40"/>
              <w:spacing w:after="0" w:line="202" w:lineRule="exact"/>
              <w:rPr>
                <w:sz w:val="20"/>
                <w:szCs w:val="20"/>
                <w:color w:val="auto"/>
              </w:rPr>
            </w:pPr>
            <w:r>
              <w:rPr>
                <w:rFonts w:ascii="Arial" w:cs="Arial" w:eastAsia="Arial" w:hAnsi="Arial"/>
                <w:sz w:val="18"/>
                <w:szCs w:val="18"/>
                <w:color w:val="auto"/>
              </w:rPr>
              <w:t>(123)</w:t>
            </w:r>
          </w:p>
        </w:tc>
        <w:tc>
          <w:tcPr>
            <w:tcW w:w="178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3"/>
        </w:trPr>
        <w:tc>
          <w:tcPr>
            <w:tcW w:w="766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Tax effect of non-GAAP adjustments</w:t>
            </w:r>
          </w:p>
        </w:tc>
        <w:tc>
          <w:tcPr>
            <w:tcW w:w="1800" w:type="dxa"/>
            <w:vAlign w:val="bottom"/>
            <w:tcBorders>
              <w:right w:val="single" w:sz="8" w:color="2D53A6"/>
            </w:tcBorders>
            <w:gridSpan w:val="3"/>
          </w:tcPr>
          <w:p>
            <w:pPr>
              <w:jc w:val="right"/>
              <w:ind w:right="40"/>
              <w:spacing w:after="0" w:line="202" w:lineRule="exact"/>
              <w:rPr>
                <w:sz w:val="20"/>
                <w:szCs w:val="20"/>
                <w:color w:val="auto"/>
              </w:rPr>
            </w:pPr>
            <w:r>
              <w:rPr>
                <w:rFonts w:ascii="Arial" w:cs="Arial" w:eastAsia="Arial" w:hAnsi="Arial"/>
                <w:sz w:val="18"/>
                <w:szCs w:val="18"/>
                <w:color w:val="auto"/>
              </w:rPr>
              <w:t>(5,553)</w:t>
            </w:r>
          </w:p>
        </w:tc>
        <w:tc>
          <w:tcPr>
            <w:tcW w:w="178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1"/>
        </w:trPr>
        <w:tc>
          <w:tcPr>
            <w:tcW w:w="7660" w:type="dxa"/>
            <w:vAlign w:val="bottom"/>
            <w:tcBorders>
              <w:bottom w:val="single" w:sz="8" w:color="2D53A6"/>
              <w:right w:val="single" w:sz="8" w:color="2D53A6"/>
            </w:tcBorders>
          </w:tcPr>
          <w:p>
            <w:pPr>
              <w:ind w:left="180"/>
              <w:spacing w:after="0"/>
              <w:rPr>
                <w:sz w:val="20"/>
                <w:szCs w:val="20"/>
                <w:color w:val="auto"/>
              </w:rPr>
            </w:pPr>
            <w:r>
              <w:rPr>
                <w:rFonts w:ascii="Arial" w:cs="Arial" w:eastAsia="Arial" w:hAnsi="Arial"/>
                <w:sz w:val="18"/>
                <w:szCs w:val="18"/>
                <w:color w:val="auto"/>
              </w:rPr>
              <w:t>Pension curtailment adjustment</w:t>
            </w:r>
          </w:p>
        </w:tc>
        <w:tc>
          <w:tcPr>
            <w:tcW w:w="1800" w:type="dxa"/>
            <w:vAlign w:val="bottom"/>
            <w:tcBorders>
              <w:bottom w:val="single" w:sz="8" w:color="2D53A6"/>
              <w:right w:val="single" w:sz="8" w:color="2D53A6"/>
            </w:tcBorders>
            <w:gridSpan w:val="3"/>
          </w:tcPr>
          <w:p>
            <w:pPr>
              <w:jc w:val="right"/>
              <w:ind w:right="40"/>
              <w:spacing w:after="0"/>
              <w:rPr>
                <w:sz w:val="20"/>
                <w:szCs w:val="20"/>
                <w:color w:val="auto"/>
              </w:rPr>
            </w:pPr>
            <w:r>
              <w:rPr>
                <w:rFonts w:ascii="Arial" w:cs="Arial" w:eastAsia="Arial" w:hAnsi="Arial"/>
                <w:sz w:val="18"/>
                <w:szCs w:val="18"/>
                <w:color w:val="auto"/>
              </w:rPr>
              <w:t>(2,159)</w:t>
            </w:r>
          </w:p>
        </w:tc>
        <w:tc>
          <w:tcPr>
            <w:tcW w:w="1780" w:type="dxa"/>
            <w:vAlign w:val="bottom"/>
            <w:tcBorders>
              <w:bottom w:val="single" w:sz="8" w:color="2D53A6"/>
            </w:tcBorders>
            <w:gridSpan w:val="5"/>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69"/>
        </w:trPr>
        <w:tc>
          <w:tcPr>
            <w:tcW w:w="7660" w:type="dxa"/>
            <w:vAlign w:val="bottom"/>
          </w:tcPr>
          <w:p>
            <w:pPr>
              <w:spacing w:after="0" w:line="169" w:lineRule="exact"/>
              <w:rPr>
                <w:sz w:val="20"/>
                <w:szCs w:val="20"/>
                <w:color w:val="auto"/>
              </w:rPr>
            </w:pPr>
            <w:r>
              <w:rPr>
                <w:rFonts w:ascii="Arial" w:cs="Arial" w:eastAsia="Arial" w:hAnsi="Arial"/>
                <w:sz w:val="18"/>
                <w:szCs w:val="18"/>
                <w:color w:val="auto"/>
              </w:rPr>
              <w:t>Net loss - non-GAAP basis</w:t>
            </w:r>
          </w:p>
        </w:tc>
        <w:tc>
          <w:tcPr>
            <w:tcW w:w="1800" w:type="dxa"/>
            <w:vAlign w:val="bottom"/>
            <w:gridSpan w:val="3"/>
          </w:tcPr>
          <w:p>
            <w:pPr>
              <w:jc w:val="right"/>
              <w:ind w:right="40"/>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(10,086)</w:t>
            </w:r>
          </w:p>
        </w:tc>
        <w:tc>
          <w:tcPr>
            <w:tcW w:w="1780" w:type="dxa"/>
            <w:vAlign w:val="bottom"/>
            <w:gridSpan w:val="5"/>
          </w:tcPr>
          <w:p>
            <w:pPr>
              <w:jc w:val="right"/>
              <w:ind w:right="40"/>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660" w:type="dxa"/>
            <w:vAlign w:val="bottom"/>
            <w:tcBorders>
              <w:bottom w:val="single" w:sz="8" w:color="2D53A6"/>
            </w:tcBorders>
          </w:tcPr>
          <w:p>
            <w:pPr>
              <w:spacing w:after="0" w:line="20" w:lineRule="exact"/>
              <w:rPr>
                <w:sz w:val="1"/>
                <w:szCs w:val="1"/>
                <w:color w:val="auto"/>
              </w:rPr>
            </w:pPr>
          </w:p>
        </w:tc>
        <w:tc>
          <w:tcPr>
            <w:tcW w:w="980" w:type="dxa"/>
            <w:vAlign w:val="bottom"/>
            <w:tcBorders>
              <w:bottom w:val="single" w:sz="8" w:color="2D53A6"/>
            </w:tcBorders>
          </w:tcPr>
          <w:p>
            <w:pPr>
              <w:spacing w:after="0" w:line="20" w:lineRule="exact"/>
              <w:rPr>
                <w:sz w:val="1"/>
                <w:szCs w:val="1"/>
                <w:color w:val="auto"/>
              </w:rPr>
            </w:pPr>
          </w:p>
        </w:tc>
        <w:tc>
          <w:tcPr>
            <w:tcW w:w="760" w:type="dxa"/>
            <w:vAlign w:val="bottom"/>
            <w:tcBorders>
              <w:top w:val="single" w:sz="8" w:color="auto"/>
              <w:bottom w:val="single" w:sz="8" w:color="2D53A6"/>
            </w:tcBorders>
          </w:tcPr>
          <w:p>
            <w:pPr>
              <w:spacing w:after="0" w:line="20" w:lineRule="exact"/>
              <w:rPr>
                <w:sz w:val="1"/>
                <w:szCs w:val="1"/>
                <w:color w:val="auto"/>
              </w:rPr>
            </w:pPr>
          </w:p>
        </w:tc>
        <w:tc>
          <w:tcPr>
            <w:tcW w:w="60" w:type="dxa"/>
            <w:vAlign w:val="bottom"/>
            <w:tcBorders>
              <w:bottom w:val="single" w:sz="8" w:color="2D53A6"/>
            </w:tcBorders>
          </w:tcPr>
          <w:p>
            <w:pPr>
              <w:spacing w:after="0" w:line="20" w:lineRule="exact"/>
              <w:rPr>
                <w:sz w:val="1"/>
                <w:szCs w:val="1"/>
                <w:color w:val="auto"/>
              </w:rPr>
            </w:pPr>
          </w:p>
        </w:tc>
        <w:tc>
          <w:tcPr>
            <w:tcW w:w="1120" w:type="dxa"/>
            <w:vAlign w:val="bottom"/>
            <w:tcBorders>
              <w:bottom w:val="single" w:sz="8" w:color="2D53A6"/>
            </w:tcBorders>
          </w:tcPr>
          <w:p>
            <w:pPr>
              <w:spacing w:after="0" w:line="20" w:lineRule="exact"/>
              <w:rPr>
                <w:sz w:val="1"/>
                <w:szCs w:val="1"/>
                <w:color w:val="auto"/>
              </w:rPr>
            </w:pPr>
          </w:p>
        </w:tc>
        <w:tc>
          <w:tcPr>
            <w:tcW w:w="40" w:type="dxa"/>
            <w:vAlign w:val="bottom"/>
            <w:tcBorders>
              <w:bottom w:val="single" w:sz="8" w:color="2D53A6"/>
            </w:tcBorders>
          </w:tcPr>
          <w:p>
            <w:pPr>
              <w:spacing w:after="0" w:line="20" w:lineRule="exact"/>
              <w:rPr>
                <w:sz w:val="1"/>
                <w:szCs w:val="1"/>
                <w:color w:val="auto"/>
              </w:rPr>
            </w:pPr>
          </w:p>
        </w:tc>
        <w:tc>
          <w:tcPr>
            <w:tcW w:w="520" w:type="dxa"/>
            <w:vAlign w:val="bottom"/>
            <w:tcBorders>
              <w:top w:val="single" w:sz="8" w:color="auto"/>
              <w:bottom w:val="single" w:sz="8" w:color="2D53A6"/>
            </w:tcBorders>
          </w:tcPr>
          <w:p>
            <w:pPr>
              <w:spacing w:after="0" w:line="20" w:lineRule="exact"/>
              <w:rPr>
                <w:sz w:val="1"/>
                <w:szCs w:val="1"/>
                <w:color w:val="auto"/>
              </w:rPr>
            </w:pPr>
          </w:p>
        </w:tc>
        <w:tc>
          <w:tcPr>
            <w:tcW w:w="60" w:type="dxa"/>
            <w:vAlign w:val="bottom"/>
            <w:tcBorders>
              <w:top w:val="single" w:sz="8" w:color="auto"/>
              <w:bottom w:val="single" w:sz="8" w:color="2D53A6"/>
            </w:tcBorders>
          </w:tcPr>
          <w:p>
            <w:pPr>
              <w:spacing w:after="0" w:line="20" w:lineRule="exact"/>
              <w:rPr>
                <w:sz w:val="1"/>
                <w:szCs w:val="1"/>
                <w:color w:val="auto"/>
              </w:rPr>
            </w:pPr>
          </w:p>
        </w:tc>
        <w:tc>
          <w:tcPr>
            <w:tcW w:w="40" w:type="dxa"/>
            <w:vAlign w:val="bottom"/>
            <w:tcBorders>
              <w:bottom w:val="single" w:sz="8" w:color="2D5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60" w:type="dxa"/>
            <w:vAlign w:val="bottom"/>
          </w:tcPr>
          <w:p>
            <w:pPr>
              <w:spacing w:after="0" w:line="164" w:lineRule="exact"/>
              <w:rPr>
                <w:sz w:val="20"/>
                <w:szCs w:val="20"/>
                <w:color w:val="auto"/>
              </w:rPr>
            </w:pPr>
            <w:r>
              <w:rPr>
                <w:rFonts w:ascii="Arial" w:cs="Arial" w:eastAsia="Arial" w:hAnsi="Arial"/>
                <w:sz w:val="18"/>
                <w:szCs w:val="18"/>
                <w:color w:val="auto"/>
              </w:rPr>
              <w:t>Weighted average diluted shares used in computing loss per share: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660" w:type="dxa"/>
            <w:vAlign w:val="bottom"/>
          </w:tcPr>
          <w:p>
            <w:pPr>
              <w:ind w:left="180"/>
              <w:spacing w:after="0" w:line="195" w:lineRule="exact"/>
              <w:rPr>
                <w:sz w:val="20"/>
                <w:szCs w:val="20"/>
                <w:color w:val="auto"/>
              </w:rPr>
            </w:pPr>
            <w:r>
              <w:rPr>
                <w:rFonts w:ascii="Arial" w:cs="Arial" w:eastAsia="Arial" w:hAnsi="Arial"/>
                <w:sz w:val="18"/>
                <w:szCs w:val="18"/>
                <w:color w:val="auto"/>
              </w:rPr>
              <w:t>GAAP-basis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46,723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180"/>
              <w:spacing w:after="0" w:line="182" w:lineRule="exact"/>
              <w:rPr>
                <w:sz w:val="20"/>
                <w:szCs w:val="20"/>
                <w:color w:val="auto"/>
              </w:rPr>
            </w:pPr>
            <w:r>
              <w:rPr>
                <w:rFonts w:ascii="Arial" w:cs="Arial" w:eastAsia="Arial" w:hAnsi="Arial"/>
                <w:sz w:val="18"/>
                <w:szCs w:val="18"/>
                <w:color w:val="auto"/>
              </w:rPr>
              <w:t>Non-GAAP basis</w:t>
            </w: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98"/>
              </w:rPr>
              <w:t>46,723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3"/>
        </w:trPr>
        <w:tc>
          <w:tcPr>
            <w:tcW w:w="7660" w:type="dxa"/>
            <w:vAlign w:val="bottom"/>
          </w:tcPr>
          <w:p>
            <w:pPr>
              <w:ind w:left="5520"/>
              <w:spacing w:after="0"/>
              <w:rPr>
                <w:sz w:val="20"/>
                <w:szCs w:val="20"/>
                <w:color w:val="auto"/>
              </w:rPr>
            </w:pPr>
            <w:r>
              <w:rPr>
                <w:rFonts w:ascii="Arial" w:cs="Arial" w:eastAsia="Arial" w:hAnsi="Arial"/>
                <w:sz w:val="18"/>
                <w:szCs w:val="18"/>
                <w:color w:val="auto"/>
              </w:rPr>
              <w:t>81</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6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00" w:type="dxa"/>
            <w:vAlign w:val="bottom"/>
            <w:tcBorders>
              <w:top w:val="single" w:sz="8" w:color="0000EE"/>
            </w:tcBorders>
          </w:tcPr>
          <w:p>
            <w:pPr>
              <w:spacing w:after="0"/>
              <w:rPr>
                <w:sz w:val="19"/>
                <w:szCs w:val="19"/>
                <w:color w:val="auto"/>
              </w:rPr>
            </w:pPr>
          </w:p>
        </w:tc>
        <w:tc>
          <w:tcPr>
            <w:tcW w:w="6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400" w:type="dxa"/>
            <w:vAlign w:val="bottom"/>
            <w:shd w:val="clear" w:color="auto" w:fill="2D53A6"/>
          </w:tcPr>
          <w:p>
            <w:pPr>
              <w:spacing w:after="0"/>
              <w:rPr>
                <w:sz w:val="15"/>
                <w:szCs w:val="15"/>
                <w:color w:val="auto"/>
              </w:rPr>
            </w:pPr>
          </w:p>
        </w:tc>
        <w:tc>
          <w:tcPr>
            <w:tcW w:w="6980" w:type="dxa"/>
            <w:vAlign w:val="bottom"/>
            <w:tcBorders>
              <w:right w:val="single" w:sz="8" w:color="2D53A6"/>
            </w:tcBorders>
            <w:shd w:val="clear" w:color="auto" w:fill="2D53A6"/>
          </w:tcPr>
          <w:p>
            <w:pPr>
              <w:spacing w:after="0"/>
              <w:rPr>
                <w:sz w:val="15"/>
                <w:szCs w:val="15"/>
                <w:color w:val="auto"/>
              </w:rPr>
            </w:pPr>
          </w:p>
        </w:tc>
        <w:tc>
          <w:tcPr>
            <w:tcW w:w="80" w:type="dxa"/>
            <w:vAlign w:val="bottom"/>
            <w:tcBorders>
              <w:right w:val="single" w:sz="8" w:color="2D53A6"/>
            </w:tcBorders>
            <w:shd w:val="clear" w:color="auto" w:fill="2D53A6"/>
          </w:tcPr>
          <w:p>
            <w:pPr>
              <w:spacing w:after="0"/>
              <w:rPr>
                <w:sz w:val="15"/>
                <w:szCs w:val="15"/>
                <w:color w:val="auto"/>
              </w:rPr>
            </w:pPr>
          </w:p>
        </w:tc>
        <w:tc>
          <w:tcPr>
            <w:tcW w:w="1640" w:type="dxa"/>
            <w:vAlign w:val="bottom"/>
            <w:gridSpan w:val="5"/>
            <w:shd w:val="clear" w:color="auto" w:fill="2D53A6"/>
          </w:tcPr>
          <w:p>
            <w:pPr>
              <w:jc w:val="center"/>
              <w:ind w:right="80"/>
              <w:spacing w:after="0" w:line="183" w:lineRule="exact"/>
              <w:rPr>
                <w:sz w:val="20"/>
                <w:szCs w:val="20"/>
                <w:color w:val="auto"/>
              </w:rPr>
            </w:pPr>
            <w:r>
              <w:rPr>
                <w:rFonts w:ascii="Arial" w:cs="Arial" w:eastAsia="Arial" w:hAnsi="Arial"/>
                <w:sz w:val="18"/>
                <w:szCs w:val="18"/>
                <w:b w:val="1"/>
                <w:bCs w:val="1"/>
                <w:color w:val="FFFFFF"/>
                <w:w w:val="99"/>
              </w:rPr>
              <w:t>Twelve Months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60" w:type="dxa"/>
            <w:vAlign w:val="bottom"/>
            <w:tcBorders>
              <w:right w:val="single" w:sz="8" w:color="2D53A6"/>
            </w:tcBorders>
            <w:gridSpan w:val="3"/>
            <w:vMerge w:val="restart"/>
            <w:shd w:val="clear" w:color="auto" w:fill="2D53A6"/>
          </w:tcPr>
          <w:p>
            <w:pPr>
              <w:spacing w:after="0"/>
              <w:rPr>
                <w:sz w:val="20"/>
                <w:szCs w:val="20"/>
                <w:color w:val="auto"/>
              </w:rPr>
            </w:pPr>
            <w:r>
              <w:rPr>
                <w:rFonts w:ascii="Arial" w:cs="Arial" w:eastAsia="Arial" w:hAnsi="Arial"/>
                <w:sz w:val="18"/>
                <w:szCs w:val="18"/>
                <w:b w:val="1"/>
                <w:bCs w:val="1"/>
                <w:color w:val="FFFFFF"/>
              </w:rPr>
              <w:t>Gross Profit Reconciliation (</w:t>
            </w:r>
            <w:r>
              <w:rPr>
                <w:rFonts w:ascii="Arial" w:cs="Arial" w:eastAsia="Arial" w:hAnsi="Arial"/>
                <w:sz w:val="18"/>
                <w:szCs w:val="18"/>
                <w:b w:val="1"/>
                <w:bCs w:val="1"/>
                <w:i w:val="1"/>
                <w:iCs w:val="1"/>
                <w:color w:val="FFFFFF"/>
              </w:rPr>
              <w:t>in thousands</w:t>
            </w:r>
            <w:r>
              <w:rPr>
                <w:rFonts w:ascii="Arial" w:cs="Arial" w:eastAsia="Arial" w:hAnsi="Arial"/>
                <w:sz w:val="18"/>
                <w:szCs w:val="18"/>
                <w:b w:val="1"/>
                <w:bCs w:val="1"/>
                <w:color w:val="FFFFFF"/>
              </w:rPr>
              <w:t>)</w:t>
            </w:r>
          </w:p>
        </w:tc>
        <w:tc>
          <w:tcPr>
            <w:tcW w:w="1640" w:type="dxa"/>
            <w:vAlign w:val="bottom"/>
            <w:gridSpan w:val="5"/>
            <w:shd w:val="clear" w:color="auto" w:fill="2D53A6"/>
          </w:tcPr>
          <w:p>
            <w:pPr>
              <w:jc w:val="center"/>
              <w:ind w:right="80"/>
              <w:spacing w:after="0" w:line="202" w:lineRule="exact"/>
              <w:rPr>
                <w:sz w:val="20"/>
                <w:szCs w:val="20"/>
                <w:color w:val="auto"/>
              </w:rPr>
            </w:pPr>
            <w:r>
              <w:rPr>
                <w:rFonts w:ascii="Arial" w:cs="Arial" w:eastAsia="Arial" w:hAnsi="Arial"/>
                <w:sz w:val="18"/>
                <w:szCs w:val="18"/>
                <w:b w:val="1"/>
                <w:bCs w:val="1"/>
                <w:color w:val="FFFFFF"/>
              </w:rPr>
              <w:t>Ended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460" w:type="dxa"/>
            <w:vAlign w:val="bottom"/>
            <w:tcBorders>
              <w:right w:val="single" w:sz="8" w:color="2D53A6"/>
            </w:tcBorders>
            <w:gridSpan w:val="3"/>
            <w:vMerge w:val="continue"/>
            <w:shd w:val="clear" w:color="auto" w:fill="2D53A6"/>
          </w:tcPr>
          <w:p>
            <w:pPr>
              <w:spacing w:after="0"/>
              <w:rPr>
                <w:sz w:val="12"/>
                <w:szCs w:val="12"/>
                <w:color w:val="auto"/>
              </w:rPr>
            </w:pPr>
          </w:p>
        </w:tc>
        <w:tc>
          <w:tcPr>
            <w:tcW w:w="1640" w:type="dxa"/>
            <w:vAlign w:val="bottom"/>
            <w:gridSpan w:val="5"/>
            <w:vMerge w:val="restart"/>
            <w:shd w:val="clear" w:color="auto" w:fill="2D53A6"/>
          </w:tcPr>
          <w:p>
            <w:pPr>
              <w:jc w:val="center"/>
              <w:ind w:right="80"/>
              <w:spacing w:after="0" w:line="202" w:lineRule="exact"/>
              <w:rPr>
                <w:sz w:val="20"/>
                <w:szCs w:val="20"/>
                <w:color w:val="auto"/>
              </w:rPr>
            </w:pPr>
            <w:r>
              <w:rPr>
                <w:rFonts w:ascii="Arial" w:cs="Arial" w:eastAsia="Arial" w:hAnsi="Arial"/>
                <w:sz w:val="18"/>
                <w:szCs w:val="18"/>
                <w:b w:val="1"/>
                <w:bCs w:val="1"/>
                <w:color w:val="FFFFFF"/>
                <w:w w:val="99"/>
              </w:rPr>
              <w:t>December 27,</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400" w:type="dxa"/>
            <w:vAlign w:val="bottom"/>
            <w:shd w:val="clear" w:color="auto" w:fill="2D53A6"/>
          </w:tcPr>
          <w:p>
            <w:pPr>
              <w:spacing w:after="0"/>
              <w:rPr>
                <w:sz w:val="5"/>
                <w:szCs w:val="5"/>
                <w:color w:val="auto"/>
              </w:rPr>
            </w:pPr>
          </w:p>
        </w:tc>
        <w:tc>
          <w:tcPr>
            <w:tcW w:w="6980" w:type="dxa"/>
            <w:vAlign w:val="bottom"/>
            <w:tcBorders>
              <w:right w:val="single" w:sz="8" w:color="2D53A6"/>
            </w:tcBorders>
            <w:shd w:val="clear" w:color="auto" w:fill="2D53A6"/>
          </w:tcPr>
          <w:p>
            <w:pPr>
              <w:spacing w:after="0"/>
              <w:rPr>
                <w:sz w:val="5"/>
                <w:szCs w:val="5"/>
                <w:color w:val="auto"/>
              </w:rPr>
            </w:pPr>
          </w:p>
        </w:tc>
        <w:tc>
          <w:tcPr>
            <w:tcW w:w="80" w:type="dxa"/>
            <w:vAlign w:val="bottom"/>
            <w:tcBorders>
              <w:right w:val="single" w:sz="8" w:color="2D53A6"/>
            </w:tcBorders>
            <w:shd w:val="clear" w:color="auto" w:fill="2D53A6"/>
          </w:tcPr>
          <w:p>
            <w:pPr>
              <w:spacing w:after="0"/>
              <w:rPr>
                <w:sz w:val="5"/>
                <w:szCs w:val="5"/>
                <w:color w:val="auto"/>
              </w:rPr>
            </w:pPr>
          </w:p>
        </w:tc>
        <w:tc>
          <w:tcPr>
            <w:tcW w:w="1640" w:type="dxa"/>
            <w:vAlign w:val="bottom"/>
            <w:gridSpan w:val="5"/>
            <w:vMerge w:val="continue"/>
            <w:shd w:val="clear" w:color="auto" w:fill="2D53A6"/>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400" w:type="dxa"/>
            <w:vAlign w:val="bottom"/>
            <w:shd w:val="clear" w:color="auto" w:fill="2D53A6"/>
          </w:tcPr>
          <w:p>
            <w:pPr>
              <w:spacing w:after="0"/>
              <w:rPr>
                <w:sz w:val="19"/>
                <w:szCs w:val="19"/>
                <w:color w:val="auto"/>
              </w:rPr>
            </w:pPr>
          </w:p>
        </w:tc>
        <w:tc>
          <w:tcPr>
            <w:tcW w:w="6980" w:type="dxa"/>
            <w:vAlign w:val="bottom"/>
            <w:tcBorders>
              <w:right w:val="single" w:sz="8" w:color="2D53A6"/>
            </w:tcBorders>
            <w:shd w:val="clear" w:color="auto" w:fill="2D53A6"/>
          </w:tcPr>
          <w:p>
            <w:pPr>
              <w:spacing w:after="0"/>
              <w:rPr>
                <w:sz w:val="19"/>
                <w:szCs w:val="19"/>
                <w:color w:val="auto"/>
              </w:rPr>
            </w:pPr>
          </w:p>
        </w:tc>
        <w:tc>
          <w:tcPr>
            <w:tcW w:w="80" w:type="dxa"/>
            <w:vAlign w:val="bottom"/>
            <w:tcBorders>
              <w:right w:val="single" w:sz="8" w:color="2D53A6"/>
            </w:tcBorders>
            <w:shd w:val="clear" w:color="auto" w:fill="2D53A6"/>
          </w:tcPr>
          <w:p>
            <w:pPr>
              <w:spacing w:after="0"/>
              <w:rPr>
                <w:sz w:val="19"/>
                <w:szCs w:val="19"/>
                <w:color w:val="auto"/>
              </w:rPr>
            </w:pPr>
          </w:p>
        </w:tc>
        <w:tc>
          <w:tcPr>
            <w:tcW w:w="1420" w:type="dxa"/>
            <w:vAlign w:val="bottom"/>
            <w:gridSpan w:val="3"/>
            <w:shd w:val="clear" w:color="auto" w:fill="2D53A6"/>
          </w:tcPr>
          <w:p>
            <w:pPr>
              <w:jc w:val="center"/>
              <w:ind w:left="50"/>
              <w:spacing w:after="0"/>
              <w:rPr>
                <w:sz w:val="20"/>
                <w:szCs w:val="20"/>
                <w:color w:val="auto"/>
              </w:rPr>
            </w:pPr>
            <w:r>
              <w:rPr>
                <w:rFonts w:ascii="Arial" w:cs="Arial" w:eastAsia="Arial" w:hAnsi="Arial"/>
                <w:sz w:val="18"/>
                <w:szCs w:val="18"/>
                <w:b w:val="1"/>
                <w:bCs w:val="1"/>
                <w:color w:val="FFFFFF"/>
                <w:w w:val="99"/>
              </w:rPr>
              <w:t>2025</w:t>
            </w:r>
          </w:p>
        </w:tc>
        <w:tc>
          <w:tcPr>
            <w:tcW w:w="60" w:type="dxa"/>
            <w:vAlign w:val="bottom"/>
            <w:shd w:val="clear" w:color="auto" w:fill="2D53A6"/>
          </w:tcPr>
          <w:p>
            <w:pPr>
              <w:spacing w:after="0"/>
              <w:rPr>
                <w:sz w:val="19"/>
                <w:szCs w:val="19"/>
                <w:color w:val="auto"/>
              </w:rPr>
            </w:pPr>
          </w:p>
        </w:tc>
        <w:tc>
          <w:tcPr>
            <w:tcW w:w="160" w:type="dxa"/>
            <w:vAlign w:val="bottom"/>
            <w:shd w:val="clear" w:color="auto" w:fill="2D53A6"/>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460" w:type="dxa"/>
            <w:vAlign w:val="bottom"/>
            <w:tcBorders>
              <w:right w:val="single" w:sz="8" w:color="2D53A6"/>
            </w:tcBorders>
            <w:gridSpan w:val="3"/>
          </w:tcPr>
          <w:p>
            <w:pPr>
              <w:spacing w:after="0"/>
              <w:rPr>
                <w:sz w:val="20"/>
                <w:szCs w:val="20"/>
                <w:color w:val="auto"/>
              </w:rPr>
            </w:pPr>
            <w:r>
              <w:rPr>
                <w:rFonts w:ascii="Arial" w:cs="Arial" w:eastAsia="Arial" w:hAnsi="Arial"/>
                <w:sz w:val="18"/>
                <w:szCs w:val="18"/>
                <w:color w:val="auto"/>
              </w:rPr>
              <w:t>Net sales</w:t>
            </w:r>
          </w:p>
        </w:tc>
        <w:tc>
          <w:tcPr>
            <w:tcW w:w="1640" w:type="dxa"/>
            <w:vAlign w:val="bottom"/>
            <w:gridSpan w:val="5"/>
          </w:tcPr>
          <w:p>
            <w:pPr>
              <w:jc w:val="right"/>
              <w:ind w:right="160"/>
              <w:spacing w:after="0"/>
              <w:rPr>
                <w:sz w:val="20"/>
                <w:szCs w:val="20"/>
                <w:color w:val="auto"/>
              </w:rPr>
            </w:pPr>
            <w:r>
              <w:rPr>
                <w:rFonts w:ascii="Arial" w:cs="Arial" w:eastAsia="Arial" w:hAnsi="Arial"/>
                <w:sz w:val="18"/>
                <w:szCs w:val="18"/>
                <w:color w:val="auto"/>
              </w:rPr>
              <w:t>$452,956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460" w:type="dxa"/>
            <w:vAlign w:val="bottom"/>
            <w:tcBorders>
              <w:right w:val="single" w:sz="8" w:color="2D53A6"/>
            </w:tcBorders>
            <w:gridSpan w:val="3"/>
          </w:tcPr>
          <w:p>
            <w:pPr>
              <w:spacing w:after="0"/>
              <w:rPr>
                <w:sz w:val="20"/>
                <w:szCs w:val="20"/>
                <w:color w:val="auto"/>
              </w:rPr>
            </w:pPr>
            <w:r>
              <w:rPr>
                <w:rFonts w:ascii="Arial" w:cs="Arial" w:eastAsia="Arial" w:hAnsi="Arial"/>
                <w:sz w:val="18"/>
                <w:szCs w:val="18"/>
                <w:color w:val="auto"/>
              </w:rPr>
              <w:t xml:space="preserve">Gross profit - GAAP basis </w:t>
            </w:r>
            <w:r>
              <w:rPr>
                <w:rFonts w:ascii="Arial" w:cs="Arial" w:eastAsia="Arial" w:hAnsi="Arial"/>
                <w:sz w:val="14"/>
                <w:szCs w:val="14"/>
                <w:color w:val="auto"/>
              </w:rPr>
              <w:t>(1)</w:t>
            </w:r>
          </w:p>
        </w:tc>
        <w:tc>
          <w:tcPr>
            <w:tcW w:w="1640" w:type="dxa"/>
            <w:vAlign w:val="bottom"/>
            <w:gridSpan w:val="5"/>
          </w:tcPr>
          <w:p>
            <w:pPr>
              <w:jc w:val="right"/>
              <w:ind w:right="160"/>
              <w:spacing w:after="0"/>
              <w:rPr>
                <w:sz w:val="20"/>
                <w:szCs w:val="20"/>
                <w:color w:val="auto"/>
              </w:rPr>
            </w:pPr>
            <w:r>
              <w:rPr>
                <w:rFonts w:ascii="Arial" w:cs="Arial" w:eastAsia="Arial" w:hAnsi="Arial"/>
                <w:sz w:val="18"/>
                <w:szCs w:val="18"/>
                <w:color w:val="auto"/>
              </w:rPr>
              <w:t>$193,619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tcBorders>
              <w:right w:val="single" w:sz="8" w:color="2D53A6"/>
            </w:tcBorders>
            <w:gridSpan w:val="3"/>
          </w:tcPr>
          <w:p>
            <w:pPr>
              <w:ind w:left="180"/>
              <w:spacing w:after="0" w:line="202" w:lineRule="exact"/>
              <w:rPr>
                <w:sz w:val="20"/>
                <w:szCs w:val="20"/>
                <w:color w:val="auto"/>
              </w:rPr>
            </w:pPr>
            <w:r>
              <w:rPr>
                <w:rFonts w:ascii="Arial" w:cs="Arial" w:eastAsia="Arial" w:hAnsi="Arial"/>
                <w:sz w:val="18"/>
                <w:szCs w:val="18"/>
                <w:color w:val="auto"/>
              </w:rPr>
              <w:t>Share-based compensation</w:t>
            </w:r>
          </w:p>
        </w:tc>
        <w:tc>
          <w:tcPr>
            <w:tcW w:w="164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1,396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Borders>
              <w:right w:val="single" w:sz="8" w:color="2D53A6"/>
            </w:tcBorders>
            <w:gridSpan w:val="3"/>
          </w:tcPr>
          <w:p>
            <w:pPr>
              <w:ind w:left="180"/>
              <w:spacing w:after="0" w:line="202" w:lineRule="exact"/>
              <w:rPr>
                <w:sz w:val="20"/>
                <w:szCs w:val="20"/>
                <w:color w:val="auto"/>
              </w:rPr>
            </w:pPr>
            <w:r>
              <w:rPr>
                <w:rFonts w:ascii="Arial" w:cs="Arial" w:eastAsia="Arial" w:hAnsi="Arial"/>
                <w:sz w:val="18"/>
                <w:szCs w:val="18"/>
                <w:color w:val="auto"/>
              </w:rPr>
              <w:t>Restructuring charges related to inventory adjustments in cost of sales</w:t>
            </w:r>
          </w:p>
        </w:tc>
        <w:tc>
          <w:tcPr>
            <w:tcW w:w="164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745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460" w:type="dxa"/>
            <w:vAlign w:val="bottom"/>
            <w:tcBorders>
              <w:bottom w:val="single" w:sz="8" w:color="2D53A6"/>
              <w:right w:val="single" w:sz="8" w:color="2D53A6"/>
            </w:tcBorders>
            <w:gridSpan w:val="3"/>
          </w:tcPr>
          <w:p>
            <w:pPr>
              <w:ind w:left="180"/>
              <w:spacing w:after="0"/>
              <w:rPr>
                <w:sz w:val="20"/>
                <w:szCs w:val="20"/>
                <w:color w:val="auto"/>
              </w:rPr>
            </w:pPr>
            <w:r>
              <w:rPr>
                <w:rFonts w:ascii="Arial" w:cs="Arial" w:eastAsia="Arial" w:hAnsi="Arial"/>
                <w:sz w:val="18"/>
                <w:szCs w:val="18"/>
                <w:color w:val="auto"/>
              </w:rPr>
              <w:t>Manufacturing transition and severance costs</w:t>
            </w:r>
          </w:p>
        </w:tc>
        <w:tc>
          <w:tcPr>
            <w:tcW w:w="1640" w:type="dxa"/>
            <w:vAlign w:val="bottom"/>
            <w:tcBorders>
              <w:bottom w:val="single" w:sz="8" w:color="2D53A6"/>
            </w:tcBorders>
            <w:gridSpan w:val="5"/>
          </w:tcPr>
          <w:p>
            <w:pPr>
              <w:jc w:val="right"/>
              <w:ind w:right="160"/>
              <w:spacing w:after="0"/>
              <w:rPr>
                <w:sz w:val="20"/>
                <w:szCs w:val="20"/>
                <w:color w:val="auto"/>
              </w:rPr>
            </w:pPr>
            <w:r>
              <w:rPr>
                <w:rFonts w:ascii="Arial" w:cs="Arial" w:eastAsia="Arial" w:hAnsi="Arial"/>
                <w:sz w:val="18"/>
                <w:szCs w:val="18"/>
                <w:color w:val="auto"/>
              </w:rPr>
              <w:t>334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460" w:type="dxa"/>
            <w:vAlign w:val="bottom"/>
            <w:gridSpan w:val="3"/>
          </w:tcPr>
          <w:p>
            <w:pPr>
              <w:spacing w:after="0" w:line="169" w:lineRule="exact"/>
              <w:rPr>
                <w:sz w:val="20"/>
                <w:szCs w:val="20"/>
                <w:color w:val="auto"/>
              </w:rPr>
            </w:pPr>
            <w:r>
              <w:rPr>
                <w:rFonts w:ascii="Arial" w:cs="Arial" w:eastAsia="Arial" w:hAnsi="Arial"/>
                <w:sz w:val="18"/>
                <w:szCs w:val="18"/>
                <w:color w:val="auto"/>
              </w:rPr>
              <w:t>Gross profit - non-GAAP basis</w:t>
            </w:r>
          </w:p>
        </w:tc>
        <w:tc>
          <w:tcPr>
            <w:tcW w:w="1640" w:type="dxa"/>
            <w:vAlign w:val="bottom"/>
            <w:gridSpan w:val="5"/>
          </w:tcPr>
          <w:p>
            <w:pPr>
              <w:jc w:val="right"/>
              <w:ind w:right="160"/>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196,094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2D53A6"/>
            </w:tcBorders>
          </w:tcPr>
          <w:p>
            <w:pPr>
              <w:spacing w:after="0" w:line="20" w:lineRule="exact"/>
              <w:rPr>
                <w:sz w:val="1"/>
                <w:szCs w:val="1"/>
                <w:color w:val="auto"/>
              </w:rPr>
            </w:pPr>
          </w:p>
        </w:tc>
        <w:tc>
          <w:tcPr>
            <w:tcW w:w="6980" w:type="dxa"/>
            <w:vAlign w:val="bottom"/>
            <w:tcBorders>
              <w:bottom w:val="single" w:sz="8" w:color="2D53A6"/>
            </w:tcBorders>
          </w:tcPr>
          <w:p>
            <w:pPr>
              <w:spacing w:after="0" w:line="20" w:lineRule="exact"/>
              <w:rPr>
                <w:sz w:val="1"/>
                <w:szCs w:val="1"/>
                <w:color w:val="auto"/>
              </w:rPr>
            </w:pPr>
          </w:p>
        </w:tc>
        <w:tc>
          <w:tcPr>
            <w:tcW w:w="80" w:type="dxa"/>
            <w:vAlign w:val="bottom"/>
            <w:tcBorders>
              <w:bottom w:val="single" w:sz="8" w:color="2D53A6"/>
            </w:tcBorders>
          </w:tcPr>
          <w:p>
            <w:pPr>
              <w:spacing w:after="0" w:line="20" w:lineRule="exact"/>
              <w:rPr>
                <w:sz w:val="1"/>
                <w:szCs w:val="1"/>
                <w:color w:val="auto"/>
              </w:rPr>
            </w:pPr>
          </w:p>
        </w:tc>
        <w:tc>
          <w:tcPr>
            <w:tcW w:w="740" w:type="dxa"/>
            <w:vAlign w:val="bottom"/>
            <w:tcBorders>
              <w:bottom w:val="single" w:sz="8" w:color="2D53A6"/>
            </w:tcBorders>
          </w:tcPr>
          <w:p>
            <w:pPr>
              <w:spacing w:after="0" w:line="20" w:lineRule="exact"/>
              <w:rPr>
                <w:sz w:val="1"/>
                <w:szCs w:val="1"/>
                <w:color w:val="auto"/>
              </w:rPr>
            </w:pPr>
          </w:p>
        </w:tc>
        <w:tc>
          <w:tcPr>
            <w:tcW w:w="120" w:type="dxa"/>
            <w:vAlign w:val="bottom"/>
            <w:tcBorders>
              <w:top w:val="single" w:sz="8" w:color="auto"/>
              <w:bottom w:val="single" w:sz="8" w:color="2D53A6"/>
            </w:tcBorders>
          </w:tcPr>
          <w:p>
            <w:pPr>
              <w:spacing w:after="0" w:line="20" w:lineRule="exact"/>
              <w:rPr>
                <w:sz w:val="1"/>
                <w:szCs w:val="1"/>
                <w:color w:val="auto"/>
              </w:rPr>
            </w:pPr>
          </w:p>
        </w:tc>
        <w:tc>
          <w:tcPr>
            <w:tcW w:w="560" w:type="dxa"/>
            <w:vAlign w:val="bottom"/>
            <w:tcBorders>
              <w:top w:val="single" w:sz="8" w:color="auto"/>
              <w:bottom w:val="single" w:sz="8" w:color="2D53A6"/>
            </w:tcBorders>
          </w:tcPr>
          <w:p>
            <w:pPr>
              <w:spacing w:after="0" w:line="20" w:lineRule="exact"/>
              <w:rPr>
                <w:sz w:val="1"/>
                <w:szCs w:val="1"/>
                <w:color w:val="auto"/>
              </w:rPr>
            </w:pPr>
          </w:p>
        </w:tc>
        <w:tc>
          <w:tcPr>
            <w:tcW w:w="60" w:type="dxa"/>
            <w:vAlign w:val="bottom"/>
            <w:tcBorders>
              <w:top w:val="single" w:sz="8" w:color="auto"/>
              <w:bottom w:val="single" w:sz="8" w:color="2D53A6"/>
            </w:tcBorders>
          </w:tcPr>
          <w:p>
            <w:pPr>
              <w:spacing w:after="0" w:line="20" w:lineRule="exact"/>
              <w:rPr>
                <w:sz w:val="1"/>
                <w:szCs w:val="1"/>
                <w:color w:val="auto"/>
              </w:rPr>
            </w:pPr>
          </w:p>
        </w:tc>
        <w:tc>
          <w:tcPr>
            <w:tcW w:w="160" w:type="dxa"/>
            <w:vAlign w:val="bottom"/>
            <w:tcBorders>
              <w:bottom w:val="single" w:sz="8" w:color="2D53A6"/>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460" w:type="dxa"/>
            <w:vAlign w:val="bottom"/>
            <w:gridSpan w:val="3"/>
          </w:tcPr>
          <w:p>
            <w:pPr>
              <w:spacing w:after="0"/>
              <w:rPr>
                <w:sz w:val="20"/>
                <w:szCs w:val="20"/>
                <w:color w:val="auto"/>
              </w:rPr>
            </w:pPr>
            <w:r>
              <w:rPr>
                <w:rFonts w:ascii="Arial" w:cs="Arial" w:eastAsia="Arial" w:hAnsi="Arial"/>
                <w:sz w:val="18"/>
                <w:szCs w:val="18"/>
                <w:color w:val="auto"/>
              </w:rPr>
              <w:t>(1) Excludes amortization of $28,086 for the fiscal year ended December 27, 2025.</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60" w:type="dxa"/>
            <w:vAlign w:val="bottom"/>
            <w:gridSpan w:val="3"/>
          </w:tcPr>
          <w:p>
            <w:pPr>
              <w:spacing w:after="0"/>
              <w:rPr>
                <w:sz w:val="20"/>
                <w:szCs w:val="20"/>
                <w:color w:val="auto"/>
              </w:rPr>
            </w:pPr>
            <w:r>
              <w:rPr>
                <w:rFonts w:ascii="Arial" w:cs="Arial" w:eastAsia="Arial" w:hAnsi="Arial"/>
                <w:sz w:val="18"/>
                <w:szCs w:val="18"/>
                <w:color w:val="auto"/>
              </w:rPr>
              <w:t>GAAP gross profit (as a % of net sales)</w:t>
            </w:r>
          </w:p>
        </w:tc>
        <w:tc>
          <w:tcPr>
            <w:tcW w:w="1640" w:type="dxa"/>
            <w:vAlign w:val="bottom"/>
            <w:gridSpan w:val="5"/>
          </w:tcPr>
          <w:p>
            <w:pPr>
              <w:jc w:val="right"/>
              <w:spacing w:after="0"/>
              <w:rPr>
                <w:sz w:val="20"/>
                <w:szCs w:val="20"/>
                <w:color w:val="auto"/>
              </w:rPr>
            </w:pPr>
            <w:r>
              <w:rPr>
                <w:rFonts w:ascii="Arial" w:cs="Arial" w:eastAsia="Arial" w:hAnsi="Arial"/>
                <w:sz w:val="18"/>
                <w:szCs w:val="18"/>
                <w:color w:val="auto"/>
              </w:rPr>
              <w:t>42.7%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460" w:type="dxa"/>
            <w:vAlign w:val="bottom"/>
            <w:gridSpan w:val="3"/>
          </w:tcPr>
          <w:p>
            <w:pPr>
              <w:spacing w:after="0"/>
              <w:rPr>
                <w:sz w:val="20"/>
                <w:szCs w:val="20"/>
                <w:color w:val="auto"/>
              </w:rPr>
            </w:pPr>
            <w:r>
              <w:rPr>
                <w:rFonts w:ascii="Arial" w:cs="Arial" w:eastAsia="Arial" w:hAnsi="Arial"/>
                <w:sz w:val="18"/>
                <w:szCs w:val="18"/>
                <w:color w:val="auto"/>
              </w:rPr>
              <w:t>Non-GAAP gross profit (as a % of net sales)</w:t>
            </w:r>
          </w:p>
        </w:tc>
        <w:tc>
          <w:tcPr>
            <w:tcW w:w="1640" w:type="dxa"/>
            <w:vAlign w:val="bottom"/>
            <w:gridSpan w:val="5"/>
          </w:tcPr>
          <w:p>
            <w:pPr>
              <w:jc w:val="right"/>
              <w:spacing w:after="0"/>
              <w:rPr>
                <w:sz w:val="20"/>
                <w:szCs w:val="20"/>
                <w:color w:val="auto"/>
              </w:rPr>
            </w:pPr>
            <w:r>
              <w:rPr>
                <w:rFonts w:ascii="Arial" w:cs="Arial" w:eastAsia="Arial" w:hAnsi="Arial"/>
                <w:sz w:val="18"/>
                <w:szCs w:val="18"/>
                <w:color w:val="auto"/>
              </w:rPr>
              <w:t>43.3%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40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00" w:type="dxa"/>
            <w:vAlign w:val="bottom"/>
            <w:shd w:val="clear" w:color="auto" w:fill="2D53A6"/>
          </w:tcPr>
          <w:p>
            <w:pPr>
              <w:spacing w:after="0"/>
              <w:rPr>
                <w:sz w:val="15"/>
                <w:szCs w:val="15"/>
                <w:color w:val="auto"/>
              </w:rPr>
            </w:pPr>
          </w:p>
        </w:tc>
        <w:tc>
          <w:tcPr>
            <w:tcW w:w="6980" w:type="dxa"/>
            <w:vAlign w:val="bottom"/>
            <w:tcBorders>
              <w:right w:val="single" w:sz="8" w:color="2D53A6"/>
            </w:tcBorders>
            <w:shd w:val="clear" w:color="auto" w:fill="2D53A6"/>
          </w:tcPr>
          <w:p>
            <w:pPr>
              <w:spacing w:after="0"/>
              <w:rPr>
                <w:sz w:val="15"/>
                <w:szCs w:val="15"/>
                <w:color w:val="auto"/>
              </w:rPr>
            </w:pPr>
          </w:p>
        </w:tc>
        <w:tc>
          <w:tcPr>
            <w:tcW w:w="80" w:type="dxa"/>
            <w:vAlign w:val="bottom"/>
            <w:tcBorders>
              <w:right w:val="single" w:sz="8" w:color="2D53A6"/>
            </w:tcBorders>
            <w:shd w:val="clear" w:color="auto" w:fill="2D53A6"/>
          </w:tcPr>
          <w:p>
            <w:pPr>
              <w:spacing w:after="0"/>
              <w:rPr>
                <w:sz w:val="15"/>
                <w:szCs w:val="15"/>
                <w:color w:val="auto"/>
              </w:rPr>
            </w:pPr>
          </w:p>
        </w:tc>
        <w:tc>
          <w:tcPr>
            <w:tcW w:w="1640" w:type="dxa"/>
            <w:vAlign w:val="bottom"/>
            <w:gridSpan w:val="5"/>
            <w:shd w:val="clear" w:color="auto" w:fill="2D53A6"/>
          </w:tcPr>
          <w:p>
            <w:pPr>
              <w:jc w:val="center"/>
              <w:ind w:right="200"/>
              <w:spacing w:after="0" w:line="183" w:lineRule="exact"/>
              <w:rPr>
                <w:sz w:val="20"/>
                <w:szCs w:val="20"/>
                <w:color w:val="auto"/>
              </w:rPr>
            </w:pPr>
            <w:r>
              <w:rPr>
                <w:rFonts w:ascii="Arial" w:cs="Arial" w:eastAsia="Arial" w:hAnsi="Arial"/>
                <w:sz w:val="18"/>
                <w:szCs w:val="18"/>
                <w:b w:val="1"/>
                <w:bCs w:val="1"/>
                <w:color w:val="FFFFFF"/>
                <w:w w:val="99"/>
              </w:rPr>
              <w:t>Twelve Months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60" w:type="dxa"/>
            <w:vAlign w:val="bottom"/>
            <w:tcBorders>
              <w:right w:val="single" w:sz="8" w:color="2D53A6"/>
            </w:tcBorders>
            <w:gridSpan w:val="3"/>
            <w:vMerge w:val="restart"/>
            <w:shd w:val="clear" w:color="auto" w:fill="2D53A6"/>
          </w:tcPr>
          <w:p>
            <w:pPr>
              <w:spacing w:after="0"/>
              <w:rPr>
                <w:sz w:val="20"/>
                <w:szCs w:val="20"/>
                <w:color w:val="auto"/>
              </w:rPr>
            </w:pPr>
            <w:r>
              <w:rPr>
                <w:rFonts w:ascii="Arial" w:cs="Arial" w:eastAsia="Arial" w:hAnsi="Arial"/>
                <w:sz w:val="18"/>
                <w:szCs w:val="18"/>
                <w:b w:val="1"/>
                <w:bCs w:val="1"/>
                <w:color w:val="FFFFFF"/>
              </w:rPr>
              <w:t>Pretax income reconciliation (</w:t>
            </w:r>
            <w:r>
              <w:rPr>
                <w:rFonts w:ascii="Arial" w:cs="Arial" w:eastAsia="Arial" w:hAnsi="Arial"/>
                <w:sz w:val="18"/>
                <w:szCs w:val="18"/>
                <w:b w:val="1"/>
                <w:bCs w:val="1"/>
                <w:i w:val="1"/>
                <w:iCs w:val="1"/>
                <w:color w:val="FFFFFF"/>
              </w:rPr>
              <w:t>in thousands</w:t>
            </w:r>
            <w:r>
              <w:rPr>
                <w:rFonts w:ascii="Arial" w:cs="Arial" w:eastAsia="Arial" w:hAnsi="Arial"/>
                <w:sz w:val="18"/>
                <w:szCs w:val="18"/>
                <w:b w:val="1"/>
                <w:bCs w:val="1"/>
                <w:color w:val="FFFFFF"/>
              </w:rPr>
              <w:t>)</w:t>
            </w:r>
          </w:p>
        </w:tc>
        <w:tc>
          <w:tcPr>
            <w:tcW w:w="1640" w:type="dxa"/>
            <w:vAlign w:val="bottom"/>
            <w:gridSpan w:val="5"/>
            <w:shd w:val="clear" w:color="auto" w:fill="2D53A6"/>
          </w:tcPr>
          <w:p>
            <w:pPr>
              <w:jc w:val="center"/>
              <w:ind w:right="220"/>
              <w:spacing w:after="0" w:line="202" w:lineRule="exact"/>
              <w:rPr>
                <w:sz w:val="20"/>
                <w:szCs w:val="20"/>
                <w:color w:val="auto"/>
              </w:rPr>
            </w:pPr>
            <w:r>
              <w:rPr>
                <w:rFonts w:ascii="Arial" w:cs="Arial" w:eastAsia="Arial" w:hAnsi="Arial"/>
                <w:sz w:val="18"/>
                <w:szCs w:val="18"/>
                <w:b w:val="1"/>
                <w:bCs w:val="1"/>
                <w:color w:val="FFFFFF"/>
                <w:w w:val="98"/>
              </w:rPr>
              <w:t>Ended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460" w:type="dxa"/>
            <w:vAlign w:val="bottom"/>
            <w:tcBorders>
              <w:right w:val="single" w:sz="8" w:color="2D53A6"/>
            </w:tcBorders>
            <w:gridSpan w:val="3"/>
            <w:vMerge w:val="continue"/>
            <w:shd w:val="clear" w:color="auto" w:fill="2D53A6"/>
          </w:tcPr>
          <w:p>
            <w:pPr>
              <w:spacing w:after="0"/>
              <w:rPr>
                <w:sz w:val="12"/>
                <w:szCs w:val="12"/>
                <w:color w:val="auto"/>
              </w:rPr>
            </w:pPr>
          </w:p>
        </w:tc>
        <w:tc>
          <w:tcPr>
            <w:tcW w:w="1640" w:type="dxa"/>
            <w:vAlign w:val="bottom"/>
            <w:gridSpan w:val="5"/>
            <w:vMerge w:val="restart"/>
            <w:shd w:val="clear" w:color="auto" w:fill="2D53A6"/>
          </w:tcPr>
          <w:p>
            <w:pPr>
              <w:jc w:val="center"/>
              <w:ind w:right="220"/>
              <w:spacing w:after="0" w:line="202" w:lineRule="exact"/>
              <w:rPr>
                <w:sz w:val="20"/>
                <w:szCs w:val="20"/>
                <w:color w:val="auto"/>
              </w:rPr>
            </w:pPr>
            <w:r>
              <w:rPr>
                <w:rFonts w:ascii="Arial" w:cs="Arial" w:eastAsia="Arial" w:hAnsi="Arial"/>
                <w:sz w:val="18"/>
                <w:szCs w:val="18"/>
                <w:b w:val="1"/>
                <w:bCs w:val="1"/>
                <w:color w:val="FFFFFF"/>
              </w:rPr>
              <w:t>December 27,</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400" w:type="dxa"/>
            <w:vAlign w:val="bottom"/>
            <w:shd w:val="clear" w:color="auto" w:fill="2D53A6"/>
          </w:tcPr>
          <w:p>
            <w:pPr>
              <w:spacing w:after="0"/>
              <w:rPr>
                <w:sz w:val="5"/>
                <w:szCs w:val="5"/>
                <w:color w:val="auto"/>
              </w:rPr>
            </w:pPr>
          </w:p>
        </w:tc>
        <w:tc>
          <w:tcPr>
            <w:tcW w:w="6980" w:type="dxa"/>
            <w:vAlign w:val="bottom"/>
            <w:tcBorders>
              <w:right w:val="single" w:sz="8" w:color="2D53A6"/>
            </w:tcBorders>
            <w:shd w:val="clear" w:color="auto" w:fill="2D53A6"/>
          </w:tcPr>
          <w:p>
            <w:pPr>
              <w:spacing w:after="0"/>
              <w:rPr>
                <w:sz w:val="5"/>
                <w:szCs w:val="5"/>
                <w:color w:val="auto"/>
              </w:rPr>
            </w:pPr>
          </w:p>
        </w:tc>
        <w:tc>
          <w:tcPr>
            <w:tcW w:w="80" w:type="dxa"/>
            <w:vAlign w:val="bottom"/>
            <w:tcBorders>
              <w:right w:val="single" w:sz="8" w:color="2D53A6"/>
            </w:tcBorders>
            <w:shd w:val="clear" w:color="auto" w:fill="2D53A6"/>
          </w:tcPr>
          <w:p>
            <w:pPr>
              <w:spacing w:after="0"/>
              <w:rPr>
                <w:sz w:val="5"/>
                <w:szCs w:val="5"/>
                <w:color w:val="auto"/>
              </w:rPr>
            </w:pPr>
          </w:p>
        </w:tc>
        <w:tc>
          <w:tcPr>
            <w:tcW w:w="1640" w:type="dxa"/>
            <w:vAlign w:val="bottom"/>
            <w:gridSpan w:val="5"/>
            <w:vMerge w:val="continue"/>
            <w:shd w:val="clear" w:color="auto" w:fill="2D53A6"/>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400" w:type="dxa"/>
            <w:vAlign w:val="bottom"/>
            <w:shd w:val="clear" w:color="auto" w:fill="2D53A6"/>
          </w:tcPr>
          <w:p>
            <w:pPr>
              <w:spacing w:after="0"/>
              <w:rPr>
                <w:sz w:val="19"/>
                <w:szCs w:val="19"/>
                <w:color w:val="auto"/>
              </w:rPr>
            </w:pPr>
          </w:p>
        </w:tc>
        <w:tc>
          <w:tcPr>
            <w:tcW w:w="6980" w:type="dxa"/>
            <w:vAlign w:val="bottom"/>
            <w:tcBorders>
              <w:right w:val="single" w:sz="8" w:color="2D53A6"/>
            </w:tcBorders>
            <w:shd w:val="clear" w:color="auto" w:fill="2D53A6"/>
          </w:tcPr>
          <w:p>
            <w:pPr>
              <w:spacing w:after="0"/>
              <w:rPr>
                <w:sz w:val="19"/>
                <w:szCs w:val="19"/>
                <w:color w:val="auto"/>
              </w:rPr>
            </w:pPr>
          </w:p>
        </w:tc>
        <w:tc>
          <w:tcPr>
            <w:tcW w:w="80" w:type="dxa"/>
            <w:vAlign w:val="bottom"/>
            <w:tcBorders>
              <w:right w:val="single" w:sz="8" w:color="2D53A6"/>
            </w:tcBorders>
            <w:shd w:val="clear" w:color="auto" w:fill="2D53A6"/>
          </w:tcPr>
          <w:p>
            <w:pPr>
              <w:spacing w:after="0"/>
              <w:rPr>
                <w:sz w:val="19"/>
                <w:szCs w:val="19"/>
                <w:color w:val="auto"/>
              </w:rPr>
            </w:pPr>
          </w:p>
        </w:tc>
        <w:tc>
          <w:tcPr>
            <w:tcW w:w="1420" w:type="dxa"/>
            <w:vAlign w:val="bottom"/>
            <w:gridSpan w:val="3"/>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2025</w:t>
            </w:r>
          </w:p>
        </w:tc>
        <w:tc>
          <w:tcPr>
            <w:tcW w:w="60" w:type="dxa"/>
            <w:vAlign w:val="bottom"/>
            <w:shd w:val="clear" w:color="auto" w:fill="2D53A6"/>
          </w:tcPr>
          <w:p>
            <w:pPr>
              <w:spacing w:after="0"/>
              <w:rPr>
                <w:sz w:val="19"/>
                <w:szCs w:val="19"/>
                <w:color w:val="auto"/>
              </w:rPr>
            </w:pPr>
          </w:p>
        </w:tc>
        <w:tc>
          <w:tcPr>
            <w:tcW w:w="160" w:type="dxa"/>
            <w:vAlign w:val="bottom"/>
            <w:shd w:val="clear" w:color="auto" w:fill="2D53A6"/>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380" w:type="dxa"/>
            <w:vAlign w:val="bottom"/>
            <w:tcBorders>
              <w:right w:val="single" w:sz="8" w:color="2D53A6"/>
            </w:tcBorders>
            <w:gridSpan w:val="2"/>
          </w:tcPr>
          <w:p>
            <w:pPr>
              <w:spacing w:after="0" w:line="183" w:lineRule="exact"/>
              <w:rPr>
                <w:sz w:val="20"/>
                <w:szCs w:val="20"/>
                <w:color w:val="auto"/>
              </w:rPr>
            </w:pPr>
            <w:r>
              <w:rPr>
                <w:rFonts w:ascii="Arial" w:cs="Arial" w:eastAsia="Arial" w:hAnsi="Arial"/>
                <w:sz w:val="18"/>
                <w:szCs w:val="18"/>
                <w:color w:val="auto"/>
              </w:rPr>
              <w:t>Pretax loss - GAAP basis</w:t>
            </w:r>
          </w:p>
        </w:tc>
        <w:tc>
          <w:tcPr>
            <w:tcW w:w="80" w:type="dxa"/>
            <w:vAlign w:val="bottom"/>
          </w:tcPr>
          <w:p>
            <w:pPr>
              <w:spacing w:after="0"/>
              <w:rPr>
                <w:sz w:val="15"/>
                <w:szCs w:val="15"/>
                <w:color w:val="auto"/>
              </w:rPr>
            </w:pPr>
          </w:p>
        </w:tc>
        <w:tc>
          <w:tcPr>
            <w:tcW w:w="1480" w:type="dxa"/>
            <w:vAlign w:val="bottom"/>
            <w:gridSpan w:val="4"/>
          </w:tcPr>
          <w:p>
            <w:pPr>
              <w:jc w:val="right"/>
              <w:spacing w:after="0" w:line="183" w:lineRule="exact"/>
              <w:rPr>
                <w:sz w:val="20"/>
                <w:szCs w:val="20"/>
                <w:color w:val="auto"/>
              </w:rPr>
            </w:pPr>
            <w:r>
              <w:rPr>
                <w:rFonts w:ascii="Arial" w:cs="Arial" w:eastAsia="Arial" w:hAnsi="Arial"/>
                <w:sz w:val="18"/>
                <w:szCs w:val="18"/>
                <w:color w:val="auto"/>
              </w:rPr>
              <w:t>$(62,407)</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80" w:type="dxa"/>
            <w:vAlign w:val="bottom"/>
            <w:tcBorders>
              <w:right w:val="single" w:sz="8" w:color="2D53A6"/>
            </w:tcBorders>
            <w:gridSpan w:val="2"/>
          </w:tcPr>
          <w:p>
            <w:pPr>
              <w:ind w:left="180"/>
              <w:spacing w:after="0" w:line="202" w:lineRule="exact"/>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7"/>
                <w:szCs w:val="17"/>
                <w:color w:val="auto"/>
              </w:rPr>
            </w:pPr>
          </w:p>
        </w:tc>
        <w:tc>
          <w:tcPr>
            <w:tcW w:w="14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23,042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Borders>
              <w:right w:val="single" w:sz="8" w:color="2D53A6"/>
            </w:tcBorders>
            <w:gridSpan w:val="2"/>
          </w:tcPr>
          <w:p>
            <w:pPr>
              <w:ind w:left="180"/>
              <w:spacing w:after="0" w:line="202" w:lineRule="exact"/>
              <w:rPr>
                <w:sz w:val="20"/>
                <w:szCs w:val="20"/>
                <w:color w:val="auto"/>
              </w:rPr>
            </w:pPr>
            <w:r>
              <w:rPr>
                <w:rFonts w:ascii="Arial" w:cs="Arial" w:eastAsia="Arial" w:hAnsi="Arial"/>
                <w:sz w:val="18"/>
                <w:szCs w:val="18"/>
                <w:color w:val="auto"/>
              </w:rPr>
              <w:t>Amortization of purchased intangible assets</w:t>
            </w:r>
          </w:p>
        </w:tc>
        <w:tc>
          <w:tcPr>
            <w:tcW w:w="80" w:type="dxa"/>
            <w:vAlign w:val="bottom"/>
          </w:tcPr>
          <w:p>
            <w:pPr>
              <w:spacing w:after="0"/>
              <w:rPr>
                <w:sz w:val="17"/>
                <w:szCs w:val="17"/>
                <w:color w:val="auto"/>
              </w:rPr>
            </w:pPr>
          </w:p>
        </w:tc>
        <w:tc>
          <w:tcPr>
            <w:tcW w:w="14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37,466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Borders>
              <w:right w:val="single" w:sz="8" w:color="2D53A6"/>
            </w:tcBorders>
            <w:gridSpan w:val="2"/>
          </w:tcPr>
          <w:p>
            <w:pPr>
              <w:ind w:left="180"/>
              <w:spacing w:after="0" w:line="202" w:lineRule="exact"/>
              <w:rPr>
                <w:sz w:val="20"/>
                <w:szCs w:val="20"/>
                <w:color w:val="auto"/>
              </w:rPr>
            </w:pPr>
            <w:r>
              <w:rPr>
                <w:rFonts w:ascii="Arial" w:cs="Arial" w:eastAsia="Arial" w:hAnsi="Arial"/>
                <w:sz w:val="18"/>
                <w:szCs w:val="18"/>
                <w:color w:val="auto"/>
              </w:rPr>
              <w:t>Restructuring charges related to inventory adjustments in cost of sales</w:t>
            </w:r>
          </w:p>
        </w:tc>
        <w:tc>
          <w:tcPr>
            <w:tcW w:w="80" w:type="dxa"/>
            <w:vAlign w:val="bottom"/>
          </w:tcPr>
          <w:p>
            <w:pPr>
              <w:spacing w:after="0"/>
              <w:rPr>
                <w:sz w:val="17"/>
                <w:szCs w:val="17"/>
                <w:color w:val="auto"/>
              </w:rPr>
            </w:pPr>
          </w:p>
        </w:tc>
        <w:tc>
          <w:tcPr>
            <w:tcW w:w="14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745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Borders>
              <w:right w:val="single" w:sz="8" w:color="2D53A6"/>
            </w:tcBorders>
            <w:gridSpan w:val="2"/>
          </w:tcPr>
          <w:p>
            <w:pPr>
              <w:ind w:left="180"/>
              <w:spacing w:after="0" w:line="202" w:lineRule="exact"/>
              <w:rPr>
                <w:sz w:val="20"/>
                <w:szCs w:val="20"/>
                <w:color w:val="auto"/>
              </w:rPr>
            </w:pPr>
            <w:r>
              <w:rPr>
                <w:rFonts w:ascii="Arial" w:cs="Arial" w:eastAsia="Arial" w:hAnsi="Arial"/>
                <w:sz w:val="18"/>
                <w:szCs w:val="18"/>
                <w:color w:val="auto"/>
              </w:rPr>
              <w:t>Restructuring charges</w:t>
            </w:r>
          </w:p>
        </w:tc>
        <w:tc>
          <w:tcPr>
            <w:tcW w:w="80" w:type="dxa"/>
            <w:vAlign w:val="bottom"/>
          </w:tcPr>
          <w:p>
            <w:pPr>
              <w:spacing w:after="0"/>
              <w:rPr>
                <w:sz w:val="17"/>
                <w:szCs w:val="17"/>
                <w:color w:val="auto"/>
              </w:rPr>
            </w:pPr>
          </w:p>
        </w:tc>
        <w:tc>
          <w:tcPr>
            <w:tcW w:w="14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10,143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Borders>
              <w:right w:val="single" w:sz="8" w:color="2D53A6"/>
            </w:tcBorders>
            <w:gridSpan w:val="2"/>
          </w:tcPr>
          <w:p>
            <w:pPr>
              <w:ind w:left="180"/>
              <w:spacing w:after="0" w:line="202" w:lineRule="exact"/>
              <w:rPr>
                <w:sz w:val="20"/>
                <w:szCs w:val="20"/>
                <w:color w:val="auto"/>
              </w:rPr>
            </w:pPr>
            <w:r>
              <w:rPr>
                <w:rFonts w:ascii="Arial" w:cs="Arial" w:eastAsia="Arial" w:hAnsi="Arial"/>
                <w:sz w:val="18"/>
                <w:szCs w:val="18"/>
                <w:color w:val="auto"/>
              </w:rPr>
              <w:t>Manufacturing transition and severance costs</w:t>
            </w:r>
          </w:p>
        </w:tc>
        <w:tc>
          <w:tcPr>
            <w:tcW w:w="80" w:type="dxa"/>
            <w:vAlign w:val="bottom"/>
          </w:tcPr>
          <w:p>
            <w:pPr>
              <w:spacing w:after="0"/>
              <w:rPr>
                <w:sz w:val="17"/>
                <w:szCs w:val="17"/>
                <w:color w:val="auto"/>
              </w:rPr>
            </w:pPr>
          </w:p>
        </w:tc>
        <w:tc>
          <w:tcPr>
            <w:tcW w:w="14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519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Borders>
              <w:right w:val="single" w:sz="8" w:color="2D53A6"/>
            </w:tcBorders>
            <w:gridSpan w:val="2"/>
          </w:tcPr>
          <w:p>
            <w:pPr>
              <w:ind w:left="180"/>
              <w:spacing w:after="0" w:line="202" w:lineRule="exact"/>
              <w:rPr>
                <w:sz w:val="20"/>
                <w:szCs w:val="20"/>
                <w:color w:val="auto"/>
              </w:rPr>
            </w:pPr>
            <w:r>
              <w:rPr>
                <w:rFonts w:ascii="Arial" w:cs="Arial" w:eastAsia="Arial" w:hAnsi="Arial"/>
                <w:sz w:val="18"/>
                <w:szCs w:val="18"/>
                <w:color w:val="auto"/>
              </w:rPr>
              <w:t>Impairment charges included in SG&amp;A</w:t>
            </w:r>
          </w:p>
        </w:tc>
        <w:tc>
          <w:tcPr>
            <w:tcW w:w="80" w:type="dxa"/>
            <w:vAlign w:val="bottom"/>
          </w:tcPr>
          <w:p>
            <w:pPr>
              <w:spacing w:after="0"/>
              <w:rPr>
                <w:sz w:val="17"/>
                <w:szCs w:val="17"/>
                <w:color w:val="auto"/>
              </w:rPr>
            </w:pPr>
          </w:p>
        </w:tc>
        <w:tc>
          <w:tcPr>
            <w:tcW w:w="14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(449)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Borders>
              <w:right w:val="single" w:sz="8" w:color="2D53A6"/>
            </w:tcBorders>
            <w:gridSpan w:val="2"/>
          </w:tcPr>
          <w:p>
            <w:pPr>
              <w:ind w:left="180"/>
              <w:spacing w:after="0" w:line="202" w:lineRule="exact"/>
              <w:rPr>
                <w:sz w:val="20"/>
                <w:szCs w:val="20"/>
                <w:color w:val="auto"/>
              </w:rPr>
            </w:pPr>
            <w:r>
              <w:rPr>
                <w:rFonts w:ascii="Arial" w:cs="Arial" w:eastAsia="Arial" w:hAnsi="Arial"/>
                <w:sz w:val="18"/>
                <w:szCs w:val="18"/>
                <w:color w:val="auto"/>
              </w:rPr>
              <w:t>Acquisition and financing costs included in SG&amp;A</w:t>
            </w:r>
          </w:p>
        </w:tc>
        <w:tc>
          <w:tcPr>
            <w:tcW w:w="80" w:type="dxa"/>
            <w:vAlign w:val="bottom"/>
          </w:tcPr>
          <w:p>
            <w:pPr>
              <w:spacing w:after="0"/>
              <w:rPr>
                <w:sz w:val="17"/>
                <w:szCs w:val="17"/>
                <w:color w:val="auto"/>
              </w:rPr>
            </w:pPr>
          </w:p>
        </w:tc>
        <w:tc>
          <w:tcPr>
            <w:tcW w:w="14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457</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Borders>
              <w:right w:val="single" w:sz="8" w:color="2D53A6"/>
            </w:tcBorders>
            <w:gridSpan w:val="2"/>
          </w:tcPr>
          <w:p>
            <w:pPr>
              <w:ind w:left="180"/>
              <w:spacing w:after="0" w:line="202" w:lineRule="exact"/>
              <w:rPr>
                <w:sz w:val="20"/>
                <w:szCs w:val="20"/>
                <w:color w:val="auto"/>
              </w:rPr>
            </w:pPr>
            <w:r>
              <w:rPr>
                <w:rFonts w:ascii="Arial" w:cs="Arial" w:eastAsia="Arial" w:hAnsi="Arial"/>
                <w:sz w:val="18"/>
                <w:szCs w:val="18"/>
                <w:color w:val="auto"/>
              </w:rPr>
              <w:t>Duplicate facility costs</w:t>
            </w:r>
          </w:p>
        </w:tc>
        <w:tc>
          <w:tcPr>
            <w:tcW w:w="80" w:type="dxa"/>
            <w:vAlign w:val="bottom"/>
          </w:tcPr>
          <w:p>
            <w:pPr>
              <w:spacing w:after="0"/>
              <w:rPr>
                <w:sz w:val="17"/>
                <w:szCs w:val="17"/>
                <w:color w:val="auto"/>
              </w:rPr>
            </w:pPr>
          </w:p>
        </w:tc>
        <w:tc>
          <w:tcPr>
            <w:tcW w:w="14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1,799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Borders>
              <w:right w:val="single" w:sz="8" w:color="2D53A6"/>
            </w:tcBorders>
            <w:gridSpan w:val="2"/>
          </w:tcPr>
          <w:p>
            <w:pPr>
              <w:ind w:left="180"/>
              <w:spacing w:after="0" w:line="202" w:lineRule="exact"/>
              <w:rPr>
                <w:sz w:val="20"/>
                <w:szCs w:val="20"/>
                <w:color w:val="auto"/>
              </w:rPr>
            </w:pPr>
            <w:r>
              <w:rPr>
                <w:rFonts w:ascii="Arial" w:cs="Arial" w:eastAsia="Arial" w:hAnsi="Arial"/>
                <w:sz w:val="18"/>
                <w:szCs w:val="18"/>
                <w:color w:val="auto"/>
              </w:rPr>
              <w:t>Adjustment to contingent consideration</w:t>
            </w:r>
          </w:p>
        </w:tc>
        <w:tc>
          <w:tcPr>
            <w:tcW w:w="80" w:type="dxa"/>
            <w:vAlign w:val="bottom"/>
          </w:tcPr>
          <w:p>
            <w:pPr>
              <w:spacing w:after="0"/>
              <w:rPr>
                <w:sz w:val="17"/>
                <w:szCs w:val="17"/>
                <w:color w:val="auto"/>
              </w:rPr>
            </w:pPr>
          </w:p>
        </w:tc>
        <w:tc>
          <w:tcPr>
            <w:tcW w:w="14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(1,700)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Borders>
              <w:right w:val="single" w:sz="8" w:color="2D53A6"/>
            </w:tcBorders>
            <w:gridSpan w:val="2"/>
          </w:tcPr>
          <w:p>
            <w:pPr>
              <w:ind w:left="180"/>
              <w:spacing w:after="0" w:line="202" w:lineRule="exact"/>
              <w:rPr>
                <w:sz w:val="20"/>
                <w:szCs w:val="20"/>
                <w:color w:val="auto"/>
              </w:rPr>
            </w:pPr>
            <w:r>
              <w:rPr>
                <w:rFonts w:ascii="Arial" w:cs="Arial" w:eastAsia="Arial" w:hAnsi="Arial"/>
                <w:sz w:val="18"/>
                <w:szCs w:val="18"/>
                <w:color w:val="auto"/>
              </w:rPr>
              <w:t>Adjustments to indemnification receivable</w:t>
            </w:r>
          </w:p>
        </w:tc>
        <w:tc>
          <w:tcPr>
            <w:tcW w:w="80" w:type="dxa"/>
            <w:vAlign w:val="bottom"/>
          </w:tcPr>
          <w:p>
            <w:pPr>
              <w:spacing w:after="0"/>
              <w:rPr>
                <w:sz w:val="17"/>
                <w:szCs w:val="17"/>
                <w:color w:val="auto"/>
              </w:rPr>
            </w:pPr>
          </w:p>
        </w:tc>
        <w:tc>
          <w:tcPr>
            <w:tcW w:w="14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(123)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380" w:type="dxa"/>
            <w:vAlign w:val="bottom"/>
            <w:tcBorders>
              <w:bottom w:val="single" w:sz="8" w:color="2D53A6"/>
              <w:right w:val="single" w:sz="8" w:color="2D53A6"/>
            </w:tcBorders>
            <w:gridSpan w:val="2"/>
          </w:tcPr>
          <w:p>
            <w:pPr>
              <w:ind w:left="180"/>
              <w:spacing w:after="0"/>
              <w:rPr>
                <w:sz w:val="20"/>
                <w:szCs w:val="20"/>
                <w:color w:val="auto"/>
              </w:rPr>
            </w:pPr>
            <w:r>
              <w:rPr>
                <w:rFonts w:ascii="Arial" w:cs="Arial" w:eastAsia="Arial" w:hAnsi="Arial"/>
                <w:sz w:val="18"/>
                <w:szCs w:val="18"/>
                <w:color w:val="auto"/>
              </w:rPr>
              <w:t>Pension curtailment adjustment</w:t>
            </w:r>
          </w:p>
        </w:tc>
        <w:tc>
          <w:tcPr>
            <w:tcW w:w="80" w:type="dxa"/>
            <w:vAlign w:val="bottom"/>
            <w:tcBorders>
              <w:bottom w:val="single" w:sz="8" w:color="2D53A6"/>
            </w:tcBorders>
          </w:tcPr>
          <w:p>
            <w:pPr>
              <w:spacing w:after="0"/>
              <w:rPr>
                <w:sz w:val="19"/>
                <w:szCs w:val="19"/>
                <w:color w:val="auto"/>
              </w:rPr>
            </w:pPr>
          </w:p>
        </w:tc>
        <w:tc>
          <w:tcPr>
            <w:tcW w:w="1480" w:type="dxa"/>
            <w:vAlign w:val="bottom"/>
            <w:tcBorders>
              <w:bottom w:val="single" w:sz="8" w:color="2D53A6"/>
            </w:tcBorders>
            <w:gridSpan w:val="4"/>
          </w:tcPr>
          <w:p>
            <w:pPr>
              <w:jc w:val="right"/>
              <w:spacing w:after="0"/>
              <w:rPr>
                <w:sz w:val="20"/>
                <w:szCs w:val="20"/>
                <w:color w:val="auto"/>
              </w:rPr>
            </w:pPr>
            <w:r>
              <w:rPr>
                <w:rFonts w:ascii="Arial" w:cs="Arial" w:eastAsia="Arial" w:hAnsi="Arial"/>
                <w:sz w:val="18"/>
                <w:szCs w:val="18"/>
                <w:color w:val="auto"/>
              </w:rPr>
              <w:t>(2,159)</w:t>
            </w:r>
          </w:p>
        </w:tc>
        <w:tc>
          <w:tcPr>
            <w:tcW w:w="160" w:type="dxa"/>
            <w:vAlign w:val="bottom"/>
            <w:tcBorders>
              <w:bottom w:val="single" w:sz="8" w:color="2D53A6"/>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460" w:type="dxa"/>
            <w:vAlign w:val="bottom"/>
            <w:gridSpan w:val="3"/>
          </w:tcPr>
          <w:p>
            <w:pPr>
              <w:spacing w:after="0" w:line="169" w:lineRule="exact"/>
              <w:rPr>
                <w:sz w:val="20"/>
                <w:szCs w:val="20"/>
                <w:color w:val="auto"/>
              </w:rPr>
            </w:pPr>
            <w:r>
              <w:rPr>
                <w:rFonts w:ascii="Arial" w:cs="Arial" w:eastAsia="Arial" w:hAnsi="Arial"/>
                <w:sz w:val="18"/>
                <w:szCs w:val="18"/>
                <w:color w:val="auto"/>
              </w:rPr>
              <w:t>Pretax income - non-GAAP basis</w:t>
            </w:r>
          </w:p>
        </w:tc>
        <w:tc>
          <w:tcPr>
            <w:tcW w:w="1480" w:type="dxa"/>
            <w:vAlign w:val="bottom"/>
            <w:gridSpan w:val="4"/>
          </w:tcPr>
          <w:p>
            <w:pPr>
              <w:jc w:val="right"/>
              <w:ind w:right="60"/>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7,333</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2D53A6"/>
            </w:tcBorders>
          </w:tcPr>
          <w:p>
            <w:pPr>
              <w:spacing w:after="0" w:line="20" w:lineRule="exact"/>
              <w:rPr>
                <w:sz w:val="1"/>
                <w:szCs w:val="1"/>
                <w:color w:val="auto"/>
              </w:rPr>
            </w:pPr>
          </w:p>
        </w:tc>
        <w:tc>
          <w:tcPr>
            <w:tcW w:w="6980" w:type="dxa"/>
            <w:vAlign w:val="bottom"/>
            <w:tcBorders>
              <w:bottom w:val="single" w:sz="8" w:color="2D53A6"/>
            </w:tcBorders>
          </w:tcPr>
          <w:p>
            <w:pPr>
              <w:spacing w:after="0" w:line="20" w:lineRule="exact"/>
              <w:rPr>
                <w:sz w:val="1"/>
                <w:szCs w:val="1"/>
                <w:color w:val="auto"/>
              </w:rPr>
            </w:pPr>
          </w:p>
        </w:tc>
        <w:tc>
          <w:tcPr>
            <w:tcW w:w="80" w:type="dxa"/>
            <w:vAlign w:val="bottom"/>
            <w:tcBorders>
              <w:bottom w:val="single" w:sz="8" w:color="2D53A6"/>
            </w:tcBorders>
          </w:tcPr>
          <w:p>
            <w:pPr>
              <w:spacing w:after="0" w:line="20" w:lineRule="exact"/>
              <w:rPr>
                <w:sz w:val="1"/>
                <w:szCs w:val="1"/>
                <w:color w:val="auto"/>
              </w:rPr>
            </w:pPr>
          </w:p>
        </w:tc>
        <w:tc>
          <w:tcPr>
            <w:tcW w:w="740" w:type="dxa"/>
            <w:vAlign w:val="bottom"/>
            <w:tcBorders>
              <w:bottom w:val="single" w:sz="8" w:color="2D53A6"/>
            </w:tcBorders>
          </w:tcPr>
          <w:p>
            <w:pPr>
              <w:spacing w:after="0" w:line="20" w:lineRule="exact"/>
              <w:rPr>
                <w:sz w:val="1"/>
                <w:szCs w:val="1"/>
                <w:color w:val="auto"/>
              </w:rPr>
            </w:pPr>
          </w:p>
        </w:tc>
        <w:tc>
          <w:tcPr>
            <w:tcW w:w="120" w:type="dxa"/>
            <w:vAlign w:val="bottom"/>
            <w:tcBorders>
              <w:bottom w:val="single" w:sz="8" w:color="2D53A6"/>
            </w:tcBorders>
          </w:tcPr>
          <w:p>
            <w:pPr>
              <w:spacing w:after="0" w:line="20" w:lineRule="exact"/>
              <w:rPr>
                <w:sz w:val="1"/>
                <w:szCs w:val="1"/>
                <w:color w:val="auto"/>
              </w:rPr>
            </w:pPr>
          </w:p>
        </w:tc>
        <w:tc>
          <w:tcPr>
            <w:tcW w:w="560" w:type="dxa"/>
            <w:vAlign w:val="bottom"/>
            <w:tcBorders>
              <w:top w:val="single" w:sz="8" w:color="auto"/>
              <w:bottom w:val="single" w:sz="8" w:color="2D53A6"/>
            </w:tcBorders>
          </w:tcPr>
          <w:p>
            <w:pPr>
              <w:spacing w:after="0" w:line="20" w:lineRule="exact"/>
              <w:rPr>
                <w:sz w:val="1"/>
                <w:szCs w:val="1"/>
                <w:color w:val="auto"/>
              </w:rPr>
            </w:pPr>
          </w:p>
        </w:tc>
        <w:tc>
          <w:tcPr>
            <w:tcW w:w="60" w:type="dxa"/>
            <w:vAlign w:val="bottom"/>
            <w:tcBorders>
              <w:bottom w:val="single" w:sz="8" w:color="2D53A6"/>
            </w:tcBorders>
          </w:tcPr>
          <w:p>
            <w:pPr>
              <w:spacing w:after="0" w:line="20" w:lineRule="exact"/>
              <w:rPr>
                <w:sz w:val="1"/>
                <w:szCs w:val="1"/>
                <w:color w:val="auto"/>
              </w:rPr>
            </w:pPr>
          </w:p>
        </w:tc>
        <w:tc>
          <w:tcPr>
            <w:tcW w:w="160" w:type="dxa"/>
            <w:vAlign w:val="bottom"/>
            <w:tcBorders>
              <w:bottom w:val="single" w:sz="8" w:color="2D53A6"/>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460" w:type="dxa"/>
            <w:vAlign w:val="bottom"/>
            <w:gridSpan w:val="3"/>
          </w:tcPr>
          <w:p>
            <w:pPr>
              <w:spacing w:after="0"/>
              <w:rPr>
                <w:sz w:val="20"/>
                <w:szCs w:val="20"/>
                <w:color w:val="auto"/>
              </w:rPr>
            </w:pPr>
            <w:r>
              <w:rPr>
                <w:rFonts w:ascii="Arial" w:cs="Arial" w:eastAsia="Arial" w:hAnsi="Arial"/>
                <w:sz w:val="18"/>
                <w:szCs w:val="18"/>
                <w:color w:val="auto"/>
              </w:rPr>
              <w:t>Pretax loss - GAAP basis (as a % of net sales)</w:t>
            </w:r>
          </w:p>
        </w:tc>
        <w:tc>
          <w:tcPr>
            <w:tcW w:w="1640" w:type="dxa"/>
            <w:vAlign w:val="bottom"/>
            <w:gridSpan w:val="5"/>
          </w:tcPr>
          <w:p>
            <w:pPr>
              <w:jc w:val="right"/>
              <w:spacing w:after="0"/>
              <w:rPr>
                <w:sz w:val="20"/>
                <w:szCs w:val="20"/>
                <w:color w:val="auto"/>
              </w:rPr>
            </w:pPr>
            <w:r>
              <w:rPr>
                <w:rFonts w:ascii="Arial" w:cs="Arial" w:eastAsia="Arial" w:hAnsi="Arial"/>
                <w:sz w:val="18"/>
                <w:szCs w:val="18"/>
                <w:color w:val="auto"/>
              </w:rPr>
              <w:t>(13.8)%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460" w:type="dxa"/>
            <w:vAlign w:val="bottom"/>
            <w:gridSpan w:val="3"/>
          </w:tcPr>
          <w:p>
            <w:pPr>
              <w:spacing w:after="0"/>
              <w:rPr>
                <w:sz w:val="20"/>
                <w:szCs w:val="20"/>
                <w:color w:val="auto"/>
              </w:rPr>
            </w:pPr>
            <w:r>
              <w:rPr>
                <w:rFonts w:ascii="Arial" w:cs="Arial" w:eastAsia="Arial" w:hAnsi="Arial"/>
                <w:sz w:val="18"/>
                <w:szCs w:val="18"/>
                <w:color w:val="auto"/>
              </w:rPr>
              <w:t>Pretax income - non-GAAP basis (as a % of net sales)</w:t>
            </w:r>
          </w:p>
        </w:tc>
        <w:tc>
          <w:tcPr>
            <w:tcW w:w="1640" w:type="dxa"/>
            <w:vAlign w:val="bottom"/>
            <w:gridSpan w:val="5"/>
          </w:tcPr>
          <w:p>
            <w:pPr>
              <w:jc w:val="right"/>
              <w:ind w:right="6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380" w:type="dxa"/>
            <w:vAlign w:val="bottom"/>
            <w:gridSpan w:val="2"/>
          </w:tcPr>
          <w:p>
            <w:pPr>
              <w:ind w:left="55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400" w:type="dxa"/>
            <w:vAlign w:val="bottom"/>
            <w:tcBorders>
              <w:bottom w:val="single" w:sz="8" w:color="auto"/>
            </w:tcBorders>
          </w:tcPr>
          <w:p>
            <w:pPr>
              <w:spacing w:after="0"/>
              <w:rPr>
                <w:sz w:val="8"/>
                <w:szCs w:val="8"/>
                <w:color w:val="auto"/>
              </w:rPr>
            </w:pPr>
          </w:p>
        </w:tc>
        <w:tc>
          <w:tcPr>
            <w:tcW w:w="6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Appendix B</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i w:val="1"/>
          <w:iCs w:val="1"/>
          <w:color w:val="2D53A6"/>
        </w:rPr>
        <w:t>Proposed Amendment to the Cohu, Inc. Amended and Restated Certificate of Incorporation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Cohu, Inc., a corporation organized and existing under the laws of the State of Delaware (the “Corporation”), hereby certifies that:</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This Certificate of Amendment amends the provisions of the Corporation’s Amended and Restated Certificate of Incorporation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Pursuant to Section 242 of the Delaware General Corporation Law, this Certificate of Amendment hereby further amends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Certificate of Incorporation by deleting the first paragraph of ARTICLE FOURTH and substituting a new first paragraph to read in its entirety as follows:</w:t>
      </w:r>
    </w:p>
    <w:p>
      <w:pPr>
        <w:spacing w:after="0" w:line="15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“The total number of shares of all classes of stock which the Corporation shall have authority to issue is 151,000,000 shares, of which 1,000,000 shares shall constitute Preferred Stock having a par value of $1.00 per share and 150,000,000 shares shall constitute Common Stock having a par value of $1.00 per share.</w:t>
      </w:r>
      <w:r>
        <w:rPr>
          <w:rFonts w:ascii="Arial" w:cs="Arial" w:eastAsia="Arial" w:hAnsi="Arial"/>
          <w:sz w:val="18"/>
          <w:szCs w:val="18"/>
          <w:color w:val="auto"/>
        </w:rPr>
        <w:t>”</w:t>
      </w:r>
    </w:p>
    <w:p>
      <w:pPr>
        <w:spacing w:after="0" w:line="14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This Certificate of Amendment has been duly adopted by the stockholders of the Corporation in accordance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242 of the Delaware General Corporation Law.</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Appendix C</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2D53A6"/>
        </w:rPr>
        <w:t>Cohu, Inc. 2026 Equity Incentive Plan</w:t>
      </w:r>
    </w:p>
    <w:p>
      <w:pPr>
        <w:spacing w:after="0" w:line="200" w:lineRule="exact"/>
        <w:rPr>
          <w:sz w:val="20"/>
          <w:szCs w:val="20"/>
          <w:color w:val="auto"/>
        </w:rPr>
      </w:pPr>
    </w:p>
    <w:p>
      <w:pPr>
        <w:spacing w:after="0" w:line="203"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stablishment</w:t>
      </w:r>
      <w:r>
        <w:rPr>
          <w:rFonts w:ascii="Arial" w:cs="Arial" w:eastAsia="Arial" w:hAnsi="Arial"/>
          <w:sz w:val="18"/>
          <w:szCs w:val="18"/>
          <w:b w:val="1"/>
          <w:bCs w:val="1"/>
          <w:u w:val="single" w:color="auto"/>
          <w:color w:val="auto"/>
        </w:rPr>
        <w:t>, P</w:t>
      </w:r>
      <w:r>
        <w:rPr>
          <w:rFonts w:ascii="Arial" w:cs="Arial" w:eastAsia="Arial" w:hAnsi="Arial"/>
          <w:sz w:val="12"/>
          <w:szCs w:val="12"/>
          <w:b w:val="1"/>
          <w:bCs w:val="1"/>
          <w:u w:val="single" w:color="auto"/>
          <w:color w:val="auto"/>
        </w:rPr>
        <w:t>urpose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color w:val="auto"/>
        </w:rPr>
        <w:t>.</w:t>
      </w:r>
    </w:p>
    <w:p>
      <w:pPr>
        <w:spacing w:after="0" w:line="23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b w:val="1"/>
          <w:bCs w:val="1"/>
          <w:color w:val="auto"/>
        </w:rPr>
        <w:t>Establishment</w:t>
      </w:r>
      <w:r>
        <w:rPr>
          <w:rFonts w:ascii="Arial" w:cs="Arial" w:eastAsia="Arial" w:hAnsi="Arial"/>
          <w:sz w:val="17"/>
          <w:szCs w:val="17"/>
          <w:color w:val="auto"/>
        </w:rPr>
        <w:t>.</w:t>
      </w:r>
    </w:p>
    <w:p>
      <w:pPr>
        <w:spacing w:after="0" w:line="239" w:lineRule="exact"/>
        <w:rPr>
          <w:sz w:val="20"/>
          <w:szCs w:val="20"/>
          <w:color w:val="auto"/>
        </w:rPr>
      </w:pPr>
    </w:p>
    <w:p>
      <w:pPr>
        <w:ind w:right="120" w:firstLine="1952"/>
        <w:spacing w:after="0" w:line="271" w:lineRule="auto"/>
        <w:tabs>
          <w:tab w:leader="none" w:pos="236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Cohu, Inc. 2026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hereby established effective as of the Effective Date. Certain capitalized terms used herein have the meanings set forth in Section 2 of the Plan.</w:t>
      </w:r>
    </w:p>
    <w:p>
      <w:pPr>
        <w:spacing w:after="0" w:line="140" w:lineRule="exact"/>
        <w:rPr>
          <w:rFonts w:ascii="Arial" w:cs="Arial" w:eastAsia="Arial" w:hAnsi="Arial"/>
          <w:sz w:val="18"/>
          <w:szCs w:val="18"/>
          <w:color w:val="auto"/>
        </w:rPr>
      </w:pPr>
    </w:p>
    <w:p>
      <w:pPr>
        <w:ind w:right="240" w:firstLine="1952"/>
        <w:spacing w:after="0" w:line="244" w:lineRule="auto"/>
        <w:tabs>
          <w:tab w:leader="none" w:pos="236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Plan is the successor to the Prior Plan. As of the Effective Date: (i) no additional awards may be granted under the Prior Plan; (ii) any Returning Shares will become available for issuance pursuant to Awards granted under this Plan; and (iii) all awards granted under the Prior Plan that are outstanding on the Effective Date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63"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Purpose</w:t>
      </w:r>
      <w:r>
        <w:rPr>
          <w:rFonts w:ascii="Arial" w:cs="Arial" w:eastAsia="Arial" w:hAnsi="Arial"/>
          <w:sz w:val="18"/>
          <w:szCs w:val="18"/>
          <w:color w:val="auto"/>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63" w:lineRule="exact"/>
        <w:rPr>
          <w:sz w:val="20"/>
          <w:szCs w:val="20"/>
          <w:color w:val="auto"/>
        </w:rPr>
      </w:pPr>
    </w:p>
    <w:p>
      <w:pPr>
        <w:ind w:right="40" w:firstLine="1296"/>
        <w:spacing w:after="0" w:line="24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Term of Plan</w:t>
      </w:r>
      <w:r>
        <w:rPr>
          <w:rFonts w:ascii="Arial" w:cs="Arial" w:eastAsia="Arial" w:hAnsi="Arial"/>
          <w:sz w:val="18"/>
          <w:szCs w:val="18"/>
          <w:color w:val="auto"/>
        </w:rPr>
        <w:t>. The Plan shall continue in effect until its termination by the Committee; provided, however, that any Incentive Stock Option shall be granted, if at all, within ten (10) years from the earlier of: (i) the date the Board or the Committee most recently approved the applicable number of shares issuable under the Plan pursuant to the exercise of Incentive Stock Options, or (ii) the date the Company’s stockholders most recently approved the maximum applicable number of shares issuable under the Plan pursuant to the exercise of Incentive Stock Options.</w:t>
      </w:r>
    </w:p>
    <w:p>
      <w:pPr>
        <w:spacing w:after="0" w:line="163"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efinitions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onstruction</w:t>
      </w:r>
      <w:r>
        <w:rPr>
          <w:rFonts w:ascii="Arial" w:cs="Arial" w:eastAsia="Arial" w:hAnsi="Arial"/>
          <w:sz w:val="18"/>
          <w:szCs w:val="18"/>
          <w:color w:val="auto"/>
        </w:rPr>
        <w:t>.</w:t>
      </w:r>
    </w:p>
    <w:p>
      <w:pPr>
        <w:spacing w:after="0" w:line="23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color w:val="auto"/>
        </w:rPr>
        <w:t>Definitions</w:t>
      </w:r>
      <w:r>
        <w:rPr>
          <w:rFonts w:ascii="Arial" w:cs="Arial" w:eastAsia="Arial" w:hAnsi="Arial"/>
          <w:sz w:val="17"/>
          <w:szCs w:val="17"/>
          <w:color w:val="auto"/>
        </w:rPr>
        <w:t>. Whenever used herein, the following terms shall have their respective meanings set forth below:</w:t>
      </w:r>
    </w:p>
    <w:p>
      <w:pPr>
        <w:spacing w:after="0" w:line="198" w:lineRule="exact"/>
        <w:rPr>
          <w:sz w:val="20"/>
          <w:szCs w:val="20"/>
          <w:color w:val="auto"/>
        </w:rPr>
      </w:pPr>
    </w:p>
    <w:p>
      <w:pPr>
        <w:ind w:firstLine="1952"/>
        <w:spacing w:after="0" w:line="244" w:lineRule="auto"/>
        <w:tabs>
          <w:tab w:leader="none" w:pos="25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spacing w:after="0" w:line="162" w:lineRule="exact"/>
        <w:rPr>
          <w:rFonts w:ascii="Arial" w:cs="Arial" w:eastAsia="Arial" w:hAnsi="Arial"/>
          <w:sz w:val="18"/>
          <w:szCs w:val="18"/>
          <w:color w:val="auto"/>
        </w:rPr>
      </w:pPr>
    </w:p>
    <w:p>
      <w:pPr>
        <w:jc w:val="both"/>
        <w:ind w:right="320" w:firstLine="1952"/>
        <w:spacing w:after="0" w:line="253" w:lineRule="auto"/>
        <w:tabs>
          <w:tab w:leader="none" w:pos="25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Purchase Right, Restricted Stock Bonus, Restricted Stock Unit, Performance Share, Performance Unit, Cash-Based Award or Other Stock-Based Award granted under the Plan.</w:t>
      </w:r>
    </w:p>
    <w:p>
      <w:pPr>
        <w:spacing w:after="0" w:line="155" w:lineRule="exact"/>
        <w:rPr>
          <w:rFonts w:ascii="Arial" w:cs="Arial" w:eastAsia="Arial" w:hAnsi="Arial"/>
          <w:sz w:val="18"/>
          <w:szCs w:val="18"/>
          <w:color w:val="auto"/>
        </w:rPr>
      </w:pPr>
    </w:p>
    <w:p>
      <w:pPr>
        <w:ind w:right="500" w:firstLine="1952"/>
        <w:spacing w:after="0" w:line="271" w:lineRule="auto"/>
        <w:tabs>
          <w:tab w:leader="none" w:pos="2554"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or electronic agreement between the Company and a Participant setting forth the terms, conditions and restrictions applicable to an Award.</w:t>
      </w:r>
    </w:p>
    <w:p>
      <w:pPr>
        <w:spacing w:after="0" w:line="140" w:lineRule="exact"/>
        <w:rPr>
          <w:rFonts w:ascii="Arial" w:cs="Arial" w:eastAsia="Arial" w:hAnsi="Arial"/>
          <w:sz w:val="18"/>
          <w:szCs w:val="18"/>
          <w:color w:val="auto"/>
        </w:rPr>
      </w:pPr>
    </w:p>
    <w:p>
      <w:pPr>
        <w:ind w:left="2580" w:hanging="628"/>
        <w:spacing w:after="0"/>
        <w:tabs>
          <w:tab w:leader="none" w:pos="2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98" w:lineRule="exact"/>
        <w:rPr>
          <w:rFonts w:ascii="Arial" w:cs="Arial" w:eastAsia="Arial" w:hAnsi="Arial"/>
          <w:sz w:val="18"/>
          <w:szCs w:val="18"/>
          <w:color w:val="auto"/>
        </w:rPr>
      </w:pPr>
    </w:p>
    <w:p>
      <w:pPr>
        <w:ind w:left="2580" w:hanging="628"/>
        <w:spacing w:after="0"/>
        <w:tabs>
          <w:tab w:leader="none" w:pos="2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Cash-Based Award</w:t>
      </w:r>
      <w:r>
        <w:rPr>
          <w:rFonts w:ascii="Arial" w:cs="Arial" w:eastAsia="Arial" w:hAnsi="Arial"/>
          <w:sz w:val="18"/>
          <w:szCs w:val="18"/>
          <w:color w:val="auto"/>
        </w:rPr>
        <w:t>” means an Award denominated in cash and granted pursuant to Section 11.</w:t>
      </w:r>
    </w:p>
    <w:p>
      <w:pPr>
        <w:spacing w:after="0" w:line="198" w:lineRule="exact"/>
        <w:rPr>
          <w:rFonts w:ascii="Arial" w:cs="Arial" w:eastAsia="Arial" w:hAnsi="Arial"/>
          <w:sz w:val="18"/>
          <w:szCs w:val="18"/>
          <w:color w:val="auto"/>
        </w:rPr>
      </w:pPr>
    </w:p>
    <w:p>
      <w:pPr>
        <w:ind w:left="2580" w:hanging="628"/>
        <w:spacing w:after="0"/>
        <w:tabs>
          <w:tab w:leader="none" w:pos="2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Cashless Exercise</w:t>
      </w:r>
      <w:r>
        <w:rPr>
          <w:rFonts w:ascii="Arial" w:cs="Arial" w:eastAsia="Arial" w:hAnsi="Arial"/>
          <w:sz w:val="18"/>
          <w:szCs w:val="18"/>
          <w:color w:val="auto"/>
        </w:rPr>
        <w:t>” means a Cashless Exercise as defined in Section 6.3(b)(i).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40" w:firstLine="1952"/>
        <w:spacing w:after="0" w:line="254" w:lineRule="auto"/>
        <w:tabs>
          <w:tab w:leader="none" w:pos="2564" w:val="left"/>
        </w:tabs>
        <w:numPr>
          <w:ilvl w:val="1"/>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has the meaning ascribed to such term in any written agreement between the Participant and the applicable Participating Company that employs or engages Participant defining such term and, in the absence of such an agreement that contains such term, ”Cause” means, with respect to a Participant, the occurrence of any of the following events: (i) the Participant’s theft, dishonesty, willful misconduct, breach of fiduciary duty for personal profit, or falsification of any Participating Company documents or records;</w:t>
      </w:r>
    </w:p>
    <w:p>
      <w:pPr>
        <w:ind w:right="40" w:firstLine="8"/>
        <w:spacing w:after="0" w:line="236" w:lineRule="auto"/>
        <w:tabs>
          <w:tab w:leader="none" w:pos="2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of any criminal act involving fraud, dishonesty, misappropriation or moral turpitude, or which impairs the Participant’s ability to perform his or her duties with a Participating Company.</w:t>
      </w:r>
    </w:p>
    <w:p>
      <w:pPr>
        <w:spacing w:after="0" w:line="173" w:lineRule="exact"/>
        <w:rPr>
          <w:rFonts w:ascii="Arial" w:cs="Arial" w:eastAsia="Arial" w:hAnsi="Arial"/>
          <w:sz w:val="18"/>
          <w:szCs w:val="18"/>
          <w:color w:val="auto"/>
        </w:rPr>
      </w:pPr>
    </w:p>
    <w:p>
      <w:pPr>
        <w:ind w:right="200" w:firstLine="1952"/>
        <w:spacing w:after="0" w:line="271" w:lineRule="auto"/>
        <w:tabs>
          <w:tab w:leader="none" w:pos="25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unless otherwise defined in the applicable Award Agreement, the occurrence of any one or a combination of the following events in each case which is actually consummated:</w:t>
      </w:r>
    </w:p>
    <w:p>
      <w:pPr>
        <w:spacing w:after="0" w:line="140" w:lineRule="exact"/>
        <w:rPr>
          <w:rFonts w:ascii="Arial" w:cs="Arial" w:eastAsia="Arial" w:hAnsi="Arial"/>
          <w:sz w:val="18"/>
          <w:szCs w:val="18"/>
          <w:color w:val="auto"/>
        </w:rPr>
      </w:pPr>
    </w:p>
    <w:p>
      <w:pPr>
        <w:ind w:right="120" w:firstLine="2600"/>
        <w:spacing w:after="0" w:line="239" w:lineRule="auto"/>
        <w:tabs>
          <w:tab w:leader="none" w:pos="2952"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166" w:lineRule="exact"/>
        <w:rPr>
          <w:rFonts w:ascii="Arial" w:cs="Arial" w:eastAsia="Arial" w:hAnsi="Arial"/>
          <w:sz w:val="18"/>
          <w:szCs w:val="18"/>
          <w:color w:val="auto"/>
        </w:rPr>
      </w:pPr>
    </w:p>
    <w:p>
      <w:pPr>
        <w:ind w:left="3000" w:hanging="400"/>
        <w:spacing w:after="0"/>
        <w:tabs>
          <w:tab w:leader="none" w:pos="30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 Ownership Change Event or series of related Ownership Change Events (collectively, a</w:t>
      </w:r>
    </w:p>
    <w:p>
      <w:pPr>
        <w:spacing w:after="0" w:line="1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2.1(ff)(iii), the entity to which the assets of the Company were transferred (the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as the case may be; or</w:t>
      </w:r>
    </w:p>
    <w:p>
      <w:pPr>
        <w:spacing w:after="0" w:line="156" w:lineRule="exact"/>
        <w:rPr>
          <w:sz w:val="20"/>
          <w:szCs w:val="20"/>
          <w:color w:val="auto"/>
        </w:rPr>
      </w:pPr>
    </w:p>
    <w:p>
      <w:pPr>
        <w:ind w:right="660" w:firstLine="2600"/>
        <w:spacing w:after="0" w:line="271" w:lineRule="auto"/>
        <w:tabs>
          <w:tab w:leader="none" w:pos="30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date specified by the Committee following approval by the stockholders of a plan of complete liquidation or dissolution of the Company;</w:t>
      </w:r>
    </w:p>
    <w:p>
      <w:pPr>
        <w:spacing w:after="0" w:line="14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15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spacing w:after="0" w:line="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60" w:lineRule="exact"/>
        <w:rPr>
          <w:sz w:val="20"/>
          <w:szCs w:val="20"/>
          <w:color w:val="auto"/>
        </w:rPr>
      </w:pPr>
    </w:p>
    <w:p>
      <w:pPr>
        <w:ind w:right="700" w:firstLine="1952"/>
        <w:spacing w:after="0" w:line="271" w:lineRule="auto"/>
        <w:tabs>
          <w:tab w:leader="none" w:pos="2554"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any applicable regulations and administrative guidelines promulgated thereunder.</w:t>
      </w:r>
    </w:p>
    <w:p>
      <w:pPr>
        <w:spacing w:after="0" w:line="140" w:lineRule="exact"/>
        <w:rPr>
          <w:rFonts w:ascii="Arial" w:cs="Arial" w:eastAsia="Arial" w:hAnsi="Arial"/>
          <w:sz w:val="18"/>
          <w:szCs w:val="18"/>
          <w:color w:val="auto"/>
        </w:rPr>
      </w:pPr>
    </w:p>
    <w:p>
      <w:pPr>
        <w:ind w:right="20" w:firstLine="1952"/>
        <w:spacing w:after="0" w:line="239" w:lineRule="auto"/>
        <w:tabs>
          <w:tab w:leader="none" w:pos="2554"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spacing w:after="0" w:line="169" w:lineRule="exact"/>
        <w:rPr>
          <w:rFonts w:ascii="Arial" w:cs="Arial" w:eastAsia="Arial" w:hAnsi="Arial"/>
          <w:sz w:val="18"/>
          <w:szCs w:val="18"/>
          <w:color w:val="auto"/>
        </w:rPr>
      </w:pPr>
    </w:p>
    <w:p>
      <w:pPr>
        <w:ind w:left="2560" w:hanging="608"/>
        <w:spacing w:after="0"/>
        <w:tabs>
          <w:tab w:leader="none" w:pos="25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Cohu, Inc., a Delaware corporation, and any successor corporation thereto.</w:t>
      </w:r>
    </w:p>
    <w:p>
      <w:pPr>
        <w:spacing w:after="0" w:line="198" w:lineRule="exact"/>
        <w:rPr>
          <w:rFonts w:ascii="Arial" w:cs="Arial" w:eastAsia="Arial" w:hAnsi="Arial"/>
          <w:sz w:val="18"/>
          <w:szCs w:val="18"/>
          <w:color w:val="auto"/>
        </w:rPr>
      </w:pPr>
    </w:p>
    <w:p>
      <w:pPr>
        <w:ind w:right="180" w:firstLine="1952"/>
        <w:spacing w:after="0" w:line="247" w:lineRule="auto"/>
        <w:tabs>
          <w:tab w:leader="none" w:pos="2554"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60" w:lineRule="exact"/>
        <w:rPr>
          <w:rFonts w:ascii="Arial" w:cs="Arial" w:eastAsia="Arial" w:hAnsi="Arial"/>
          <w:sz w:val="18"/>
          <w:szCs w:val="18"/>
          <w:color w:val="auto"/>
        </w:rPr>
      </w:pPr>
    </w:p>
    <w:p>
      <w:pPr>
        <w:ind w:left="2580" w:hanging="628"/>
        <w:spacing w:after="0"/>
        <w:tabs>
          <w:tab w:leader="none" w:pos="2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98" w:lineRule="exact"/>
        <w:rPr>
          <w:rFonts w:ascii="Arial" w:cs="Arial" w:eastAsia="Arial" w:hAnsi="Arial"/>
          <w:sz w:val="18"/>
          <w:szCs w:val="18"/>
          <w:color w:val="auto"/>
        </w:rPr>
      </w:pPr>
    </w:p>
    <w:p>
      <w:pPr>
        <w:ind w:left="2580" w:hanging="628"/>
        <w:spacing w:after="0"/>
        <w:tabs>
          <w:tab w:leader="none" w:pos="2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the permanent and total disability of the Participant, within the meaning of Section 22(e)</w:t>
      </w:r>
    </w:p>
    <w:p>
      <w:pPr>
        <w:spacing w:after="0" w:line="13" w:lineRule="exact"/>
        <w:rPr>
          <w:rFonts w:ascii="Arial" w:cs="Arial" w:eastAsia="Arial" w:hAnsi="Arial"/>
          <w:sz w:val="18"/>
          <w:szCs w:val="18"/>
          <w:color w:val="auto"/>
        </w:rPr>
      </w:pPr>
    </w:p>
    <w:p>
      <w:pPr>
        <w:ind w:left="280" w:hanging="272"/>
        <w:spacing w:after="0"/>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of the Code.</w:t>
      </w:r>
    </w:p>
    <w:p>
      <w:pPr>
        <w:spacing w:after="0" w:line="180" w:lineRule="exact"/>
        <w:rPr>
          <w:rFonts w:ascii="Arial" w:cs="Arial" w:eastAsia="Arial" w:hAnsi="Arial"/>
          <w:sz w:val="18"/>
          <w:szCs w:val="18"/>
          <w:color w:val="auto"/>
        </w:rPr>
      </w:pPr>
    </w:p>
    <w:p>
      <w:pPr>
        <w:ind w:right="20" w:firstLine="1952"/>
        <w:spacing w:after="0" w:line="247" w:lineRule="auto"/>
        <w:tabs>
          <w:tab w:leader="none" w:pos="25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 No Dividend Equivalent Right shall be credited or paid with respect to any Option or SAR.</w:t>
      </w:r>
    </w:p>
    <w:p>
      <w:pPr>
        <w:spacing w:after="0" w:line="160" w:lineRule="exact"/>
        <w:rPr>
          <w:rFonts w:ascii="Arial" w:cs="Arial" w:eastAsia="Arial" w:hAnsi="Arial"/>
          <w:sz w:val="18"/>
          <w:szCs w:val="18"/>
          <w:color w:val="auto"/>
        </w:rPr>
      </w:pPr>
    </w:p>
    <w:p>
      <w:pPr>
        <w:ind w:right="600" w:firstLine="1952"/>
        <w:spacing w:after="0" w:line="271" w:lineRule="auto"/>
        <w:tabs>
          <w:tab w:leader="none" w:pos="25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of the annual meeting of shareholders of the Company held in 2026; provided, that this Plan is approved by the Company’s stockholders at such meeting.</w:t>
      </w:r>
    </w:p>
    <w:p>
      <w:pPr>
        <w:spacing w:after="0" w:line="140" w:lineRule="exact"/>
        <w:rPr>
          <w:rFonts w:ascii="Arial" w:cs="Arial" w:eastAsia="Arial" w:hAnsi="Arial"/>
          <w:sz w:val="18"/>
          <w:szCs w:val="18"/>
          <w:color w:val="auto"/>
        </w:rPr>
      </w:pPr>
    </w:p>
    <w:p>
      <w:pPr>
        <w:ind w:firstLine="1952"/>
        <w:spacing w:after="0" w:line="239" w:lineRule="auto"/>
        <w:tabs>
          <w:tab w:leader="none" w:pos="25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69" w:lineRule="exact"/>
        <w:rPr>
          <w:rFonts w:ascii="Arial" w:cs="Arial" w:eastAsia="Arial" w:hAnsi="Arial"/>
          <w:sz w:val="18"/>
          <w:szCs w:val="18"/>
          <w:color w:val="auto"/>
        </w:rPr>
      </w:pPr>
    </w:p>
    <w:p>
      <w:pPr>
        <w:ind w:left="2580" w:hanging="628"/>
        <w:spacing w:after="0"/>
        <w:tabs>
          <w:tab w:leader="none" w:pos="25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98" w:lineRule="exact"/>
        <w:rPr>
          <w:rFonts w:ascii="Arial" w:cs="Arial" w:eastAsia="Arial" w:hAnsi="Arial"/>
          <w:sz w:val="18"/>
          <w:szCs w:val="18"/>
          <w:color w:val="auto"/>
        </w:rPr>
      </w:pPr>
    </w:p>
    <w:p>
      <w:pPr>
        <w:ind w:right="20" w:firstLine="1952"/>
        <w:spacing w:after="0" w:line="253" w:lineRule="auto"/>
        <w:tabs>
          <w:tab w:leader="none" w:pos="2604"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Stock or other property as determined by the Committee, in its discretion, or by the Company, in its discretion, if such determination is expressly allocated to the Company herein, subject to the following:</w:t>
      </w:r>
    </w:p>
    <w:p>
      <w:pPr>
        <w:spacing w:after="0" w:line="155" w:lineRule="exact"/>
        <w:rPr>
          <w:rFonts w:ascii="Arial" w:cs="Arial" w:eastAsia="Arial" w:hAnsi="Arial"/>
          <w:sz w:val="18"/>
          <w:szCs w:val="18"/>
          <w:color w:val="auto"/>
        </w:rPr>
      </w:pPr>
    </w:p>
    <w:p>
      <w:pPr>
        <w:ind w:right="20" w:firstLine="2600"/>
        <w:spacing w:after="0"/>
        <w:tabs>
          <w:tab w:leader="none" w:pos="2952" w:val="left"/>
        </w:tabs>
        <w:numPr>
          <w:ilvl w:val="2"/>
          <w:numId w:val="71"/>
        </w:numPr>
        <w:rPr>
          <w:rFonts w:ascii="Arial" w:cs="Arial" w:eastAsia="Arial" w:hAnsi="Arial"/>
          <w:sz w:val="18"/>
          <w:szCs w:val="18"/>
          <w:color w:val="auto"/>
        </w:rPr>
      </w:pPr>
      <w:r>
        <w:rPr>
          <w:rFonts w:ascii="Arial" w:cs="Arial" w:eastAsia="Arial" w:hAnsi="Arial"/>
          <w:sz w:val="18"/>
          <w:szCs w:val="18"/>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firstLine="2600"/>
        <w:spacing w:after="0" w:line="253" w:lineRule="auto"/>
        <w:tabs>
          <w:tab w:leader="none" w:pos="2988" w:val="left"/>
        </w:tabs>
        <w:numPr>
          <w:ilvl w:val="2"/>
          <w:numId w:val="72"/>
        </w:numPr>
        <w:rPr>
          <w:rFonts w:ascii="Arial" w:cs="Arial" w:eastAsia="Arial" w:hAnsi="Arial"/>
          <w:sz w:val="17"/>
          <w:szCs w:val="17"/>
          <w:color w:val="auto"/>
        </w:rPr>
      </w:pPr>
      <w:r>
        <w:rPr>
          <w:rFonts w:ascii="Arial" w:cs="Arial" w:eastAsia="Arial" w:hAnsi="Arial"/>
          <w:sz w:val="17"/>
          <w:szCs w:val="17"/>
          <w:color w:val="auto"/>
        </w:rPr>
        <w:t>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w:t>
      </w:r>
    </w:p>
    <w:p>
      <w:pPr>
        <w:ind w:right="20" w:firstLine="8"/>
        <w:spacing w:after="0"/>
        <w:tabs>
          <w:tab w:leader="none" w:pos="37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days before or thirty (30) days after such date, provided that, with respect to the grant of an Option or SAR, the commitment to grant such Award based on such valuation method must be irrevocable before the beginning of the specified period and in a manner that is consistent with the requirements of Section 409A. The Committee may vary its method of determination of the Fair Market Value as provided in this Section for different purposes under the Plan to the extent consistent with the requirements of Section 409A.</w:t>
      </w:r>
    </w:p>
    <w:p>
      <w:pPr>
        <w:spacing w:after="0" w:line="166" w:lineRule="exact"/>
        <w:rPr>
          <w:rFonts w:ascii="Arial" w:cs="Arial" w:eastAsia="Arial" w:hAnsi="Arial"/>
          <w:sz w:val="18"/>
          <w:szCs w:val="18"/>
          <w:color w:val="auto"/>
        </w:rPr>
      </w:pPr>
    </w:p>
    <w:p>
      <w:pPr>
        <w:ind w:right="360" w:firstLine="2600"/>
        <w:spacing w:after="0" w:line="247" w:lineRule="auto"/>
        <w:tabs>
          <w:tab w:leader="none" w:pos="3032" w:val="left"/>
        </w:tabs>
        <w:numPr>
          <w:ilvl w:val="2"/>
          <w:numId w:val="73"/>
        </w:numPr>
        <w:rPr>
          <w:rFonts w:ascii="Arial" w:cs="Arial" w:eastAsia="Arial" w:hAnsi="Arial"/>
          <w:sz w:val="18"/>
          <w:szCs w:val="18"/>
          <w:color w:val="auto"/>
        </w:rPr>
      </w:pPr>
      <w:r>
        <w:rPr>
          <w:rFonts w:ascii="Arial" w:cs="Arial" w:eastAsia="Arial" w:hAnsi="Arial"/>
          <w:sz w:val="18"/>
          <w:szCs w:val="18"/>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and/or Section 422 of the Code to the extent applicable.</w:t>
      </w:r>
    </w:p>
    <w:p>
      <w:pPr>
        <w:spacing w:after="0" w:line="160" w:lineRule="exact"/>
        <w:rPr>
          <w:rFonts w:ascii="Arial" w:cs="Arial" w:eastAsia="Arial" w:hAnsi="Arial"/>
          <w:sz w:val="18"/>
          <w:szCs w:val="18"/>
          <w:color w:val="auto"/>
        </w:rPr>
      </w:pPr>
    </w:p>
    <w:p>
      <w:pPr>
        <w:ind w:right="360" w:firstLine="1952"/>
        <w:spacing w:after="0" w:line="253" w:lineRule="auto"/>
        <w:tabs>
          <w:tab w:leader="none" w:pos="2564"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Full Value Award</w:t>
      </w:r>
      <w:r>
        <w:rPr>
          <w:rFonts w:ascii="Arial" w:cs="Arial" w:eastAsia="Arial" w:hAnsi="Arial"/>
          <w:sz w:val="18"/>
          <w:szCs w:val="18"/>
          <w:color w:val="auto"/>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155" w:lineRule="exact"/>
        <w:rPr>
          <w:rFonts w:ascii="Arial" w:cs="Arial" w:eastAsia="Arial" w:hAnsi="Arial"/>
          <w:sz w:val="18"/>
          <w:szCs w:val="18"/>
          <w:color w:val="auto"/>
        </w:rPr>
      </w:pPr>
    </w:p>
    <w:p>
      <w:pPr>
        <w:ind w:right="60" w:firstLine="1952"/>
        <w:spacing w:after="0" w:line="271" w:lineRule="auto"/>
        <w:tabs>
          <w:tab w:leader="none" w:pos="2564"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be (as set forth in the Award Agreement) and which qualifies as an incentive stock option within the meaning of Section 422(b) of the Code.</w:t>
      </w:r>
    </w:p>
    <w:p>
      <w:pPr>
        <w:spacing w:after="0" w:line="140" w:lineRule="exact"/>
        <w:rPr>
          <w:rFonts w:ascii="Arial" w:cs="Arial" w:eastAsia="Arial" w:hAnsi="Arial"/>
          <w:sz w:val="18"/>
          <w:szCs w:val="18"/>
          <w:color w:val="auto"/>
        </w:rPr>
      </w:pPr>
    </w:p>
    <w:p>
      <w:pPr>
        <w:ind w:right="40" w:firstLine="1952"/>
        <w:spacing w:after="0" w:line="247" w:lineRule="auto"/>
        <w:tabs>
          <w:tab w:leader="none" w:pos="2554"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Director</w:t>
      </w:r>
      <w:r>
        <w:rPr>
          <w:rFonts w:ascii="Arial" w:cs="Arial" w:eastAsia="Arial" w:hAnsi="Arial"/>
          <w:sz w:val="18"/>
          <w:szCs w:val="18"/>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160" w:lineRule="exact"/>
        <w:rPr>
          <w:rFonts w:ascii="Arial" w:cs="Arial" w:eastAsia="Arial" w:hAnsi="Arial"/>
          <w:sz w:val="18"/>
          <w:szCs w:val="18"/>
          <w:color w:val="auto"/>
        </w:rPr>
      </w:pPr>
    </w:p>
    <w:p>
      <w:pPr>
        <w:ind w:left="2560" w:hanging="608"/>
        <w:spacing w:after="0"/>
        <w:tabs>
          <w:tab w:leader="none" w:pos="25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a Director or other person whose transactions in Stock are subject to Section 16</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of the Exchange Act.</w:t>
      </w:r>
    </w:p>
    <w:p>
      <w:pPr>
        <w:spacing w:after="0" w:line="180" w:lineRule="exact"/>
        <w:rPr>
          <w:rFonts w:ascii="Arial" w:cs="Arial" w:eastAsia="Arial" w:hAnsi="Arial"/>
          <w:sz w:val="18"/>
          <w:szCs w:val="18"/>
          <w:color w:val="auto"/>
        </w:rPr>
      </w:pPr>
    </w:p>
    <w:p>
      <w:pPr>
        <w:ind w:right="20" w:firstLine="1952"/>
        <w:spacing w:after="0" w:line="239" w:lineRule="auto"/>
        <w:tabs>
          <w:tab w:leader="none" w:pos="2554"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Materially Impair</w:t>
      </w:r>
      <w:r>
        <w:rPr>
          <w:rFonts w:ascii="Arial" w:cs="Arial" w:eastAsia="Arial" w:hAnsi="Arial"/>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69" w:lineRule="exact"/>
        <w:rPr>
          <w:rFonts w:ascii="Arial" w:cs="Arial" w:eastAsia="Arial" w:hAnsi="Arial"/>
          <w:sz w:val="18"/>
          <w:szCs w:val="18"/>
          <w:color w:val="auto"/>
        </w:rPr>
      </w:pPr>
    </w:p>
    <w:p>
      <w:pPr>
        <w:ind w:left="2560" w:hanging="608"/>
        <w:spacing w:after="0"/>
        <w:tabs>
          <w:tab w:leader="none" w:pos="25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Exercise</w:t>
      </w:r>
      <w:r>
        <w:rPr>
          <w:rFonts w:ascii="Arial" w:cs="Arial" w:eastAsia="Arial" w:hAnsi="Arial"/>
          <w:sz w:val="18"/>
          <w:szCs w:val="18"/>
          <w:color w:val="auto"/>
        </w:rPr>
        <w:t>” means a Net Exercise as defined in Section 6.3(b)(iii).</w:t>
      </w:r>
    </w:p>
    <w:p>
      <w:pPr>
        <w:spacing w:after="0" w:line="198" w:lineRule="exact"/>
        <w:rPr>
          <w:rFonts w:ascii="Arial" w:cs="Arial" w:eastAsia="Arial" w:hAnsi="Arial"/>
          <w:sz w:val="18"/>
          <w:szCs w:val="18"/>
          <w:color w:val="auto"/>
        </w:rPr>
      </w:pPr>
    </w:p>
    <w:p>
      <w:pPr>
        <w:ind w:left="2560" w:hanging="608"/>
        <w:spacing w:after="0"/>
        <w:tabs>
          <w:tab w:leader="none" w:pos="25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is not an Employee.</w:t>
      </w:r>
    </w:p>
    <w:p>
      <w:pPr>
        <w:spacing w:after="0" w:line="198" w:lineRule="exact"/>
        <w:rPr>
          <w:sz w:val="20"/>
          <w:szCs w:val="20"/>
          <w:color w:val="auto"/>
        </w:rPr>
      </w:pPr>
    </w:p>
    <w:p>
      <w:pPr>
        <w:ind w:left="2580" w:hanging="628"/>
        <w:spacing w:after="0"/>
        <w:tabs>
          <w:tab w:leader="none" w:pos="2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 Award</w:t>
      </w:r>
      <w:r>
        <w:rPr>
          <w:rFonts w:ascii="Arial" w:cs="Arial" w:eastAsia="Arial" w:hAnsi="Arial"/>
          <w:sz w:val="18"/>
          <w:szCs w:val="18"/>
          <w:color w:val="auto"/>
        </w:rPr>
        <w:t>” means any Award granted to a Nonemployee Director.</w:t>
      </w:r>
    </w:p>
    <w:p>
      <w:pPr>
        <w:spacing w:after="0" w:line="198" w:lineRule="exact"/>
        <w:rPr>
          <w:rFonts w:ascii="Arial" w:cs="Arial" w:eastAsia="Arial" w:hAnsi="Arial"/>
          <w:sz w:val="18"/>
          <w:szCs w:val="18"/>
          <w:color w:val="auto"/>
        </w:rPr>
      </w:pPr>
    </w:p>
    <w:p>
      <w:pPr>
        <w:ind w:right="60" w:firstLine="1952"/>
        <w:spacing w:after="0" w:line="271" w:lineRule="auto"/>
        <w:tabs>
          <w:tab w:leader="none" w:pos="25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not intended to be (as set forth in the Award Agreement) or which does not qualify as an incentive stock option within the meaning of Section 422(b) of the Code.</w:t>
      </w:r>
    </w:p>
    <w:p>
      <w:pPr>
        <w:spacing w:after="0" w:line="140" w:lineRule="exact"/>
        <w:rPr>
          <w:rFonts w:ascii="Arial" w:cs="Arial" w:eastAsia="Arial" w:hAnsi="Arial"/>
          <w:sz w:val="18"/>
          <w:szCs w:val="18"/>
          <w:color w:val="auto"/>
        </w:rPr>
      </w:pPr>
    </w:p>
    <w:p>
      <w:pPr>
        <w:ind w:left="2560" w:hanging="608"/>
        <w:spacing w:after="0"/>
        <w:tabs>
          <w:tab w:leader="none" w:pos="2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Board as an officer of the Company.</w:t>
      </w:r>
    </w:p>
    <w:p>
      <w:pPr>
        <w:spacing w:after="0" w:line="198" w:lineRule="exact"/>
        <w:rPr>
          <w:rFonts w:ascii="Arial" w:cs="Arial" w:eastAsia="Arial" w:hAnsi="Arial"/>
          <w:sz w:val="18"/>
          <w:szCs w:val="18"/>
          <w:color w:val="auto"/>
        </w:rPr>
      </w:pPr>
    </w:p>
    <w:p>
      <w:pPr>
        <w:ind w:left="2580" w:hanging="628"/>
        <w:spacing w:after="0"/>
        <w:tabs>
          <w:tab w:leader="none" w:pos="2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Incentive Stock Option or a Nonstatutory Stock Option granted pursuant to the Plan.</w:t>
      </w:r>
    </w:p>
    <w:p>
      <w:pPr>
        <w:spacing w:after="0" w:line="198" w:lineRule="exact"/>
        <w:rPr>
          <w:rFonts w:ascii="Arial" w:cs="Arial" w:eastAsia="Arial" w:hAnsi="Arial"/>
          <w:sz w:val="18"/>
          <w:szCs w:val="18"/>
          <w:color w:val="auto"/>
        </w:rPr>
      </w:pPr>
    </w:p>
    <w:p>
      <w:pPr>
        <w:ind w:left="2580" w:hanging="628"/>
        <w:spacing w:after="0"/>
        <w:tabs>
          <w:tab w:leader="none" w:pos="2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w:t>
      </w:r>
      <w:r>
        <w:rPr>
          <w:rFonts w:ascii="Arial" w:cs="Arial" w:eastAsia="Arial" w:hAnsi="Arial"/>
          <w:sz w:val="18"/>
          <w:szCs w:val="18"/>
          <w:color w:val="auto"/>
        </w:rPr>
        <w:t>” means an Award denominated in shares of Stock and granted pursuant to</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11.</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firstLine="1952"/>
        <w:spacing w:after="0" w:line="242" w:lineRule="auto"/>
        <w:tabs>
          <w:tab w:leader="none" w:pos="2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Ownership Change Event</w:t>
      </w:r>
      <w:r>
        <w:rPr>
          <w:rFonts w:ascii="Arial" w:cs="Arial" w:eastAsia="Arial" w:hAnsi="Arial"/>
          <w:sz w:val="18"/>
          <w:szCs w:val="18"/>
          <w:color w:val="auto"/>
        </w:rPr>
        <w:t>” means the occurrence of any of the following transactions with respect to the Company which is actually consummated: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65" w:lineRule="exact"/>
        <w:rPr>
          <w:rFonts w:ascii="Arial" w:cs="Arial" w:eastAsia="Arial" w:hAnsi="Arial"/>
          <w:sz w:val="18"/>
          <w:szCs w:val="18"/>
          <w:color w:val="auto"/>
        </w:rPr>
      </w:pPr>
    </w:p>
    <w:p>
      <w:pPr>
        <w:ind w:left="2580" w:hanging="628"/>
        <w:spacing w:after="0"/>
        <w:tabs>
          <w:tab w:leader="none" w:pos="2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Corporation</w:t>
      </w:r>
      <w:r>
        <w:rPr>
          <w:rFonts w:ascii="Arial" w:cs="Arial" w:eastAsia="Arial" w:hAnsi="Arial"/>
          <w:sz w:val="18"/>
          <w:szCs w:val="18"/>
          <w:color w:val="auto"/>
        </w:rPr>
        <w:t>” means any present or future “parent corporation” of the Company, as defined in</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424(e) of the Code.</w:t>
      </w:r>
    </w:p>
    <w:p>
      <w:pPr>
        <w:spacing w:after="0" w:line="180" w:lineRule="exact"/>
        <w:rPr>
          <w:rFonts w:ascii="Arial" w:cs="Arial" w:eastAsia="Arial" w:hAnsi="Arial"/>
          <w:sz w:val="18"/>
          <w:szCs w:val="18"/>
          <w:color w:val="auto"/>
        </w:rPr>
      </w:pPr>
    </w:p>
    <w:p>
      <w:pPr>
        <w:ind w:left="2580" w:hanging="628"/>
        <w:spacing w:after="0"/>
        <w:tabs>
          <w:tab w:leader="none" w:pos="2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person who has been granted one or more Awards.</w:t>
      </w:r>
    </w:p>
    <w:p>
      <w:pPr>
        <w:spacing w:after="0" w:line="198" w:lineRule="exact"/>
        <w:rPr>
          <w:rFonts w:ascii="Arial" w:cs="Arial" w:eastAsia="Arial" w:hAnsi="Arial"/>
          <w:sz w:val="18"/>
          <w:szCs w:val="18"/>
          <w:color w:val="auto"/>
        </w:rPr>
      </w:pPr>
    </w:p>
    <w:p>
      <w:pPr>
        <w:ind w:left="2560" w:hanging="608"/>
        <w:spacing w:after="0"/>
        <w:tabs>
          <w:tab w:leader="none" w:pos="2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color w:val="auto"/>
        </w:rPr>
        <w:t>” means the Company or any Parent Corporation, Subsidiary Corporation or</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Affiliate.</w:t>
      </w:r>
    </w:p>
    <w:p>
      <w:pPr>
        <w:spacing w:after="0" w:line="180" w:lineRule="exact"/>
        <w:rPr>
          <w:rFonts w:ascii="Arial" w:cs="Arial" w:eastAsia="Arial" w:hAnsi="Arial"/>
          <w:sz w:val="18"/>
          <w:szCs w:val="18"/>
          <w:color w:val="auto"/>
        </w:rPr>
      </w:pPr>
    </w:p>
    <w:p>
      <w:pPr>
        <w:ind w:right="40" w:firstLine="1952"/>
        <w:spacing w:after="0" w:line="271" w:lineRule="auto"/>
        <w:tabs>
          <w:tab w:leader="none" w:pos="25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color w:val="auto"/>
        </w:rPr>
        <w:t>” means, at any point in time, the Company and all other entities collectively which are then Participating Companies.</w:t>
      </w:r>
    </w:p>
    <w:p>
      <w:pPr>
        <w:spacing w:after="0" w:line="140" w:lineRule="exact"/>
        <w:rPr>
          <w:rFonts w:ascii="Arial" w:cs="Arial" w:eastAsia="Arial" w:hAnsi="Arial"/>
          <w:sz w:val="18"/>
          <w:szCs w:val="18"/>
          <w:color w:val="auto"/>
        </w:rPr>
      </w:pPr>
    </w:p>
    <w:p>
      <w:pPr>
        <w:ind w:left="2560" w:hanging="608"/>
        <w:spacing w:after="0"/>
        <w:tabs>
          <w:tab w:leader="none" w:pos="2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 Award of Performance Shares or Performance Units.</w:t>
      </w:r>
    </w:p>
    <w:p>
      <w:pPr>
        <w:spacing w:after="0" w:line="198" w:lineRule="exact"/>
        <w:rPr>
          <w:rFonts w:ascii="Arial" w:cs="Arial" w:eastAsia="Arial" w:hAnsi="Arial"/>
          <w:sz w:val="18"/>
          <w:szCs w:val="18"/>
          <w:color w:val="auto"/>
        </w:rPr>
      </w:pPr>
    </w:p>
    <w:p>
      <w:pPr>
        <w:ind w:right="220" w:firstLine="1952"/>
        <w:spacing w:after="0" w:line="253" w:lineRule="auto"/>
        <w:tabs>
          <w:tab w:leader="none" w:pos="25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 Formula</w:t>
      </w:r>
      <w:r>
        <w:rPr>
          <w:rFonts w:ascii="Arial" w:cs="Arial" w:eastAsia="Arial" w:hAnsi="Arial"/>
          <w:sz w:val="18"/>
          <w:szCs w:val="18"/>
          <w:color w:val="auto"/>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155" w:lineRule="exact"/>
        <w:rPr>
          <w:rFonts w:ascii="Arial" w:cs="Arial" w:eastAsia="Arial" w:hAnsi="Arial"/>
          <w:sz w:val="18"/>
          <w:szCs w:val="18"/>
          <w:color w:val="auto"/>
        </w:rPr>
      </w:pPr>
    </w:p>
    <w:p>
      <w:pPr>
        <w:ind w:left="2580" w:hanging="628"/>
        <w:spacing w:after="0"/>
        <w:tabs>
          <w:tab w:leader="none" w:pos="2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Goal</w:t>
      </w:r>
      <w:r>
        <w:rPr>
          <w:rFonts w:ascii="Arial" w:cs="Arial" w:eastAsia="Arial" w:hAnsi="Arial"/>
          <w:sz w:val="18"/>
          <w:szCs w:val="18"/>
          <w:color w:val="auto"/>
        </w:rPr>
        <w:t>” means a performance goal established by the Committee pursuant to Section 10.3.</w:t>
      </w:r>
    </w:p>
    <w:p>
      <w:pPr>
        <w:spacing w:after="0" w:line="198" w:lineRule="exact"/>
        <w:rPr>
          <w:rFonts w:ascii="Arial" w:cs="Arial" w:eastAsia="Arial" w:hAnsi="Arial"/>
          <w:sz w:val="18"/>
          <w:szCs w:val="18"/>
          <w:color w:val="auto"/>
        </w:rPr>
      </w:pPr>
    </w:p>
    <w:p>
      <w:pPr>
        <w:ind w:right="60" w:firstLine="1952"/>
        <w:spacing w:after="0" w:line="271" w:lineRule="auto"/>
        <w:tabs>
          <w:tab w:leader="none" w:pos="25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a period established by the Committee pursuant to Section 10.3 at the end of which one or more Performance Goals are to be measured.</w:t>
      </w:r>
    </w:p>
    <w:p>
      <w:pPr>
        <w:spacing w:after="0" w:line="140" w:lineRule="exact"/>
        <w:rPr>
          <w:rFonts w:ascii="Arial" w:cs="Arial" w:eastAsia="Arial" w:hAnsi="Arial"/>
          <w:sz w:val="18"/>
          <w:szCs w:val="18"/>
          <w:color w:val="auto"/>
        </w:rPr>
      </w:pPr>
    </w:p>
    <w:p>
      <w:pPr>
        <w:ind w:right="260" w:firstLine="1952"/>
        <w:spacing w:after="0" w:line="271" w:lineRule="auto"/>
        <w:tabs>
          <w:tab w:leader="none" w:pos="25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 right granted to a Participant pursuant to Section 10 to receive a payment equal to the value of a Performance Share, as determined by the Committee, based upon attainment of applicable Performance Goal(s).</w:t>
      </w:r>
    </w:p>
    <w:p>
      <w:pPr>
        <w:spacing w:after="0" w:line="140" w:lineRule="exact"/>
        <w:rPr>
          <w:rFonts w:ascii="Arial" w:cs="Arial" w:eastAsia="Arial" w:hAnsi="Arial"/>
          <w:sz w:val="18"/>
          <w:szCs w:val="18"/>
          <w:color w:val="auto"/>
        </w:rPr>
      </w:pPr>
    </w:p>
    <w:p>
      <w:pPr>
        <w:ind w:right="400" w:firstLine="1952"/>
        <w:spacing w:after="0" w:line="271" w:lineRule="auto"/>
        <w:tabs>
          <w:tab w:leader="none" w:pos="25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 right granted to a Participant pursuant to Section 10 to receive a payment equal to the value of a Performance Unit, as determined by the Committee, based upon attainment of applicable Performance Goal(s).</w:t>
      </w:r>
    </w:p>
    <w:p>
      <w:pPr>
        <w:spacing w:after="0" w:line="140" w:lineRule="exact"/>
        <w:rPr>
          <w:rFonts w:ascii="Arial" w:cs="Arial" w:eastAsia="Arial" w:hAnsi="Arial"/>
          <w:sz w:val="18"/>
          <w:szCs w:val="18"/>
          <w:color w:val="auto"/>
        </w:rPr>
      </w:pPr>
    </w:p>
    <w:p>
      <w:pPr>
        <w:ind w:right="660" w:firstLine="1952"/>
        <w:spacing w:after="0" w:line="271" w:lineRule="auto"/>
        <w:tabs>
          <w:tab w:leader="none" w:pos="25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 operations of the Plan and the Company’s other equity incentive programs.</w:t>
      </w:r>
    </w:p>
    <w:p>
      <w:pPr>
        <w:spacing w:after="0" w:line="140" w:lineRule="exact"/>
        <w:rPr>
          <w:rFonts w:ascii="Arial" w:cs="Arial" w:eastAsia="Arial" w:hAnsi="Arial"/>
          <w:sz w:val="18"/>
          <w:szCs w:val="18"/>
          <w:color w:val="auto"/>
        </w:rPr>
      </w:pPr>
    </w:p>
    <w:p>
      <w:pPr>
        <w:ind w:right="220" w:firstLine="1952"/>
        <w:spacing w:after="0" w:line="271" w:lineRule="auto"/>
        <w:tabs>
          <w:tab w:leader="none" w:pos="25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 Option or SAR is exercisable, as specified in Section 6.4(a).</w:t>
      </w:r>
    </w:p>
    <w:p>
      <w:pPr>
        <w:spacing w:after="0" w:line="140" w:lineRule="exact"/>
        <w:rPr>
          <w:rFonts w:ascii="Arial" w:cs="Arial" w:eastAsia="Arial" w:hAnsi="Arial"/>
          <w:sz w:val="18"/>
          <w:szCs w:val="18"/>
          <w:color w:val="auto"/>
        </w:rPr>
      </w:pPr>
    </w:p>
    <w:p>
      <w:pPr>
        <w:ind w:left="2560" w:hanging="608"/>
        <w:spacing w:after="0"/>
        <w:tabs>
          <w:tab w:leader="none" w:pos="2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Cohu, Inc. 2005 Equity Incentive Plan.</w:t>
      </w:r>
    </w:p>
    <w:p>
      <w:pPr>
        <w:spacing w:after="0" w:line="198" w:lineRule="exact"/>
        <w:rPr>
          <w:rFonts w:ascii="Arial" w:cs="Arial" w:eastAsia="Arial" w:hAnsi="Arial"/>
          <w:sz w:val="18"/>
          <w:szCs w:val="18"/>
          <w:color w:val="auto"/>
        </w:rPr>
      </w:pPr>
    </w:p>
    <w:p>
      <w:pPr>
        <w:ind w:left="2580" w:hanging="628"/>
        <w:spacing w:after="0"/>
        <w:tabs>
          <w:tab w:leader="none" w:pos="2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a Restricted Stock Bonus or a Restricted Stock Purchase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Right.</w:t>
      </w:r>
    </w:p>
    <w:p>
      <w:pPr>
        <w:spacing w:after="0" w:line="180" w:lineRule="exact"/>
        <w:rPr>
          <w:rFonts w:ascii="Arial" w:cs="Arial" w:eastAsia="Arial" w:hAnsi="Arial"/>
          <w:sz w:val="18"/>
          <w:szCs w:val="18"/>
          <w:color w:val="auto"/>
        </w:rPr>
      </w:pPr>
    </w:p>
    <w:p>
      <w:pPr>
        <w:ind w:left="2580" w:hanging="628"/>
        <w:spacing w:after="0"/>
        <w:tabs>
          <w:tab w:leader="none" w:pos="2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Bonus</w:t>
      </w:r>
      <w:r>
        <w:rPr>
          <w:rFonts w:ascii="Arial" w:cs="Arial" w:eastAsia="Arial" w:hAnsi="Arial"/>
          <w:sz w:val="18"/>
          <w:szCs w:val="18"/>
          <w:color w:val="auto"/>
        </w:rPr>
        <w:t>” means Stock granted to a Participant pursuant to Section 8.</w:t>
      </w:r>
    </w:p>
    <w:p>
      <w:pPr>
        <w:spacing w:after="0" w:line="198" w:lineRule="exact"/>
        <w:rPr>
          <w:rFonts w:ascii="Arial" w:cs="Arial" w:eastAsia="Arial" w:hAnsi="Arial"/>
          <w:sz w:val="18"/>
          <w:szCs w:val="18"/>
          <w:color w:val="auto"/>
        </w:rPr>
      </w:pPr>
    </w:p>
    <w:p>
      <w:pPr>
        <w:ind w:left="2560" w:hanging="608"/>
        <w:spacing w:after="0"/>
        <w:tabs>
          <w:tab w:leader="none" w:pos="2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Purchase Right</w:t>
      </w:r>
      <w:r>
        <w:rPr>
          <w:rFonts w:ascii="Arial" w:cs="Arial" w:eastAsia="Arial" w:hAnsi="Arial"/>
          <w:sz w:val="18"/>
          <w:szCs w:val="18"/>
          <w:color w:val="auto"/>
        </w:rPr>
        <w:t>” means a right to purchase Stock granted to a Participant pursuant to</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8.</w:t>
      </w:r>
    </w:p>
    <w:p>
      <w:pPr>
        <w:spacing w:after="0" w:line="180" w:lineRule="exact"/>
        <w:rPr>
          <w:rFonts w:ascii="Arial" w:cs="Arial" w:eastAsia="Arial" w:hAnsi="Arial"/>
          <w:sz w:val="18"/>
          <w:szCs w:val="18"/>
          <w:color w:val="auto"/>
        </w:rPr>
      </w:pPr>
    </w:p>
    <w:p>
      <w:pPr>
        <w:ind w:right="160" w:firstLine="1952"/>
        <w:spacing w:after="0" w:line="271" w:lineRule="auto"/>
        <w:tabs>
          <w:tab w:leader="none" w:pos="25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granted to a Participant pursuant to Section 9 to receive on a future date or occurrence of a future event a share of Stock or cash in lieu thereof, as determined by the Committee.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0" w:firstLine="1952"/>
        <w:spacing w:after="0" w:line="239" w:lineRule="auto"/>
        <w:tabs>
          <w:tab w:leader="none" w:pos="2544"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"Returning Shares" </w:t>
      </w:r>
      <w:r>
        <w:rPr>
          <w:rFonts w:ascii="Arial" w:cs="Arial" w:eastAsia="Arial" w:hAnsi="Arial"/>
          <w:sz w:val="18"/>
          <w:szCs w:val="18"/>
          <w:color w:val="auto"/>
        </w:rPr>
        <w:t>means shares subject to share awards granted under the Prior Plan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on March 16, 2026 or which are granted and outstanding after March 16, 2026 and prior to the Effective Date, and that: (A) are subject to stock options and stock appreciation rights which expire, or for any reason are forfeited, cancelled, or terminated without being exercised,; (B) are not issued because such share award or any portion thereof expires or otherwise terminates without all of the shares covered by such award having been issued; (C) are not issued because such award or any portion thereof is settled in cash; or (D) are forfeited back to or repurchased by the Company for an amount not greater than the Participant’s purchase price because of the failure to meet a contingency or condition required for the vesting of such shares. The following shares subject to outstanding share awards granted under the Prior Plan are not Returning Shares: (A) any shares withheld by the Company in satisfaction of the payment of the purchase or exercise price of an option or stock appreciation right, and (B) any shares withheld by the Company in satisfaction of the payment of withholding taxes.</w:t>
      </w:r>
    </w:p>
    <w:p>
      <w:pPr>
        <w:spacing w:after="0" w:line="166" w:lineRule="exact"/>
        <w:rPr>
          <w:rFonts w:ascii="Arial" w:cs="Arial" w:eastAsia="Arial" w:hAnsi="Arial"/>
          <w:sz w:val="18"/>
          <w:szCs w:val="18"/>
          <w:color w:val="auto"/>
        </w:rPr>
      </w:pPr>
    </w:p>
    <w:p>
      <w:pPr>
        <w:ind w:left="2560" w:hanging="608"/>
        <w:spacing w:after="0"/>
        <w:tabs>
          <w:tab w:leader="none" w:pos="25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16b-3</w:t>
      </w:r>
      <w:r>
        <w:rPr>
          <w:rFonts w:ascii="Arial" w:cs="Arial" w:eastAsia="Arial" w:hAnsi="Arial"/>
          <w:sz w:val="18"/>
          <w:szCs w:val="18"/>
          <w:color w:val="auto"/>
        </w:rPr>
        <w:t>” means Rule 16b-3 under the Exchange Act, as amended from time to time, or any successor</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rule or regulation.</w:t>
      </w:r>
    </w:p>
    <w:p>
      <w:pPr>
        <w:spacing w:after="0" w:line="180" w:lineRule="exact"/>
        <w:rPr>
          <w:rFonts w:ascii="Arial" w:cs="Arial" w:eastAsia="Arial" w:hAnsi="Arial"/>
          <w:sz w:val="18"/>
          <w:szCs w:val="18"/>
          <w:color w:val="auto"/>
        </w:rPr>
      </w:pPr>
    </w:p>
    <w:p>
      <w:pPr>
        <w:ind w:right="20" w:firstLine="1952"/>
        <w:spacing w:after="0" w:line="253" w:lineRule="auto"/>
        <w:tabs>
          <w:tab w:leader="none" w:pos="25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w:t>
      </w:r>
      <w:r>
        <w:rPr>
          <w:rFonts w:ascii="Arial" w:cs="Arial" w:eastAsia="Arial" w:hAnsi="Arial"/>
          <w:sz w:val="18"/>
          <w:szCs w:val="18"/>
          <w:color w:val="auto"/>
        </w:rPr>
        <w:t>” or “</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spacing w:after="0" w:line="155" w:lineRule="exact"/>
        <w:rPr>
          <w:sz w:val="20"/>
          <w:szCs w:val="20"/>
          <w:color w:val="auto"/>
        </w:rPr>
      </w:pPr>
    </w:p>
    <w:p>
      <w:pPr>
        <w:ind w:left="2580" w:hanging="628"/>
        <w:spacing w:after="0"/>
        <w:tabs>
          <w:tab w:leader="none" w:pos="2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w:t>
      </w:r>
    </w:p>
    <w:p>
      <w:pPr>
        <w:spacing w:after="0" w:line="198" w:lineRule="exact"/>
        <w:rPr>
          <w:rFonts w:ascii="Arial" w:cs="Arial" w:eastAsia="Arial" w:hAnsi="Arial"/>
          <w:sz w:val="18"/>
          <w:szCs w:val="18"/>
          <w:color w:val="auto"/>
        </w:rPr>
      </w:pPr>
    </w:p>
    <w:p>
      <w:pPr>
        <w:ind w:right="720" w:firstLine="1952"/>
        <w:spacing w:after="0" w:line="271" w:lineRule="auto"/>
        <w:tabs>
          <w:tab w:leader="none" w:pos="25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Deferred Compensation</w:t>
      </w:r>
      <w:r>
        <w:rPr>
          <w:rFonts w:ascii="Arial" w:cs="Arial" w:eastAsia="Arial" w:hAnsi="Arial"/>
          <w:sz w:val="18"/>
          <w:szCs w:val="18"/>
          <w:color w:val="auto"/>
        </w:rPr>
        <w:t>” means compensation provided pursuant to an Award that constitutes nonqualified deferred compensation within the meaning of Section 409A.</w:t>
      </w:r>
    </w:p>
    <w:p>
      <w:pPr>
        <w:spacing w:after="0" w:line="140" w:lineRule="exact"/>
        <w:rPr>
          <w:rFonts w:ascii="Arial" w:cs="Arial" w:eastAsia="Arial" w:hAnsi="Arial"/>
          <w:sz w:val="18"/>
          <w:szCs w:val="18"/>
          <w:color w:val="auto"/>
        </w:rPr>
      </w:pPr>
    </w:p>
    <w:p>
      <w:pPr>
        <w:ind w:left="2600" w:hanging="648"/>
        <w:spacing w:after="0"/>
        <w:tabs>
          <w:tab w:leader="none" w:pos="2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98" w:lineRule="exact"/>
        <w:rPr>
          <w:rFonts w:ascii="Arial" w:cs="Arial" w:eastAsia="Arial" w:hAnsi="Arial"/>
          <w:sz w:val="18"/>
          <w:szCs w:val="18"/>
          <w:color w:val="auto"/>
        </w:rPr>
      </w:pPr>
    </w:p>
    <w:p>
      <w:pPr>
        <w:ind w:firstLine="1952"/>
        <w:spacing w:after="0" w:line="238" w:lineRule="auto"/>
        <w:tabs>
          <w:tab w:leader="none" w:pos="25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Subject to the terms of the Company’s leave of absence policy and/or the written terms of any leave of absence agreement or policy applicable to the Participant, to the extent permitted by law, the Committee or its designee, in that party’s sole discretion, may determine whether Service will be considered interrupted in the case of (i) any Company approved leave of absence, including sick leave, military leave or any other personal leave, or (ii) transfers between the Company, an Affiliate, or their successors. Additionally, a leave of absence will be treated as continued Service for purposes of vesting in an Award only to such extent as may be provided in the Company’s leave of absence policy, in the written terms of any leave of absence agreement or policy applicable to the Participant, or as otherwise required by law.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166" w:lineRule="exact"/>
        <w:rPr>
          <w:rFonts w:ascii="Arial" w:cs="Arial" w:eastAsia="Arial" w:hAnsi="Arial"/>
          <w:sz w:val="18"/>
          <w:szCs w:val="18"/>
          <w:color w:val="auto"/>
        </w:rPr>
      </w:pPr>
    </w:p>
    <w:p>
      <w:pPr>
        <w:ind w:left="2580" w:hanging="628"/>
        <w:spacing w:after="0"/>
        <w:tabs>
          <w:tab w:leader="none" w:pos="2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the common stock of the Company, as adjusted from time to time in accordance with Section</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180" w:lineRule="exact"/>
        <w:rPr>
          <w:rFonts w:ascii="Arial" w:cs="Arial" w:eastAsia="Arial" w:hAnsi="Arial"/>
          <w:sz w:val="18"/>
          <w:szCs w:val="18"/>
          <w:color w:val="auto"/>
        </w:rPr>
      </w:pPr>
    </w:p>
    <w:p>
      <w:pPr>
        <w:ind w:left="2560" w:hanging="608"/>
        <w:spacing w:after="0"/>
        <w:tabs>
          <w:tab w:leader="none" w:pos="25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Tender Exercise</w:t>
      </w:r>
      <w:r>
        <w:rPr>
          <w:rFonts w:ascii="Arial" w:cs="Arial" w:eastAsia="Arial" w:hAnsi="Arial"/>
          <w:sz w:val="18"/>
          <w:szCs w:val="18"/>
          <w:color w:val="auto"/>
        </w:rPr>
        <w:t>” means a Stock Tender Exercise as defined in Section 6.3(b)(ii).</w:t>
      </w:r>
    </w:p>
    <w:p>
      <w:pPr>
        <w:spacing w:after="0" w:line="198" w:lineRule="exact"/>
        <w:rPr>
          <w:rFonts w:ascii="Arial" w:cs="Arial" w:eastAsia="Arial" w:hAnsi="Arial"/>
          <w:sz w:val="18"/>
          <w:szCs w:val="18"/>
          <w:color w:val="auto"/>
        </w:rPr>
      </w:pPr>
    </w:p>
    <w:p>
      <w:pPr>
        <w:ind w:left="2580" w:hanging="628"/>
        <w:spacing w:after="0"/>
        <w:tabs>
          <w:tab w:leader="none" w:pos="2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 Corporation</w:t>
      </w:r>
      <w:r>
        <w:rPr>
          <w:rFonts w:ascii="Arial" w:cs="Arial" w:eastAsia="Arial" w:hAnsi="Arial"/>
          <w:sz w:val="18"/>
          <w:szCs w:val="18"/>
          <w:color w:val="auto"/>
        </w:rPr>
        <w:t>” means any present or future “subsidiary corporation” of the Company, as defined</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 Section 424(f) of the Code.</w:t>
      </w:r>
    </w:p>
    <w:p>
      <w:pPr>
        <w:spacing w:after="0" w:line="180" w:lineRule="exact"/>
        <w:rPr>
          <w:rFonts w:ascii="Arial" w:cs="Arial" w:eastAsia="Arial" w:hAnsi="Arial"/>
          <w:sz w:val="18"/>
          <w:szCs w:val="18"/>
          <w:color w:val="auto"/>
        </w:rPr>
      </w:pPr>
    </w:p>
    <w:p>
      <w:pPr>
        <w:ind w:right="260" w:firstLine="1952"/>
        <w:spacing w:after="0" w:line="253" w:lineRule="auto"/>
        <w:tabs>
          <w:tab w:leader="none" w:pos="25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Owner</w:t>
      </w:r>
      <w:r>
        <w:rPr>
          <w:rFonts w:ascii="Arial" w:cs="Arial" w:eastAsia="Arial" w:hAnsi="Arial"/>
          <w:sz w:val="18"/>
          <w:szCs w:val="18"/>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155" w:lineRule="exact"/>
        <w:rPr>
          <w:rFonts w:ascii="Arial" w:cs="Arial" w:eastAsia="Arial" w:hAnsi="Arial"/>
          <w:sz w:val="18"/>
          <w:szCs w:val="18"/>
          <w:color w:val="auto"/>
        </w:rPr>
      </w:pPr>
    </w:p>
    <w:p>
      <w:pPr>
        <w:ind w:right="360" w:firstLine="1952"/>
        <w:spacing w:after="0" w:line="253" w:lineRule="auto"/>
        <w:tabs>
          <w:tab w:leader="none" w:pos="25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Compliance Policy</w:t>
      </w:r>
      <w:r>
        <w:rPr>
          <w:rFonts w:ascii="Arial" w:cs="Arial" w:eastAsia="Arial" w:hAnsi="Arial"/>
          <w:sz w:val="18"/>
          <w:szCs w:val="18"/>
          <w:color w:val="auto"/>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155" w:lineRule="exact"/>
        <w:rPr>
          <w:rFonts w:ascii="Arial" w:cs="Arial" w:eastAsia="Arial" w:hAnsi="Arial"/>
          <w:sz w:val="18"/>
          <w:szCs w:val="18"/>
          <w:color w:val="auto"/>
        </w:rPr>
      </w:pPr>
    </w:p>
    <w:p>
      <w:pPr>
        <w:ind w:right="20" w:firstLine="1952"/>
        <w:spacing w:after="0" w:line="247" w:lineRule="auto"/>
        <w:tabs>
          <w:tab w:leader="none" w:pos="25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Vesting Conditions</w:t>
      </w:r>
      <w:r>
        <w:rPr>
          <w:rFonts w:ascii="Arial" w:cs="Arial" w:eastAsia="Arial" w:hAnsi="Arial"/>
          <w:sz w:val="18"/>
          <w:szCs w:val="18"/>
          <w:color w:val="auto"/>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60" w:firstLine="1296"/>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Construction</w:t>
      </w:r>
      <w:r>
        <w:rPr>
          <w:rFonts w:ascii="Arial" w:cs="Arial" w:eastAsia="Arial" w:hAnsi="Arial"/>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55"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dministration</w:t>
      </w:r>
      <w:r>
        <w:rPr>
          <w:rFonts w:ascii="Arial" w:cs="Arial" w:eastAsia="Arial" w:hAnsi="Arial"/>
          <w:sz w:val="18"/>
          <w:szCs w:val="18"/>
          <w:color w:val="auto"/>
        </w:rPr>
        <w:t>.</w:t>
      </w:r>
    </w:p>
    <w:p>
      <w:pPr>
        <w:spacing w:after="0" w:line="239"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Administration by the Committee</w:t>
      </w:r>
      <w:r>
        <w:rPr>
          <w:rFonts w:ascii="Arial" w:cs="Arial" w:eastAsia="Arial" w:hAnsi="Arial"/>
          <w:sz w:val="18"/>
          <w:szCs w:val="18"/>
          <w:color w:val="auto"/>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167" w:lineRule="exact"/>
        <w:rPr>
          <w:sz w:val="20"/>
          <w:szCs w:val="20"/>
          <w:color w:val="auto"/>
        </w:rPr>
      </w:pPr>
    </w:p>
    <w:p>
      <w:pPr>
        <w:ind w:right="60" w:firstLine="1296"/>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Authority of Officers</w:t>
      </w:r>
      <w:r>
        <w:rPr>
          <w:rFonts w:ascii="Arial" w:cs="Arial" w:eastAsia="Arial" w:hAnsi="Arial"/>
          <w:sz w:val="18"/>
          <w:szCs w:val="18"/>
          <w:color w:val="auto"/>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the Committee shall fix the maximum number of shares subject to Awards that may be granted by such Officers and each such Award shall conform to such other limits and guidelines as may be established from time to time by the Committee and as may be required by applicable law.</w:t>
      </w:r>
    </w:p>
    <w:p>
      <w:pPr>
        <w:spacing w:after="0" w:line="167" w:lineRule="exact"/>
        <w:rPr>
          <w:sz w:val="20"/>
          <w:szCs w:val="20"/>
          <w:color w:val="auto"/>
        </w:rPr>
      </w:pPr>
    </w:p>
    <w:p>
      <w:pPr>
        <w:ind w:right="80" w:firstLine="1296"/>
        <w:spacing w:after="0" w:line="25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Administration with Respect to Insiders</w:t>
      </w:r>
      <w:r>
        <w:rPr>
          <w:rFonts w:ascii="Arial" w:cs="Arial" w:eastAsia="Arial" w:hAnsi="Arial"/>
          <w:sz w:val="18"/>
          <w:szCs w:val="18"/>
          <w:color w:val="auto"/>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5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b w:val="1"/>
          <w:bCs w:val="1"/>
          <w:color w:val="auto"/>
        </w:rPr>
        <w:t>Powers of the Committee</w:t>
      </w:r>
      <w:r>
        <w:rPr>
          <w:rFonts w:ascii="Arial" w:cs="Arial" w:eastAsia="Arial" w:hAnsi="Arial"/>
          <w:sz w:val="17"/>
          <w:szCs w:val="17"/>
          <w:color w:val="auto"/>
        </w:rPr>
        <w:t>. In addition to any other powers set forth in the Plan and subject to the provisions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Plan, the Committee shall have the full and final power and authority, in its discretion:</w:t>
      </w:r>
    </w:p>
    <w:p>
      <w:pPr>
        <w:spacing w:after="0" w:line="180" w:lineRule="exact"/>
        <w:rPr>
          <w:sz w:val="20"/>
          <w:szCs w:val="20"/>
          <w:color w:val="auto"/>
        </w:rPr>
      </w:pPr>
    </w:p>
    <w:p>
      <w:pPr>
        <w:ind w:right="120" w:firstLine="1952"/>
        <w:spacing w:after="0" w:line="271" w:lineRule="auto"/>
        <w:tabs>
          <w:tab w:leader="none" w:pos="23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the number of shares of Stock, units or monetary value to be subject to each Award;</w:t>
      </w:r>
    </w:p>
    <w:p>
      <w:pPr>
        <w:spacing w:after="0" w:line="140" w:lineRule="exact"/>
        <w:rPr>
          <w:rFonts w:ascii="Arial" w:cs="Arial" w:eastAsia="Arial" w:hAnsi="Arial"/>
          <w:sz w:val="18"/>
          <w:szCs w:val="18"/>
          <w:color w:val="auto"/>
        </w:rPr>
      </w:pPr>
    </w:p>
    <w:p>
      <w:pPr>
        <w:ind w:left="2380" w:hanging="428"/>
        <w:spacing w:after="0"/>
        <w:tabs>
          <w:tab w:leader="none" w:pos="2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designate Options as Incentive Stock Options or Nonstatutory Stock Options;</w:t>
      </w:r>
    </w:p>
    <w:p>
      <w:pPr>
        <w:spacing w:after="0" w:line="198" w:lineRule="exact"/>
        <w:rPr>
          <w:rFonts w:ascii="Arial" w:cs="Arial" w:eastAsia="Arial" w:hAnsi="Arial"/>
          <w:sz w:val="18"/>
          <w:szCs w:val="18"/>
          <w:color w:val="auto"/>
        </w:rPr>
      </w:pPr>
    </w:p>
    <w:p>
      <w:pPr>
        <w:ind w:left="2360" w:hanging="408"/>
        <w:spacing w:after="0"/>
        <w:tabs>
          <w:tab w:leader="none" w:pos="2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determine the type(s) of Other Stock-Based Awards, and their terms and conditions that may be granted</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under the Plan;</w:t>
      </w:r>
    </w:p>
    <w:p>
      <w:pPr>
        <w:spacing w:after="0" w:line="180" w:lineRule="exact"/>
        <w:rPr>
          <w:rFonts w:ascii="Arial" w:cs="Arial" w:eastAsia="Arial" w:hAnsi="Arial"/>
          <w:sz w:val="18"/>
          <w:szCs w:val="18"/>
          <w:color w:val="auto"/>
        </w:rPr>
      </w:pPr>
    </w:p>
    <w:p>
      <w:pPr>
        <w:ind w:left="2380" w:hanging="428"/>
        <w:spacing w:after="0"/>
        <w:tabs>
          <w:tab w:leader="none" w:pos="2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98" w:lineRule="exact"/>
        <w:rPr>
          <w:rFonts w:ascii="Arial" w:cs="Arial" w:eastAsia="Arial" w:hAnsi="Arial"/>
          <w:sz w:val="18"/>
          <w:szCs w:val="18"/>
          <w:color w:val="auto"/>
        </w:rPr>
      </w:pPr>
    </w:p>
    <w:p>
      <w:pPr>
        <w:ind w:right="60" w:firstLine="1952"/>
        <w:spacing w:after="0" w:line="239" w:lineRule="auto"/>
        <w:tabs>
          <w:tab w:leader="none" w:pos="23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Targets,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169" w:lineRule="exact"/>
        <w:rPr>
          <w:rFonts w:ascii="Arial" w:cs="Arial" w:eastAsia="Arial" w:hAnsi="Arial"/>
          <w:sz w:val="18"/>
          <w:szCs w:val="18"/>
          <w:color w:val="auto"/>
        </w:rPr>
      </w:pPr>
    </w:p>
    <w:p>
      <w:pPr>
        <w:ind w:left="2380" w:hanging="428"/>
        <w:spacing w:after="0"/>
        <w:tabs>
          <w:tab w:leader="none" w:pos="2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determine whether an Award will be settled in shares of Stock, cash, other property or in any combination</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thereof;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2380" w:hanging="428"/>
        <w:spacing w:after="0"/>
        <w:tabs>
          <w:tab w:leader="none" w:pos="2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approve one or more forms of Award Agreement;</w:t>
      </w:r>
    </w:p>
    <w:p>
      <w:pPr>
        <w:spacing w:after="0" w:line="198" w:lineRule="exact"/>
        <w:rPr>
          <w:rFonts w:ascii="Arial" w:cs="Arial" w:eastAsia="Arial" w:hAnsi="Arial"/>
          <w:sz w:val="18"/>
          <w:szCs w:val="18"/>
          <w:color w:val="auto"/>
        </w:rPr>
      </w:pPr>
    </w:p>
    <w:p>
      <w:pPr>
        <w:jc w:val="both"/>
        <w:ind w:right="280" w:firstLine="1952"/>
        <w:spacing w:after="0" w:line="247" w:lineRule="auto"/>
        <w:tabs>
          <w:tab w:leader="none" w:pos="23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to amend, modify, extend, cancel or renew any Award or to waive any restrictions or conditions applicable to any Award or any shares acquired pursuant thereto except as provided in Section 3.5 (Repricing and Reload Options Prohibited)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Participant’s rights under any Award will not be Materially Impaired by any such amendment unless (i)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requests the consent of the affected Participant, and (ii) such Participant consents in writing;</w:t>
      </w:r>
    </w:p>
    <w:p>
      <w:pPr>
        <w:spacing w:after="0" w:line="160" w:lineRule="exact"/>
        <w:rPr>
          <w:rFonts w:ascii="Arial" w:cs="Arial" w:eastAsia="Arial" w:hAnsi="Arial"/>
          <w:sz w:val="18"/>
          <w:szCs w:val="18"/>
          <w:color w:val="auto"/>
        </w:rPr>
      </w:pPr>
    </w:p>
    <w:p>
      <w:pPr>
        <w:ind w:right="140" w:firstLine="1952"/>
        <w:spacing w:after="0" w:line="247" w:lineRule="auto"/>
        <w:tabs>
          <w:tab w:leader="none" w:pos="23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to accelerate, continue, extend or defer the exercisability or vesting of any Award or any shares acquired pursuant thereto, including with respect to the period following a Participant’s termination of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Participant’s rights under any Award will not be Materially Impaired by any such amendment unless (i) the Company requests the consent of the affected Participant, and (ii) such Participant consents in writing;</w:t>
      </w:r>
    </w:p>
    <w:p>
      <w:pPr>
        <w:spacing w:after="0" w:line="160" w:lineRule="exact"/>
        <w:rPr>
          <w:rFonts w:ascii="Arial" w:cs="Arial" w:eastAsia="Arial" w:hAnsi="Arial"/>
          <w:sz w:val="18"/>
          <w:szCs w:val="18"/>
          <w:color w:val="auto"/>
        </w:rPr>
      </w:pPr>
    </w:p>
    <w:p>
      <w:pPr>
        <w:ind w:right="160" w:firstLine="1952"/>
        <w:spacing w:after="0" w:line="247" w:lineRule="auto"/>
        <w:tabs>
          <w:tab w:leader="none" w:pos="23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w:t>
      </w:r>
    </w:p>
    <w:p>
      <w:pPr>
        <w:spacing w:after="0" w:line="160" w:lineRule="exact"/>
        <w:rPr>
          <w:rFonts w:ascii="Arial" w:cs="Arial" w:eastAsia="Arial" w:hAnsi="Arial"/>
          <w:sz w:val="18"/>
          <w:szCs w:val="18"/>
          <w:color w:val="auto"/>
        </w:rPr>
      </w:pPr>
    </w:p>
    <w:p>
      <w:pPr>
        <w:ind w:right="60" w:firstLine="1952"/>
        <w:spacing w:after="0" w:line="247" w:lineRule="auto"/>
        <w:tabs>
          <w:tab w:leader="none" w:pos="23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Change in Control, for reasons of administrative convenience;</w:t>
      </w:r>
    </w:p>
    <w:p>
      <w:pPr>
        <w:spacing w:after="0" w:line="160" w:lineRule="exact"/>
        <w:rPr>
          <w:rFonts w:ascii="Arial" w:cs="Arial" w:eastAsia="Arial" w:hAnsi="Arial"/>
          <w:sz w:val="18"/>
          <w:szCs w:val="18"/>
          <w:color w:val="auto"/>
        </w:rPr>
      </w:pPr>
    </w:p>
    <w:p>
      <w:pPr>
        <w:ind w:right="140" w:firstLine="1952"/>
        <w:spacing w:after="0" w:line="253" w:lineRule="auto"/>
        <w:tabs>
          <w:tab w:leader="none" w:pos="23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authorize, in conjunction with any applicable Company deferred compensation plan, that the receipt of cash or Stock subject to any Award under this Plan, may be deferred under the terms and conditions of such Company deferred compensation plan; and</w:t>
      </w:r>
    </w:p>
    <w:p>
      <w:pPr>
        <w:spacing w:after="0" w:line="155" w:lineRule="exact"/>
        <w:rPr>
          <w:rFonts w:ascii="Arial" w:cs="Arial" w:eastAsia="Arial" w:hAnsi="Arial"/>
          <w:sz w:val="18"/>
          <w:szCs w:val="18"/>
          <w:color w:val="auto"/>
        </w:rPr>
      </w:pPr>
    </w:p>
    <w:p>
      <w:pPr>
        <w:ind w:right="80" w:firstLine="1952"/>
        <w:spacing w:after="0" w:line="253" w:lineRule="auto"/>
        <w:tabs>
          <w:tab w:leader="none" w:pos="241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55" w:lineRule="exact"/>
        <w:rPr>
          <w:sz w:val="20"/>
          <w:szCs w:val="20"/>
          <w:color w:val="auto"/>
        </w:rPr>
      </w:pPr>
    </w:p>
    <w:p>
      <w:pPr>
        <w:ind w:firstLine="1296"/>
        <w:spacing w:after="0" w:line="242"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Option or SAR Repricing and Reload Options Prohibited</w:t>
      </w:r>
      <w:r>
        <w:rPr>
          <w:rFonts w:ascii="Arial" w:cs="Arial" w:eastAsia="Arial" w:hAnsi="Arial"/>
          <w:sz w:val="18"/>
          <w:szCs w:val="18"/>
          <w:color w:val="auto"/>
        </w:rPr>
        <w:t>. Except as provided in Section 4.2 (Adjustments for Changes in Capital Structure) or in connection with a Change in Control, neither the Company, Board nor any Committee shall have the authority to (i) reduce the exercise price or strike price of any outstanding Options or SARs under the Plan, or (ii) cancel any Options or SARs that have an exercise price of strike price greater than the current Fair Market Value in exchange for cash or other Awards under the Plan, unless the stockholders of the Company have approved such an action within twelve months prior to such an event. No Option may be granted to any Participant on account of the use of Stock by the Participant to exercise a prior Option.</w:t>
      </w:r>
    </w:p>
    <w:p>
      <w:pPr>
        <w:spacing w:after="0" w:line="165" w:lineRule="exact"/>
        <w:rPr>
          <w:sz w:val="20"/>
          <w:szCs w:val="20"/>
          <w:color w:val="auto"/>
        </w:rPr>
      </w:pPr>
    </w:p>
    <w:p>
      <w:pPr>
        <w:ind w:right="40" w:firstLine="1296"/>
        <w:spacing w:after="0" w:line="23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Minimum Vesting</w:t>
      </w:r>
      <w:r>
        <w:rPr>
          <w:rFonts w:ascii="Arial" w:cs="Arial" w:eastAsia="Arial" w:hAnsi="Arial"/>
          <w:sz w:val="18"/>
          <w:szCs w:val="18"/>
          <w:color w:val="auto"/>
        </w:rPr>
        <w:t xml:space="preserve">. Notwithstanding any other provision of the Plan to the contrary, Awards granted under the Plan (other than cash-based awards) shall vest no earlier than the first anniversary of the date on which the Award is granted;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 to Section 4.1 (subject to adjustment under Section 4.3);</w:t>
      </w:r>
    </w:p>
    <w:p>
      <w:pPr>
        <w:spacing w:after="0" w:line="3"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spacing w:after="0" w:line="166" w:lineRule="exact"/>
        <w:rPr>
          <w:sz w:val="20"/>
          <w:szCs w:val="20"/>
          <w:color w:val="auto"/>
        </w:rPr>
      </w:pPr>
    </w:p>
    <w:p>
      <w:pPr>
        <w:ind w:right="20" w:firstLine="1296"/>
        <w:spacing w:after="0" w:line="23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Indemnification</w:t>
      </w:r>
      <w:r>
        <w:rPr>
          <w:rFonts w:ascii="Arial" w:cs="Arial" w:eastAsia="Arial" w:hAnsi="Arial"/>
          <w:sz w:val="18"/>
          <w:szCs w:val="18"/>
          <w:color w:val="auto"/>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or with respect to which the recoupment provisions of Section 18.2 of the Plan are applicable; provided, however, that within sixty (60) days after the institution of such action, suit or proceeding, such person shall offer to the Company, in writing, the opportunity at its own expense to handle and defend the same.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hares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ubject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color w:val="auto"/>
        </w:rPr>
        <w:t>.</w:t>
      </w:r>
    </w:p>
    <w:p>
      <w:pPr>
        <w:spacing w:after="0" w:line="239" w:lineRule="exact"/>
        <w:rPr>
          <w:sz w:val="20"/>
          <w:szCs w:val="20"/>
          <w:color w:val="auto"/>
        </w:rPr>
      </w:pPr>
    </w:p>
    <w:p>
      <w:pPr>
        <w:ind w:right="180" w:firstLine="1296"/>
        <w:spacing w:after="0" w:line="24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Maximum Number of Shares Issuable</w:t>
      </w:r>
      <w:r>
        <w:rPr>
          <w:rFonts w:ascii="Arial" w:cs="Arial" w:eastAsia="Arial" w:hAnsi="Arial"/>
          <w:sz w:val="18"/>
          <w:szCs w:val="18"/>
          <w:color w:val="auto"/>
        </w:rPr>
        <w:t>. Subject to adjustment as provided in Sections 4.2 and 4.3, the maximum aggregate number of shares of Stock that may be issued under the Plan will not exceed: (i) 3,400,000 shares, less (ii) one share for each share subject to any equity award granted under the Prior Plan after March 20, 2026 and prior to the Effective Date; plus (iii) the number of Returning Shares, if any, as such shares become available from time to time. The shares of Stock that may be issued under the Plan may consist of authorized but reissued or reacquired shares of Stock or any combination thereof. In no event shall the number of shares subject to any equity award granted under the Prior Plan after March 20, 2026 and prior to the Effective Date exceed 10,000 shares.</w:t>
      </w:r>
    </w:p>
    <w:p>
      <w:pPr>
        <w:spacing w:after="0" w:line="165"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Share Counting</w:t>
      </w:r>
      <w:r>
        <w:rPr>
          <w:rFonts w:ascii="Arial" w:cs="Arial" w:eastAsia="Arial" w:hAnsi="Arial"/>
          <w:sz w:val="18"/>
          <w:szCs w:val="18"/>
          <w:color w:val="auto"/>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Any shares of Stock that are exchanged or sold by a Participant or withheld by the Company as full or partial payment of the exercise price of any Option or SAR, and any shares of Stock that are exchanged, sold or withheld by the Company or any member of the Participating Company Group to satisfy any tax withholding or payment obligations related to any Award, shall not be available for subsequent Awards under the Plan. Shares purchased in the open market with proceeds from the exercise of Options or SARs shall not be added to the limit set forth in Section 4.1.</w:t>
      </w:r>
    </w:p>
    <w:p>
      <w:pPr>
        <w:spacing w:after="0" w:line="170" w:lineRule="exact"/>
        <w:rPr>
          <w:sz w:val="20"/>
          <w:szCs w:val="20"/>
          <w:color w:val="auto"/>
        </w:rPr>
      </w:pPr>
    </w:p>
    <w:p>
      <w:pPr>
        <w:ind w:right="60" w:firstLine="1296"/>
        <w:spacing w:after="0" w:line="23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Adjustments for Changes in Capital Structure</w:t>
      </w:r>
      <w:r>
        <w:rPr>
          <w:rFonts w:ascii="Arial" w:cs="Arial" w:eastAsia="Arial" w:hAnsi="Arial"/>
          <w:sz w:val="18"/>
          <w:szCs w:val="18"/>
          <w:color w:val="auto"/>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Incentive Stock Option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8"/>
          <w:szCs w:val="18"/>
          <w:b w:val="1"/>
          <w:bCs w:val="1"/>
          <w:i w:val="1"/>
          <w:iCs w:val="1"/>
          <w:color w:val="auto"/>
        </w:rPr>
        <w:t>New Shares</w:t>
      </w:r>
      <w:r>
        <w:rPr>
          <w:rFonts w:ascii="Arial" w:cs="Arial" w:eastAsia="Arial" w:hAnsi="Arial"/>
          <w:sz w:val="18"/>
          <w:szCs w:val="18"/>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180"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Assumption or Substitution of Awards</w:t>
      </w:r>
      <w:r>
        <w:rPr>
          <w:rFonts w:ascii="Arial" w:cs="Arial" w:eastAsia="Arial" w:hAnsi="Arial"/>
          <w:sz w:val="18"/>
          <w:szCs w:val="18"/>
          <w:color w:val="auto"/>
        </w:rPr>
        <w:t>.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ligibility</w:t>
      </w:r>
      <w:r>
        <w:rPr>
          <w:rFonts w:ascii="Arial" w:cs="Arial" w:eastAsia="Arial" w:hAnsi="Arial"/>
          <w:sz w:val="18"/>
          <w:szCs w:val="18"/>
          <w:b w:val="1"/>
          <w:bCs w:val="1"/>
          <w:u w:val="single" w:color="auto"/>
          <w:color w:val="auto"/>
        </w:rPr>
        <w:t>, P</w:t>
      </w:r>
      <w:r>
        <w:rPr>
          <w:rFonts w:ascii="Arial" w:cs="Arial" w:eastAsia="Arial" w:hAnsi="Arial"/>
          <w:sz w:val="12"/>
          <w:szCs w:val="12"/>
          <w:b w:val="1"/>
          <w:bCs w:val="1"/>
          <w:u w:val="single" w:color="auto"/>
          <w:color w:val="auto"/>
        </w:rPr>
        <w:t>articipation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imitations</w:t>
      </w:r>
      <w:r>
        <w:rPr>
          <w:rFonts w:ascii="Arial" w:cs="Arial" w:eastAsia="Arial" w:hAnsi="Arial"/>
          <w:sz w:val="18"/>
          <w:szCs w:val="18"/>
          <w:b w:val="1"/>
          <w:bCs w:val="1"/>
          <w:color w:val="auto"/>
        </w:rPr>
        <w:t>.</w:t>
      </w:r>
    </w:p>
    <w:p>
      <w:pPr>
        <w:spacing w:after="0" w:line="23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color w:val="auto"/>
        </w:rPr>
        <w:t>Persons Eligible for Awards</w:t>
      </w:r>
      <w:r>
        <w:rPr>
          <w:rFonts w:ascii="Arial" w:cs="Arial" w:eastAsia="Arial" w:hAnsi="Arial"/>
          <w:sz w:val="17"/>
          <w:szCs w:val="17"/>
          <w:color w:val="auto"/>
        </w:rPr>
        <w:t>. Awards may be granted only to Employees, Consultants and Directors.</w:t>
      </w:r>
    </w:p>
    <w:p>
      <w:pPr>
        <w:spacing w:after="0" w:line="198" w:lineRule="exact"/>
        <w:rPr>
          <w:sz w:val="20"/>
          <w:szCs w:val="20"/>
          <w:color w:val="auto"/>
        </w:rPr>
      </w:pPr>
    </w:p>
    <w:p>
      <w:pPr>
        <w:jc w:val="both"/>
        <w:ind w:right="320" w:firstLine="1296"/>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Participation in the Plan</w:t>
      </w:r>
      <w:r>
        <w:rPr>
          <w:rFonts w:ascii="Arial" w:cs="Arial" w:eastAsia="Arial" w:hAnsi="Arial"/>
          <w:sz w:val="18"/>
          <w:szCs w:val="18"/>
          <w:color w:val="auto"/>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5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color w:val="auto"/>
        </w:rPr>
        <w:t>Incentive Stock Option Limitations</w:t>
      </w:r>
      <w:r>
        <w:rPr>
          <w:rFonts w:ascii="Arial" w:cs="Arial" w:eastAsia="Arial" w:hAnsi="Arial"/>
          <w:sz w:val="18"/>
          <w:szCs w:val="18"/>
          <w:color w:val="auto"/>
        </w:rPr>
        <w:t>.</w:t>
      </w:r>
    </w:p>
    <w:p>
      <w:pPr>
        <w:spacing w:after="0" w:line="198" w:lineRule="exact"/>
        <w:rPr>
          <w:sz w:val="20"/>
          <w:szCs w:val="20"/>
          <w:color w:val="auto"/>
        </w:rPr>
      </w:pPr>
    </w:p>
    <w:p>
      <w:pPr>
        <w:ind w:right="20" w:firstLine="1952"/>
        <w:spacing w:after="0" w:line="244" w:lineRule="auto"/>
        <w:tabs>
          <w:tab w:leader="none" w:pos="2364"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Maximum Number of Shares Issuable Pursuant to Incentive Stock Options</w:t>
      </w:r>
      <w:r>
        <w:rPr>
          <w:rFonts w:ascii="Arial" w:cs="Arial" w:eastAsia="Arial" w:hAnsi="Arial"/>
          <w:sz w:val="18"/>
          <w:szCs w:val="18"/>
          <w:color w:val="auto"/>
        </w:rPr>
        <w:t>. Subject to adjustment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in Section 4.3, the maximum aggregate number of shares of Stock that may be issued under the Plan pursuant to the exercise of Incentive Stock Options shall not exceed 3,400,000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spacing w:after="0" w:line="162" w:lineRule="exact"/>
        <w:rPr>
          <w:rFonts w:ascii="Arial" w:cs="Arial" w:eastAsia="Arial" w:hAnsi="Arial"/>
          <w:sz w:val="18"/>
          <w:szCs w:val="18"/>
          <w:color w:val="auto"/>
        </w:rPr>
      </w:pPr>
    </w:p>
    <w:p>
      <w:pPr>
        <w:jc w:val="both"/>
        <w:ind w:right="160" w:firstLine="1952"/>
        <w:spacing w:after="0" w:line="247" w:lineRule="auto"/>
        <w:tabs>
          <w:tab w:leader="none" w:pos="2364"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Persons Eligible</w:t>
      </w:r>
      <w:r>
        <w:rPr>
          <w:rFonts w:ascii="Arial" w:cs="Arial" w:eastAsia="Arial" w:hAnsi="Arial"/>
          <w:sz w:val="18"/>
          <w:szCs w:val="18"/>
          <w:color w:val="auto"/>
        </w:rPr>
        <w:t>. An Incentive Stock Option may be granted only to a person who, on the effective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is an Employee of the Company, a Parent Corporation or a Subsidiary Corporation (each being an “</w:t>
      </w:r>
      <w:r>
        <w:rPr>
          <w:rFonts w:ascii="Arial" w:cs="Arial" w:eastAsia="Arial" w:hAnsi="Arial"/>
          <w:sz w:val="18"/>
          <w:szCs w:val="18"/>
          <w:b w:val="1"/>
          <w:bCs w:val="1"/>
          <w:i w:val="1"/>
          <w:iCs w:val="1"/>
          <w:color w:val="auto"/>
        </w:rPr>
        <w:t>ISO-Qualifying Corporation</w:t>
      </w:r>
      <w:r>
        <w:rPr>
          <w:rFonts w:ascii="Arial" w:cs="Arial" w:eastAsia="Arial" w:hAnsi="Arial"/>
          <w:sz w:val="18"/>
          <w:szCs w:val="18"/>
          <w:color w:val="auto"/>
        </w:rPr>
        <w:t>”). Any person who is not an Employee of an ISO-Qualifying Corporation on the effective date of the grant of an Option to such person may be granted only a Nonstatutory Stock Option.</w:t>
      </w:r>
    </w:p>
    <w:p>
      <w:pPr>
        <w:spacing w:after="0" w:line="160" w:lineRule="exact"/>
        <w:rPr>
          <w:rFonts w:ascii="Arial" w:cs="Arial" w:eastAsia="Arial" w:hAnsi="Arial"/>
          <w:sz w:val="18"/>
          <w:szCs w:val="18"/>
          <w:color w:val="auto"/>
        </w:rPr>
      </w:pPr>
    </w:p>
    <w:p>
      <w:pPr>
        <w:ind w:firstLine="1952"/>
        <w:spacing w:after="0" w:line="238" w:lineRule="auto"/>
        <w:tabs>
          <w:tab w:leader="none" w:pos="2354"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Fair Market Value Limitation</w:t>
      </w:r>
      <w:r>
        <w:rPr>
          <w:rFonts w:ascii="Arial" w:cs="Arial" w:eastAsia="Arial" w:hAnsi="Arial"/>
          <w:sz w:val="18"/>
          <w:szCs w:val="18"/>
          <w:color w:val="auto"/>
        </w:rPr>
        <w:t>. To the extent that options designated as Incentive Stock Options (granted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stock plans of the Participating Company Group, including the Plan) become exercisable by a Participant for the first time during any calendar year for stock having a Fair Market Value greater than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72"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Nonemployee Director Award Limit</w:t>
      </w:r>
      <w:r>
        <w:rPr>
          <w:rFonts w:ascii="Arial" w:cs="Arial" w:eastAsia="Arial" w:hAnsi="Arial"/>
          <w:sz w:val="18"/>
          <w:szCs w:val="18"/>
          <w:color w:val="auto"/>
        </w:rPr>
        <w:t>. Annual compensation awarded to any Nonemployee Director during each calendar year in respect of the Nonemployee Director’s service as a member of the Board during such year, including both shares of Stock subject to Awards and any cash fees paid to such Nonemployee Director (but excluding any expense reimbursements or distributions from any deferred compensation program applicable to the Nonemployee Director), may not exceed $750,000 in total value (calculating the value of any such Awards based on the grant date fair value of such Awards for financial reporting purposes).</w:t>
      </w:r>
    </w:p>
    <w:p>
      <w:pPr>
        <w:spacing w:after="0" w:line="163"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ptions</w:t>
      </w:r>
      <w:r>
        <w:rPr>
          <w:rFonts w:ascii="Arial" w:cs="Arial" w:eastAsia="Arial" w:hAnsi="Arial"/>
          <w:sz w:val="18"/>
          <w:szCs w:val="18"/>
          <w:color w:val="auto"/>
        </w:rPr>
        <w:t>.</w:t>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155"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Exercise Price</w:t>
      </w:r>
      <w:r>
        <w:rPr>
          <w:rFonts w:ascii="Arial" w:cs="Arial" w:eastAsia="Arial" w:hAnsi="Arial"/>
          <w:sz w:val="18"/>
          <w:szCs w:val="18"/>
          <w:color w:val="auto"/>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firstLine="1296"/>
        <w:spacing w:after="0" w:line="23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Exercisability and Term of Options</w:t>
      </w:r>
      <w:r>
        <w:rPr>
          <w:rFonts w:ascii="Arial" w:cs="Arial" w:eastAsia="Arial" w:hAnsi="Arial"/>
          <w:sz w:val="18"/>
          <w:szCs w:val="18"/>
          <w:color w:val="auto"/>
        </w:rPr>
        <w:t>. Subject to Section 3.6,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6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b w:val="1"/>
          <w:bCs w:val="1"/>
          <w:color w:val="auto"/>
        </w:rPr>
        <w:t>Payment of Exercise Price</w:t>
      </w:r>
      <w:r>
        <w:rPr>
          <w:rFonts w:ascii="Arial" w:cs="Arial" w:eastAsia="Arial" w:hAnsi="Arial"/>
          <w:sz w:val="17"/>
          <w:szCs w:val="17"/>
          <w:color w:val="auto"/>
        </w:rPr>
        <w:t>.</w:t>
      </w:r>
    </w:p>
    <w:p>
      <w:pPr>
        <w:spacing w:after="0" w:line="198" w:lineRule="exact"/>
        <w:rPr>
          <w:sz w:val="20"/>
          <w:szCs w:val="20"/>
          <w:color w:val="auto"/>
        </w:rPr>
      </w:pPr>
    </w:p>
    <w:p>
      <w:pPr>
        <w:ind w:right="100" w:firstLine="1952"/>
        <w:spacing w:after="0"/>
        <w:tabs>
          <w:tab w:leader="none" w:pos="2364"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Forms of Consideration Authorized</w:t>
      </w:r>
      <w:r>
        <w:rPr>
          <w:rFonts w:ascii="Arial" w:cs="Arial" w:eastAsia="Arial" w:hAnsi="Arial"/>
          <w:sz w:val="18"/>
          <w:szCs w:val="18"/>
          <w:color w:val="auto"/>
        </w:rPr>
        <w:t>. Except as otherwise provided below, payment of the exercise price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(for Nonstatutory Stock Options);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173" w:lineRule="exact"/>
        <w:rPr>
          <w:rFonts w:ascii="Arial" w:cs="Arial" w:eastAsia="Arial" w:hAnsi="Arial"/>
          <w:sz w:val="18"/>
          <w:szCs w:val="18"/>
          <w:color w:val="auto"/>
        </w:rPr>
      </w:pPr>
    </w:p>
    <w:p>
      <w:pPr>
        <w:ind w:left="2380" w:hanging="428"/>
        <w:spacing w:after="0"/>
        <w:tabs>
          <w:tab w:leader="none" w:pos="23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on Forms of Consideration</w:t>
      </w:r>
      <w:r>
        <w:rPr>
          <w:rFonts w:ascii="Arial" w:cs="Arial" w:eastAsia="Arial" w:hAnsi="Arial"/>
          <w:sz w:val="18"/>
          <w:szCs w:val="18"/>
          <w:i w:val="1"/>
          <w:iCs w:val="1"/>
          <w:color w:val="auto"/>
        </w:rPr>
        <w:t>.</w:t>
      </w:r>
    </w:p>
    <w:p>
      <w:pPr>
        <w:spacing w:after="0" w:line="196" w:lineRule="exact"/>
        <w:rPr>
          <w:rFonts w:ascii="Arial" w:cs="Arial" w:eastAsia="Arial" w:hAnsi="Arial"/>
          <w:sz w:val="18"/>
          <w:szCs w:val="18"/>
          <w:color w:val="auto"/>
        </w:rPr>
      </w:pPr>
    </w:p>
    <w:p>
      <w:pPr>
        <w:ind w:right="60" w:firstLine="2438"/>
        <w:spacing w:after="0"/>
        <w:tabs>
          <w:tab w:leader="none" w:pos="2790"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Cashless Exercise</w:t>
      </w:r>
      <w:r>
        <w:rPr>
          <w:rFonts w:ascii="Arial" w:cs="Arial" w:eastAsia="Arial" w:hAnsi="Arial"/>
          <w:sz w:val="18"/>
          <w:szCs w:val="18"/>
          <w:color w:val="auto"/>
        </w:rPr>
        <w:t>. A “</w:t>
      </w:r>
      <w:r>
        <w:rPr>
          <w:rFonts w:ascii="Arial" w:cs="Arial" w:eastAsia="Arial" w:hAnsi="Arial"/>
          <w:sz w:val="18"/>
          <w:szCs w:val="18"/>
          <w:b w:val="1"/>
          <w:bCs w:val="1"/>
          <w:i w:val="1"/>
          <w:iCs w:val="1"/>
          <w:color w:val="auto"/>
        </w:rPr>
        <w:t>Cashless Exercise</w:t>
      </w:r>
      <w:r>
        <w:rPr>
          <w:rFonts w:ascii="Arial" w:cs="Arial" w:eastAsia="Arial" w:hAnsi="Arial"/>
          <w:sz w:val="18"/>
          <w:szCs w:val="18"/>
          <w:color w:val="auto"/>
        </w:rPr>
        <w:t>” means the delivery of a properly executed notice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71" w:lineRule="exact"/>
        <w:rPr>
          <w:rFonts w:ascii="Arial" w:cs="Arial" w:eastAsia="Arial" w:hAnsi="Arial"/>
          <w:sz w:val="18"/>
          <w:szCs w:val="18"/>
          <w:color w:val="auto"/>
        </w:rPr>
      </w:pPr>
    </w:p>
    <w:p>
      <w:pPr>
        <w:ind w:right="60" w:firstLine="2438"/>
        <w:spacing w:after="0"/>
        <w:tabs>
          <w:tab w:leader="none" w:pos="2830"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Stock Tender Exercise</w:t>
      </w:r>
      <w:r>
        <w:rPr>
          <w:rFonts w:ascii="Arial" w:cs="Arial" w:eastAsia="Arial" w:hAnsi="Arial"/>
          <w:sz w:val="18"/>
          <w:szCs w:val="18"/>
          <w:color w:val="auto"/>
        </w:rPr>
        <w:t>. A “</w:t>
      </w:r>
      <w:r>
        <w:rPr>
          <w:rFonts w:ascii="Arial" w:cs="Arial" w:eastAsia="Arial" w:hAnsi="Arial"/>
          <w:sz w:val="18"/>
          <w:szCs w:val="18"/>
          <w:b w:val="1"/>
          <w:bCs w:val="1"/>
          <w:i w:val="1"/>
          <w:iCs w:val="1"/>
          <w:color w:val="auto"/>
        </w:rPr>
        <w:t>Stock Tender Exercise</w:t>
      </w:r>
      <w:r>
        <w:rPr>
          <w:rFonts w:ascii="Arial" w:cs="Arial" w:eastAsia="Arial" w:hAnsi="Arial"/>
          <w:sz w:val="18"/>
          <w:szCs w:val="18"/>
          <w:color w:val="auto"/>
        </w:rPr>
        <w:t>” means the delivery of a properly executed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66" w:lineRule="exact"/>
        <w:rPr>
          <w:rFonts w:ascii="Arial" w:cs="Arial" w:eastAsia="Arial" w:hAnsi="Arial"/>
          <w:sz w:val="18"/>
          <w:szCs w:val="18"/>
          <w:color w:val="auto"/>
        </w:rPr>
      </w:pPr>
    </w:p>
    <w:p>
      <w:pPr>
        <w:ind w:right="80" w:firstLine="2438"/>
        <w:spacing w:after="0" w:line="244" w:lineRule="auto"/>
        <w:tabs>
          <w:tab w:leader="none" w:pos="2870"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Net Exercise</w:t>
      </w:r>
      <w:r>
        <w:rPr>
          <w:rFonts w:ascii="Arial" w:cs="Arial" w:eastAsia="Arial" w:hAnsi="Arial"/>
          <w:sz w:val="18"/>
          <w:szCs w:val="18"/>
          <w:color w:val="auto"/>
        </w:rPr>
        <w:t>. A “</w:t>
      </w:r>
      <w:r>
        <w:rPr>
          <w:rFonts w:ascii="Arial" w:cs="Arial" w:eastAsia="Arial" w:hAnsi="Arial"/>
          <w:sz w:val="18"/>
          <w:szCs w:val="18"/>
          <w:b w:val="1"/>
          <w:bCs w:val="1"/>
          <w:i w:val="1"/>
          <w:iCs w:val="1"/>
          <w:color w:val="auto"/>
        </w:rPr>
        <w:t>Net Exercise</w:t>
      </w:r>
      <w:r>
        <w:rPr>
          <w:rFonts w:ascii="Arial" w:cs="Arial" w:eastAsia="Arial" w:hAnsi="Arial"/>
          <w:sz w:val="18"/>
          <w:szCs w:val="18"/>
          <w:color w:val="auto"/>
        </w:rPr>
        <w:t>” means the delivery of a properly executed exercise notice followed by a</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6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w:t>
      </w:r>
    </w:p>
    <w:p>
      <w:pPr>
        <w:spacing w:after="0" w:line="198" w:lineRule="exact"/>
        <w:rPr>
          <w:sz w:val="20"/>
          <w:szCs w:val="20"/>
          <w:color w:val="auto"/>
        </w:rPr>
      </w:pPr>
    </w:p>
    <w:p>
      <w:pPr>
        <w:ind w:firstLine="1952"/>
        <w:spacing w:after="0"/>
        <w:tabs>
          <w:tab w:leader="none" w:pos="2364"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Option Exercisability</w:t>
      </w:r>
      <w:r>
        <w:rPr>
          <w:rFonts w:ascii="Arial" w:cs="Arial" w:eastAsia="Arial" w:hAnsi="Arial"/>
          <w:sz w:val="18"/>
          <w:szCs w:val="18"/>
          <w:color w:val="auto"/>
        </w:rPr>
        <w:t>. Subject to earlier termination of the Option as otherwise provided by this Plan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otherwise provided by 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Arial" w:cs="Arial" w:eastAsia="Arial" w:hAnsi="Arial"/>
          <w:sz w:val="18"/>
          <w:szCs w:val="18"/>
          <w:b w:val="1"/>
          <w:bCs w:val="1"/>
          <w:i w:val="1"/>
          <w:iCs w:val="1"/>
          <w:color w:val="auto"/>
        </w:rPr>
        <w:t>Option Expiration Date</w:t>
      </w:r>
      <w:r>
        <w:rPr>
          <w:rFonts w:ascii="Arial" w:cs="Arial" w:eastAsia="Arial" w:hAnsi="Arial"/>
          <w:sz w:val="18"/>
          <w:szCs w:val="18"/>
          <w:color w:val="auto"/>
        </w:rPr>
        <w:t>”), and thereafter shall terminate if not exercised during such period.</w:t>
      </w:r>
    </w:p>
    <w:p>
      <w:pPr>
        <w:spacing w:after="0" w:line="171" w:lineRule="exact"/>
        <w:rPr>
          <w:rFonts w:ascii="Arial" w:cs="Arial" w:eastAsia="Arial" w:hAnsi="Arial"/>
          <w:sz w:val="18"/>
          <w:szCs w:val="18"/>
          <w:color w:val="auto"/>
        </w:rPr>
      </w:pPr>
    </w:p>
    <w:p>
      <w:pPr>
        <w:jc w:val="both"/>
        <w:ind w:right="40" w:firstLine="2438"/>
        <w:spacing w:after="0" w:line="247" w:lineRule="auto"/>
        <w:tabs>
          <w:tab w:leader="none" w:pos="2790"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If the Participant’s Service terminates because of the Disability of the Participant,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firstLine="2438"/>
        <w:spacing w:after="0" w:line="242" w:lineRule="auto"/>
        <w:tabs>
          <w:tab w:leader="none" w:pos="283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If the Participant’s Service terminates because of the death of the Participant, the Option,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spacing w:after="0" w:line="165" w:lineRule="exact"/>
        <w:rPr>
          <w:rFonts w:ascii="Arial" w:cs="Arial" w:eastAsia="Arial" w:hAnsi="Arial"/>
          <w:sz w:val="18"/>
          <w:szCs w:val="18"/>
          <w:color w:val="auto"/>
        </w:rPr>
      </w:pPr>
    </w:p>
    <w:p>
      <w:pPr>
        <w:ind w:right="40" w:firstLine="2438"/>
        <w:spacing w:after="0" w:line="247" w:lineRule="auto"/>
        <w:tabs>
          <w:tab w:leader="none" w:pos="287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Notwithstanding any other provision of the Plan to the contrary, if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60" w:lineRule="exact"/>
        <w:rPr>
          <w:rFonts w:ascii="Arial" w:cs="Arial" w:eastAsia="Arial" w:hAnsi="Arial"/>
          <w:sz w:val="18"/>
          <w:szCs w:val="18"/>
          <w:color w:val="auto"/>
        </w:rPr>
      </w:pPr>
    </w:p>
    <w:p>
      <w:pPr>
        <w:ind w:right="80" w:firstLine="2438"/>
        <w:spacing w:after="0" w:line="247" w:lineRule="auto"/>
        <w:tabs>
          <w:tab w:leader="none" w:pos="28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Other Termination of Service</w:t>
      </w:r>
      <w:r>
        <w:rPr>
          <w:rFonts w:ascii="Arial" w:cs="Arial" w:eastAsia="Arial" w:hAnsi="Arial"/>
          <w:sz w:val="18"/>
          <w:szCs w:val="18"/>
          <w:color w:val="auto"/>
        </w:rPr>
        <w:t>. If the Participant’s Service terminates for any reason, except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Cause, the Option, to the extent unexercised and exercisable for vested shares on the date on which the Participant’s Service terminated, may be exercised by the Participant at any time prior to the expiration of four (4) months after the date on which the Participant’s Service terminated.</w:t>
      </w:r>
    </w:p>
    <w:p>
      <w:pPr>
        <w:spacing w:after="0" w:line="160" w:lineRule="exact"/>
        <w:rPr>
          <w:sz w:val="20"/>
          <w:szCs w:val="20"/>
          <w:color w:val="auto"/>
        </w:rPr>
      </w:pPr>
    </w:p>
    <w:p>
      <w:pPr>
        <w:ind w:firstLine="1952"/>
        <w:spacing w:after="0" w:line="244" w:lineRule="auto"/>
        <w:tabs>
          <w:tab w:leader="none" w:pos="2364"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Extension if Exercise Prevented by Law</w:t>
      </w:r>
      <w:r>
        <w:rPr>
          <w:rFonts w:ascii="Arial" w:cs="Arial" w:eastAsia="Arial" w:hAnsi="Arial"/>
          <w:sz w:val="18"/>
          <w:szCs w:val="18"/>
          <w:color w:val="auto"/>
        </w:rPr>
        <w:t>. Notwithstanding the foregoing, other than termination of Service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if the exercise of an Option within the Post-Termination Exercise Period is prevented by the provisions of Section 14 below or other applicable law on any date during such Post-Termination Exercise Period and on which the per share exercise price of the Option is less than the Fair Market Value, such Option shall remain exercisable until thirty (30) days after the date such exercise first would no longer be prevented by such provisions but in any event no later than the Option Expiration Date.</w:t>
      </w:r>
    </w:p>
    <w:p>
      <w:pPr>
        <w:spacing w:after="0" w:line="163" w:lineRule="exact"/>
        <w:rPr>
          <w:sz w:val="20"/>
          <w:szCs w:val="20"/>
          <w:color w:val="auto"/>
        </w:rPr>
      </w:pPr>
    </w:p>
    <w:p>
      <w:pPr>
        <w:ind w:right="60" w:firstLine="1296"/>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Transferability of Options</w:t>
      </w:r>
      <w:r>
        <w:rPr>
          <w:rFonts w:ascii="Arial" w:cs="Arial" w:eastAsia="Arial" w:hAnsi="Arial"/>
          <w:sz w:val="18"/>
          <w:szCs w:val="18"/>
          <w:color w:val="auto"/>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 Notwithstanding the foregoing, Options may not be transferred to any third party for value.</w:t>
      </w:r>
    </w:p>
    <w:p>
      <w:pPr>
        <w:spacing w:after="0" w:line="167"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ppreciation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ights</w:t>
      </w:r>
      <w:r>
        <w:rPr>
          <w:rFonts w:ascii="Arial" w:cs="Arial" w:eastAsia="Arial" w:hAnsi="Arial"/>
          <w:sz w:val="18"/>
          <w:szCs w:val="18"/>
          <w:color w:val="auto"/>
        </w:rPr>
        <w:t>.</w:t>
      </w:r>
    </w:p>
    <w:p>
      <w:pPr>
        <w:spacing w:after="0" w:line="2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55" w:lineRule="exact"/>
        <w:rPr>
          <w:sz w:val="20"/>
          <w:szCs w:val="20"/>
          <w:color w:val="auto"/>
        </w:rPr>
      </w:pPr>
    </w:p>
    <w:p>
      <w:pPr>
        <w:ind w:right="80" w:firstLine="1296"/>
        <w:spacing w:after="0" w:line="24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Types of SARs Authorized</w:t>
      </w:r>
      <w:r>
        <w:rPr>
          <w:rFonts w:ascii="Arial" w:cs="Arial" w:eastAsia="Arial" w:hAnsi="Arial"/>
          <w:sz w:val="18"/>
          <w:szCs w:val="18"/>
          <w:color w:val="auto"/>
        </w:rPr>
        <w:t>. SARs may be granted in tandem with all or any portion of a related Option (a “</w:t>
      </w:r>
      <w:r>
        <w:rPr>
          <w:rFonts w:ascii="Arial" w:cs="Arial" w:eastAsia="Arial" w:hAnsi="Arial"/>
          <w:sz w:val="18"/>
          <w:szCs w:val="18"/>
          <w:b w:val="1"/>
          <w:bCs w:val="1"/>
          <w:i w:val="1"/>
          <w:iCs w:val="1"/>
          <w:color w:val="auto"/>
        </w:rPr>
        <w:t>Tandem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SAR</w:t>
      </w:r>
      <w:r>
        <w:rPr>
          <w:rFonts w:ascii="Arial" w:cs="Arial" w:eastAsia="Arial" w:hAnsi="Arial"/>
          <w:sz w:val="18"/>
          <w:szCs w:val="18"/>
          <w:color w:val="auto"/>
        </w:rPr>
        <w:t>”) or may be granted independently of any Option (a “</w:t>
      </w:r>
      <w:r>
        <w:rPr>
          <w:rFonts w:ascii="Arial" w:cs="Arial" w:eastAsia="Arial" w:hAnsi="Arial"/>
          <w:sz w:val="18"/>
          <w:szCs w:val="18"/>
          <w:b w:val="1"/>
          <w:bCs w:val="1"/>
          <w:i w:val="1"/>
          <w:iCs w:val="1"/>
          <w:color w:val="auto"/>
        </w:rPr>
        <w:t>Freestanding SAR</w:t>
      </w:r>
      <w:r>
        <w:rPr>
          <w:rFonts w:ascii="Arial" w:cs="Arial" w:eastAsia="Arial" w:hAnsi="Arial"/>
          <w:sz w:val="18"/>
          <w:szCs w:val="18"/>
          <w:color w:val="auto"/>
        </w:rPr>
        <w:t>”). A Tandem SAR may be granted either concurrently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of the related Option or at any time thereafter prior to the complete exercise, termination, expiration or cancellation of such related Option.</w:t>
      </w:r>
    </w:p>
    <w:p>
      <w:pPr>
        <w:spacing w:after="0" w:line="160" w:lineRule="exact"/>
        <w:rPr>
          <w:sz w:val="20"/>
          <w:szCs w:val="20"/>
          <w:color w:val="auto"/>
        </w:rPr>
      </w:pPr>
    </w:p>
    <w:p>
      <w:pPr>
        <w:ind w:right="200" w:firstLine="1296"/>
        <w:spacing w:after="0" w:line="24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Exercise Price</w:t>
      </w:r>
      <w:r>
        <w:rPr>
          <w:rFonts w:ascii="Arial" w:cs="Arial" w:eastAsia="Arial" w:hAnsi="Arial"/>
          <w:sz w:val="18"/>
          <w:szCs w:val="18"/>
          <w:color w:val="auto"/>
        </w:rPr>
        <w:t>. The exercise price for each SAR shall be established in the discretion of the Committee; provided, however, that (a) the exercise price per share subject to a Tandem SAR shall be the exercise price per share under the related Option and</w:t>
      </w:r>
    </w:p>
    <w:p>
      <w:pPr>
        <w:ind w:right="320" w:firstLine="8"/>
        <w:spacing w:after="0"/>
        <w:tabs>
          <w:tab w:leader="none" w:pos="27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b w:val="1"/>
          <w:bCs w:val="1"/>
          <w:color w:val="auto"/>
        </w:rPr>
        <w:t>Exercisability and Term of SARs</w:t>
      </w:r>
      <w:r>
        <w:rPr>
          <w:rFonts w:ascii="Arial" w:cs="Arial" w:eastAsia="Arial" w:hAnsi="Arial"/>
          <w:sz w:val="17"/>
          <w:szCs w:val="17"/>
          <w:color w:val="auto"/>
        </w:rPr>
        <w:t>.</w:t>
      </w:r>
    </w:p>
    <w:p>
      <w:pPr>
        <w:spacing w:after="0" w:line="198" w:lineRule="exact"/>
        <w:rPr>
          <w:sz w:val="20"/>
          <w:szCs w:val="20"/>
          <w:color w:val="auto"/>
        </w:rPr>
      </w:pPr>
    </w:p>
    <w:p>
      <w:pPr>
        <w:ind w:right="140" w:firstLine="1952"/>
        <w:spacing w:after="0" w:line="239" w:lineRule="auto"/>
        <w:tabs>
          <w:tab w:leader="none" w:pos="2364" w:val="left"/>
        </w:tabs>
        <w:numPr>
          <w:ilvl w:val="1"/>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Tandem SARs</w:t>
      </w:r>
      <w:r>
        <w:rPr>
          <w:rFonts w:ascii="Arial" w:cs="Arial" w:eastAsia="Arial" w:hAnsi="Arial"/>
          <w:sz w:val="18"/>
          <w:szCs w:val="18"/>
          <w:color w:val="auto"/>
        </w:rPr>
        <w:t>. Tandem SARs shall be exercisable only at the time and to the extent, and only to the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66" w:lineRule="exact"/>
        <w:rPr>
          <w:rFonts w:ascii="Arial" w:cs="Arial" w:eastAsia="Arial" w:hAnsi="Arial"/>
          <w:sz w:val="18"/>
          <w:szCs w:val="18"/>
          <w:color w:val="auto"/>
        </w:rPr>
      </w:pPr>
    </w:p>
    <w:p>
      <w:pPr>
        <w:ind w:right="120" w:firstLine="1952"/>
        <w:spacing w:after="0" w:line="255" w:lineRule="auto"/>
        <w:tabs>
          <w:tab w:leader="none" w:pos="2364" w:val="left"/>
        </w:tabs>
        <w:numPr>
          <w:ilvl w:val="1"/>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Freestanding SARs</w:t>
      </w:r>
      <w:r>
        <w:rPr>
          <w:rFonts w:ascii="Arial" w:cs="Arial" w:eastAsia="Arial" w:hAnsi="Arial"/>
          <w:sz w:val="17"/>
          <w:szCs w:val="17"/>
          <w:color w:val="auto"/>
        </w:rPr>
        <w:t>. Freestanding SARs shall be exercisable at such time or times, or upon such event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events, and subject to such terms, conditions, performance criteria and restrictions as shall be determined by the Committee and set forth in the Award Agreement evidencing such SAR; provided, however, that (i) no Freestanding SAR shall be exercisable after the expiration of ten</w:t>
      </w:r>
    </w:p>
    <w:p>
      <w:pPr>
        <w:spacing w:after="0" w:line="2" w:lineRule="exact"/>
        <w:rPr>
          <w:rFonts w:ascii="Arial" w:cs="Arial" w:eastAsia="Arial" w:hAnsi="Arial"/>
          <w:sz w:val="17"/>
          <w:szCs w:val="17"/>
          <w:color w:val="auto"/>
        </w:rPr>
      </w:pPr>
    </w:p>
    <w:p>
      <w:pPr>
        <w:ind w:right="20" w:firstLine="8"/>
        <w:spacing w:after="0" w:line="238" w:lineRule="auto"/>
        <w:tabs>
          <w:tab w:leader="none" w:pos="3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16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Exercise of SARs</w:t>
      </w:r>
      <w:r>
        <w:rPr>
          <w:rFonts w:ascii="Arial" w:cs="Arial" w:eastAsia="Arial" w:hAnsi="Arial"/>
          <w:sz w:val="18"/>
          <w:szCs w:val="18"/>
          <w:color w:val="auto"/>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66" w:lineRule="exact"/>
        <w:rPr>
          <w:sz w:val="20"/>
          <w:szCs w:val="20"/>
          <w:color w:val="auto"/>
        </w:rPr>
      </w:pPr>
    </w:p>
    <w:p>
      <w:pPr>
        <w:ind w:right="80" w:firstLine="1296"/>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Deemed Exercise of SARs</w:t>
      </w:r>
      <w:r>
        <w:rPr>
          <w:rFonts w:ascii="Arial" w:cs="Arial" w:eastAsia="Arial" w:hAnsi="Arial"/>
          <w:sz w:val="18"/>
          <w:szCs w:val="18"/>
          <w:color w:val="auto"/>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spacing w:after="0" w:line="171" w:lineRule="exact"/>
        <w:rPr>
          <w:sz w:val="20"/>
          <w:szCs w:val="20"/>
          <w:color w:val="auto"/>
        </w:rPr>
      </w:pPr>
    </w:p>
    <w:p>
      <w:pPr>
        <w:ind w:right="20" w:firstLine="1296"/>
        <w:spacing w:after="0" w:line="24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60" w:lineRule="exact"/>
        <w:rPr>
          <w:sz w:val="20"/>
          <w:szCs w:val="20"/>
          <w:color w:val="auto"/>
        </w:rPr>
      </w:pPr>
    </w:p>
    <w:p>
      <w:pPr>
        <w:ind w:right="20" w:firstLine="1296"/>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Transferability of SARs</w:t>
      </w:r>
      <w:r>
        <w:rPr>
          <w:rFonts w:ascii="Arial" w:cs="Arial" w:eastAsia="Arial" w:hAnsi="Arial"/>
          <w:sz w:val="18"/>
          <w:szCs w:val="18"/>
          <w:color w:val="auto"/>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 Notwithstanding the foregoing, SARs may not be transferred to any third party for value.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color w:val="auto"/>
        </w:rPr>
        <w:t>.</w:t>
      </w:r>
    </w:p>
    <w:p>
      <w:pPr>
        <w:spacing w:after="0" w:line="2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60" w:lineRule="exact"/>
        <w:rPr>
          <w:sz w:val="20"/>
          <w:szCs w:val="20"/>
          <w:color w:val="auto"/>
        </w:rPr>
      </w:pPr>
    </w:p>
    <w:p>
      <w:pPr>
        <w:ind w:right="20" w:firstLine="1296"/>
        <w:spacing w:after="0" w:line="24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Types of Restricted Stock Awards Authorized</w:t>
      </w:r>
      <w:r>
        <w:rPr>
          <w:rFonts w:ascii="Arial" w:cs="Arial" w:eastAsia="Arial" w:hAnsi="Arial"/>
          <w:sz w:val="18"/>
          <w:szCs w:val="18"/>
          <w:color w:val="auto"/>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65" w:lineRule="exact"/>
        <w:rPr>
          <w:sz w:val="20"/>
          <w:szCs w:val="20"/>
          <w:color w:val="auto"/>
        </w:rPr>
      </w:pPr>
    </w:p>
    <w:p>
      <w:pPr>
        <w:ind w:right="20" w:firstLine="1296"/>
        <w:spacing w:after="0" w:line="24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65" w:lineRule="exact"/>
        <w:rPr>
          <w:sz w:val="20"/>
          <w:szCs w:val="20"/>
          <w:color w:val="auto"/>
        </w:rPr>
      </w:pPr>
    </w:p>
    <w:p>
      <w:pPr>
        <w:ind w:right="540" w:firstLine="1296"/>
        <w:spacing w:after="0" w:line="27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Purchase Period</w:t>
      </w:r>
      <w:r>
        <w:rPr>
          <w:rFonts w:ascii="Arial" w:cs="Arial" w:eastAsia="Arial" w:hAnsi="Arial"/>
          <w:sz w:val="18"/>
          <w:szCs w:val="18"/>
          <w:color w:val="auto"/>
        </w:rPr>
        <w:t>. A Restricted Stock Purchase Right shall be exercisable within a period established by the Committee, which shall in no event exceed thirty (30) days from the effective date of the grant of the Restricted Stock Purchase Right.</w:t>
      </w:r>
    </w:p>
    <w:p>
      <w:pPr>
        <w:spacing w:after="0" w:line="140"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Payment of Purchase Price</w:t>
      </w:r>
      <w:r>
        <w:rPr>
          <w:rFonts w:ascii="Arial" w:cs="Arial" w:eastAsia="Arial" w:hAnsi="Arial"/>
          <w:sz w:val="18"/>
          <w:szCs w:val="18"/>
          <w:color w:val="auto"/>
        </w:rPr>
        <w:t>. Except as otherwise provided below, payment of the purchase price for the number of shares of Stock being purchased pursuant to any Restricted Stock Purchase Right shall be made (a) in cash, by check or in cash equivalent,</w:t>
      </w:r>
    </w:p>
    <w:p>
      <w:pPr>
        <w:ind w:right="160" w:firstLine="8"/>
        <w:spacing w:after="0" w:line="250" w:lineRule="auto"/>
        <w:tabs>
          <w:tab w:leader="none" w:pos="2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such other consideration as may be approved by the Committee from time to time to the extent permitted by applicable law, or (c) by any combination thereof.</w:t>
      </w:r>
    </w:p>
    <w:p>
      <w:pPr>
        <w:spacing w:after="0" w:line="15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Vesting and Restrictions on Transfer</w:t>
      </w:r>
      <w:r>
        <w:rPr>
          <w:rFonts w:ascii="Arial" w:cs="Arial" w:eastAsia="Arial" w:hAnsi="Arial"/>
          <w:sz w:val="18"/>
          <w:szCs w:val="18"/>
          <w:color w:val="auto"/>
        </w:rPr>
        <w:t>.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67"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Voting Rights; Dividends and Distributions</w:t>
      </w:r>
      <w:r>
        <w:rPr>
          <w:rFonts w:ascii="Arial" w:cs="Arial" w:eastAsia="Arial" w:hAnsi="Arial"/>
          <w:sz w:val="18"/>
          <w:szCs w:val="18"/>
          <w:color w:val="auto"/>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any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4.3, any and all new, substituted or additional securities or other property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80" w:firstLine="1296"/>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67"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Nontransferability of Restricted Stock Award Rights</w:t>
      </w:r>
      <w:r>
        <w:rPr>
          <w:rFonts w:ascii="Arial" w:cs="Arial" w:eastAsia="Arial" w:hAnsi="Arial"/>
          <w:sz w:val="18"/>
          <w:szCs w:val="18"/>
          <w:color w:val="auto"/>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63"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w:t>
      </w:r>
      <w:r>
        <w:rPr>
          <w:rFonts w:ascii="Arial" w:cs="Arial" w:eastAsia="Arial" w:hAnsi="Arial"/>
          <w:sz w:val="12"/>
          <w:szCs w:val="12"/>
          <w:b w:val="1"/>
          <w:bCs w:val="1"/>
          <w:u w:val="single" w:color="auto"/>
          <w:color w:val="auto"/>
        </w:rPr>
        <w:t>nits</w:t>
      </w:r>
      <w:r>
        <w:rPr>
          <w:rFonts w:ascii="Arial" w:cs="Arial" w:eastAsia="Arial" w:hAnsi="Arial"/>
          <w:sz w:val="18"/>
          <w:szCs w:val="18"/>
          <w:color w:val="auto"/>
        </w:rPr>
        <w:t>.</w:t>
      </w:r>
    </w:p>
    <w:p>
      <w:pPr>
        <w:spacing w:after="0" w:line="239" w:lineRule="exact"/>
        <w:rPr>
          <w:sz w:val="20"/>
          <w:szCs w:val="20"/>
          <w:color w:val="auto"/>
        </w:rPr>
      </w:pPr>
    </w:p>
    <w:p>
      <w:pPr>
        <w:jc w:val="both"/>
        <w:ind w:right="600"/>
        <w:spacing w:after="0" w:line="253" w:lineRule="auto"/>
        <w:rPr>
          <w:sz w:val="20"/>
          <w:szCs w:val="20"/>
          <w:color w:val="auto"/>
        </w:rPr>
      </w:pPr>
      <w:r>
        <w:rPr>
          <w:rFonts w:ascii="Arial" w:cs="Arial" w:eastAsia="Arial" w:hAnsi="Arial"/>
          <w:sz w:val="18"/>
          <w:szCs w:val="18"/>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155" w:lineRule="exact"/>
        <w:rPr>
          <w:sz w:val="20"/>
          <w:szCs w:val="20"/>
          <w:color w:val="auto"/>
        </w:rPr>
      </w:pPr>
    </w:p>
    <w:p>
      <w:pPr>
        <w:ind w:right="60" w:firstLine="1296"/>
        <w:spacing w:after="0" w:line="24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Grant of Restricted Stock Unit Awards</w:t>
      </w:r>
      <w:r>
        <w:rPr>
          <w:rFonts w:ascii="Arial" w:cs="Arial" w:eastAsia="Arial" w:hAnsi="Arial"/>
          <w:sz w:val="18"/>
          <w:szCs w:val="18"/>
          <w:color w:val="auto"/>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63"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Purchase Price</w:t>
      </w:r>
      <w:r>
        <w:rPr>
          <w:rFonts w:ascii="Arial" w:cs="Arial" w:eastAsia="Arial" w:hAnsi="Arial"/>
          <w:sz w:val="18"/>
          <w:szCs w:val="18"/>
          <w:color w:val="auto"/>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63" w:lineRule="exact"/>
        <w:rPr>
          <w:sz w:val="20"/>
          <w:szCs w:val="20"/>
          <w:color w:val="auto"/>
        </w:rPr>
      </w:pPr>
    </w:p>
    <w:p>
      <w:pPr>
        <w:ind w:right="80" w:firstLine="1296"/>
        <w:spacing w:after="0" w:line="25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Vesting</w:t>
      </w:r>
      <w:r>
        <w:rPr>
          <w:rFonts w:ascii="Arial" w:cs="Arial" w:eastAsia="Arial" w:hAnsi="Arial"/>
          <w:sz w:val="18"/>
          <w:szCs w:val="18"/>
          <w:color w:val="auto"/>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55"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Voting Rights, Dividend Equivalent Rights and Distributions</w:t>
      </w:r>
      <w:r>
        <w:rPr>
          <w:rFonts w:ascii="Arial" w:cs="Arial" w:eastAsia="Arial" w:hAnsi="Arial"/>
          <w:sz w:val="18"/>
          <w:szCs w:val="18"/>
          <w:color w:val="auto"/>
        </w:rPr>
        <w:t>.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to which the Participant would be entitled by reason of the shares of Stock issuable upon settlement of the Award, and all such new, substituted or additional securities or other property shall be immediately subject to the same Vesting Conditions as are applicable to the Award. No dividends or distributions shall be paid on shares of Stock subject to any Restricted Stock Unit Award which is subject to Vesting Conditions except to the extent that such Vesting Conditions are satisfied.</w:t>
      </w:r>
    </w:p>
    <w:p>
      <w:pPr>
        <w:spacing w:after="0" w:line="170" w:lineRule="exact"/>
        <w:rPr>
          <w:sz w:val="20"/>
          <w:szCs w:val="20"/>
          <w:color w:val="auto"/>
        </w:rPr>
      </w:pPr>
    </w:p>
    <w:p>
      <w:pPr>
        <w:ind w:right="240" w:firstLine="1296"/>
        <w:spacing w:after="0" w:line="24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Settlement of Restricted Stock Unit Awards</w:t>
      </w:r>
      <w:r>
        <w:rPr>
          <w:rFonts w:ascii="Arial" w:cs="Arial" w:eastAsia="Arial" w:hAnsi="Arial"/>
          <w:sz w:val="18"/>
          <w:szCs w:val="18"/>
          <w:color w:val="auto"/>
        </w:rPr>
        <w:t>. The Company shall issue to a Participant on the date on which Restricted Stock Units subject to the Participant’s Restricted Stock Unit Award vest or on such other date determined by the Committee as meeting the requirements for an exemption from, or alternatively in compliance with the requirements of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such latest permitted date as necessary to avoid adverse tax consequences under Section 409A.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172" w:lineRule="exact"/>
        <w:rPr>
          <w:sz w:val="20"/>
          <w:szCs w:val="20"/>
          <w:color w:val="auto"/>
        </w:rPr>
      </w:pPr>
    </w:p>
    <w:p>
      <w:pPr>
        <w:ind w:right="120" w:firstLine="1296"/>
        <w:spacing w:after="0" w:line="244"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Nontransferability of Restricted Stock Unit Awards</w:t>
      </w:r>
      <w:r>
        <w:rPr>
          <w:rFonts w:ascii="Arial" w:cs="Arial" w:eastAsia="Arial" w:hAnsi="Arial"/>
          <w:sz w:val="18"/>
          <w:szCs w:val="18"/>
          <w:color w:val="auto"/>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63"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erformance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color w:val="auto"/>
        </w:rPr>
        <w:t>.</w:t>
      </w:r>
    </w:p>
    <w:p>
      <w:pPr>
        <w:spacing w:after="0" w:line="23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ind w:firstLine="1296"/>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Types of Performance Awards Authorized</w:t>
      </w:r>
      <w:r>
        <w:rPr>
          <w:rFonts w:ascii="Arial" w:cs="Arial" w:eastAsia="Arial" w:hAnsi="Arial"/>
          <w:sz w:val="18"/>
          <w:szCs w:val="18"/>
          <w:color w:val="auto"/>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67" w:lineRule="exact"/>
        <w:rPr>
          <w:sz w:val="20"/>
          <w:szCs w:val="20"/>
          <w:color w:val="auto"/>
        </w:rPr>
      </w:pPr>
    </w:p>
    <w:p>
      <w:pPr>
        <w:ind w:right="60" w:firstLine="1296"/>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Initial Value of Performance Shares and Performance Units</w:t>
      </w:r>
      <w:r>
        <w:rPr>
          <w:rFonts w:ascii="Arial" w:cs="Arial" w:eastAsia="Arial" w:hAnsi="Arial"/>
          <w:sz w:val="18"/>
          <w:szCs w:val="18"/>
          <w:color w:val="auto"/>
        </w:rPr>
        <w:t>.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71"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Establishment of Performance Period, Performance Goals and Performance Award Formula</w:t>
      </w:r>
      <w:r>
        <w:rPr>
          <w:rFonts w:ascii="Arial" w:cs="Arial" w:eastAsia="Arial" w:hAnsi="Arial"/>
          <w:sz w:val="18"/>
          <w:szCs w:val="18"/>
          <w:color w:val="auto"/>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300" w:firstLine="1296"/>
        <w:spacing w:after="0" w:line="24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Measurement of Performance Goals</w:t>
      </w:r>
      <w:r>
        <w:rPr>
          <w:rFonts w:ascii="Arial" w:cs="Arial" w:eastAsia="Arial" w:hAnsi="Arial"/>
          <w:sz w:val="18"/>
          <w:szCs w:val="18"/>
          <w:color w:val="auto"/>
        </w:rPr>
        <w:t>. Performance Goals shall be established by the Committee on the basis of targets to be attained (“</w:t>
      </w:r>
      <w:r>
        <w:rPr>
          <w:rFonts w:ascii="Arial" w:cs="Arial" w:eastAsia="Arial" w:hAnsi="Arial"/>
          <w:sz w:val="18"/>
          <w:szCs w:val="18"/>
          <w:b w:val="1"/>
          <w:bCs w:val="1"/>
          <w:i w:val="1"/>
          <w:iCs w:val="1"/>
          <w:color w:val="auto"/>
        </w:rPr>
        <w:t>Performance Targets</w:t>
      </w:r>
      <w:r>
        <w:rPr>
          <w:rFonts w:ascii="Arial" w:cs="Arial" w:eastAsia="Arial" w:hAnsi="Arial"/>
          <w:sz w:val="18"/>
          <w:szCs w:val="18"/>
          <w:color w:val="auto"/>
        </w:rPr>
        <w:t>”) with respect to one or more measures of objective or subjective business, financial, or individual performance or other performance criteria established by the Committee (each, a “</w:t>
      </w:r>
      <w:r>
        <w:rPr>
          <w:rFonts w:ascii="Arial" w:cs="Arial" w:eastAsia="Arial" w:hAnsi="Arial"/>
          <w:sz w:val="18"/>
          <w:szCs w:val="18"/>
          <w:b w:val="1"/>
          <w:bCs w:val="1"/>
          <w:i w:val="1"/>
          <w:iCs w:val="1"/>
          <w:color w:val="auto"/>
        </w:rPr>
        <w:t>Performance Measure</w:t>
      </w:r>
      <w:r>
        <w:rPr>
          <w:rFonts w:ascii="Arial" w:cs="Arial" w:eastAsia="Arial" w:hAnsi="Arial"/>
          <w:sz w:val="18"/>
          <w:szCs w:val="18"/>
          <w:color w:val="auto"/>
        </w:rPr>
        <w:t>”), subject to the following:</w:t>
      </w:r>
    </w:p>
    <w:p>
      <w:pPr>
        <w:spacing w:after="0" w:line="160" w:lineRule="exact"/>
        <w:rPr>
          <w:sz w:val="20"/>
          <w:szCs w:val="20"/>
          <w:color w:val="auto"/>
        </w:rPr>
      </w:pPr>
    </w:p>
    <w:p>
      <w:pPr>
        <w:ind w:right="40" w:firstLine="1952"/>
        <w:spacing w:after="0" w:line="238" w:lineRule="auto"/>
        <w:tabs>
          <w:tab w:leader="none" w:pos="2364"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Measures</w:t>
      </w:r>
      <w:r>
        <w:rPr>
          <w:rFonts w:ascii="Arial" w:cs="Arial" w:eastAsia="Arial" w:hAnsi="Arial"/>
          <w:sz w:val="18"/>
          <w:szCs w:val="18"/>
          <w:color w:val="auto"/>
        </w:rPr>
        <w:t>. Unless otherwise determined by the Committee Performance Measures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spacing w:after="0" w:line="166" w:lineRule="exact"/>
        <w:rPr>
          <w:rFonts w:ascii="Arial" w:cs="Arial" w:eastAsia="Arial" w:hAnsi="Arial"/>
          <w:sz w:val="18"/>
          <w:szCs w:val="18"/>
          <w:color w:val="auto"/>
        </w:rPr>
      </w:pPr>
    </w:p>
    <w:p>
      <w:pPr>
        <w:ind w:right="120" w:firstLine="1952"/>
        <w:spacing w:after="0" w:line="266" w:lineRule="auto"/>
        <w:tabs>
          <w:tab w:leader="none" w:pos="2364"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Targets</w:t>
      </w:r>
      <w:r>
        <w:rPr>
          <w:rFonts w:ascii="Arial" w:cs="Arial" w:eastAsia="Arial" w:hAnsi="Arial"/>
          <w:sz w:val="17"/>
          <w:szCs w:val="17"/>
          <w:color w:val="auto"/>
        </w:rPr>
        <w:t>. Performance Targets may include a minimum, maximum, target level and intermediate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4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b w:val="1"/>
          <w:bCs w:val="1"/>
          <w:color w:val="auto"/>
        </w:rPr>
        <w:t>Settlement of Performance Awards</w:t>
      </w:r>
      <w:r>
        <w:rPr>
          <w:rFonts w:ascii="Arial" w:cs="Arial" w:eastAsia="Arial" w:hAnsi="Arial"/>
          <w:sz w:val="17"/>
          <w:szCs w:val="17"/>
          <w:color w:val="auto"/>
        </w:rPr>
        <w:t>.</w:t>
      </w:r>
    </w:p>
    <w:p>
      <w:pPr>
        <w:spacing w:after="0" w:line="198" w:lineRule="exact"/>
        <w:rPr>
          <w:sz w:val="20"/>
          <w:szCs w:val="20"/>
          <w:color w:val="auto"/>
        </w:rPr>
      </w:pPr>
    </w:p>
    <w:p>
      <w:pPr>
        <w:ind w:firstLine="1952"/>
        <w:spacing w:after="0" w:line="247" w:lineRule="auto"/>
        <w:tabs>
          <w:tab w:leader="none" w:pos="2364"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Determination of Final Value</w:t>
      </w:r>
      <w:r>
        <w:rPr>
          <w:rFonts w:ascii="Arial" w:cs="Arial" w:eastAsia="Arial" w:hAnsi="Arial"/>
          <w:sz w:val="18"/>
          <w:szCs w:val="18"/>
          <w:color w:val="auto"/>
        </w:rPr>
        <w:t>. As soon as practicable following the completion of the Performance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spacing w:after="0" w:line="160" w:lineRule="exact"/>
        <w:rPr>
          <w:rFonts w:ascii="Arial" w:cs="Arial" w:eastAsia="Arial" w:hAnsi="Arial"/>
          <w:sz w:val="18"/>
          <w:szCs w:val="18"/>
          <w:color w:val="auto"/>
        </w:rPr>
      </w:pPr>
    </w:p>
    <w:p>
      <w:pPr>
        <w:ind w:right="340" w:firstLine="1952"/>
        <w:spacing w:after="0" w:line="271" w:lineRule="auto"/>
        <w:tabs>
          <w:tab w:leader="none" w:pos="2364"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Notice to Participants</w:t>
      </w:r>
      <w:r>
        <w:rPr>
          <w:rFonts w:ascii="Arial" w:cs="Arial" w:eastAsia="Arial" w:hAnsi="Arial"/>
          <w:sz w:val="18"/>
          <w:szCs w:val="18"/>
          <w:color w:val="auto"/>
        </w:rPr>
        <w:t>. As soon as practicable following the Committee’s determination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10.5(a) the Company shall notify each Participant of the determination of the Committee.</w:t>
      </w:r>
    </w:p>
    <w:p>
      <w:pPr>
        <w:spacing w:after="0" w:line="140" w:lineRule="exact"/>
        <w:rPr>
          <w:rFonts w:ascii="Arial" w:cs="Arial" w:eastAsia="Arial" w:hAnsi="Arial"/>
          <w:sz w:val="18"/>
          <w:szCs w:val="18"/>
          <w:color w:val="auto"/>
        </w:rPr>
      </w:pPr>
    </w:p>
    <w:p>
      <w:pPr>
        <w:ind w:right="20" w:firstLine="1952"/>
        <w:spacing w:after="0" w:line="238" w:lineRule="auto"/>
        <w:tabs>
          <w:tab w:leader="none" w:pos="2354"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Payment in Settlement of Performance Awards</w:t>
      </w:r>
      <w:r>
        <w:rPr>
          <w:rFonts w:ascii="Arial" w:cs="Arial" w:eastAsia="Arial" w:hAnsi="Arial"/>
          <w:sz w:val="18"/>
          <w:szCs w:val="18"/>
          <w:color w:val="auto"/>
        </w:rPr>
        <w:t>. As soon as practicable following the Committee’s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determination in accordance with Section 10.5(a)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spacing w:after="0" w:line="172" w:lineRule="exact"/>
        <w:rPr>
          <w:rFonts w:ascii="Arial" w:cs="Arial" w:eastAsia="Arial" w:hAnsi="Arial"/>
          <w:sz w:val="18"/>
          <w:szCs w:val="18"/>
          <w:color w:val="auto"/>
        </w:rPr>
      </w:pPr>
    </w:p>
    <w:p>
      <w:pPr>
        <w:ind w:right="40" w:firstLine="1952"/>
        <w:spacing w:after="0" w:line="242" w:lineRule="auto"/>
        <w:tabs>
          <w:tab w:leader="none" w:pos="2364"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Provisions Applicable to Payment in Shares</w:t>
      </w:r>
      <w:r>
        <w:rPr>
          <w:rFonts w:ascii="Arial" w:cs="Arial" w:eastAsia="Arial" w:hAnsi="Arial"/>
          <w:sz w:val="18"/>
          <w:szCs w:val="18"/>
          <w:color w:val="auto"/>
        </w:rPr>
        <w:t>. If payment is to be made in shares of Stock,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Voting Rights; Dividend Equivalent Rights and Distributions</w:t>
      </w:r>
      <w:r>
        <w:rPr>
          <w:rFonts w:ascii="Arial" w:cs="Arial" w:eastAsia="Arial" w:hAnsi="Arial"/>
          <w:sz w:val="18"/>
          <w:szCs w:val="18"/>
          <w:color w:val="auto"/>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to which the Participant would be entitled by reason of the shares of Stock issuable upon settlement of the Performance Share Award, and all such new, substituted or additional securities or other property shall be immediately subject to the same Performance Goals and other Vesting Conditions as are applicable to the Award. No dividends or distributions shall be paid on shares of Stock subject to any Performance Share Award which is subject to Performance Goals or other Vesting Conditions except to the extent that such Performance Goals and/or other Vesting Conditions are satisfied.</w:t>
      </w:r>
    </w:p>
    <w:p>
      <w:pPr>
        <w:spacing w:after="0" w:line="180" w:lineRule="exact"/>
        <w:rPr>
          <w:sz w:val="20"/>
          <w:szCs w:val="20"/>
          <w:color w:val="auto"/>
        </w:rPr>
      </w:pPr>
    </w:p>
    <w:p>
      <w:pPr>
        <w:ind w:right="560" w:firstLine="1296"/>
        <w:spacing w:after="0" w:line="253"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Unless otherwise provided by the Committee and set forth in the Award Agreement evidencing a Performance Award, the effect of a Participant’s termination of Service on the Performance Award shall be as follows:</w:t>
      </w:r>
    </w:p>
    <w:p>
      <w:pPr>
        <w:spacing w:after="0" w:line="155" w:lineRule="exact"/>
        <w:rPr>
          <w:sz w:val="20"/>
          <w:szCs w:val="20"/>
          <w:color w:val="auto"/>
        </w:rPr>
      </w:pPr>
    </w:p>
    <w:p>
      <w:pPr>
        <w:ind w:right="120" w:firstLine="1952"/>
        <w:spacing w:after="0" w:line="244" w:lineRule="auto"/>
        <w:tabs>
          <w:tab w:leader="none" w:pos="2364"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Death or Disability</w:t>
      </w:r>
      <w:r>
        <w:rPr>
          <w:rFonts w:ascii="Arial" w:cs="Arial" w:eastAsia="Arial" w:hAnsi="Arial"/>
          <w:sz w:val="18"/>
          <w:szCs w:val="18"/>
          <w:color w:val="auto"/>
        </w:rPr>
        <w:t>. If the Participant’s Service terminates because of the death or Disability of the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162" w:lineRule="exact"/>
        <w:rPr>
          <w:rFonts w:ascii="Arial" w:cs="Arial" w:eastAsia="Arial" w:hAnsi="Arial"/>
          <w:sz w:val="18"/>
          <w:szCs w:val="18"/>
          <w:color w:val="auto"/>
        </w:rPr>
      </w:pPr>
    </w:p>
    <w:p>
      <w:pPr>
        <w:ind w:right="20" w:firstLine="1952"/>
        <w:spacing w:after="0" w:line="242" w:lineRule="auto"/>
        <w:tabs>
          <w:tab w:leader="none" w:pos="2364"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Termination of Service</w:t>
      </w:r>
      <w:r>
        <w:rPr>
          <w:rFonts w:ascii="Arial" w:cs="Arial" w:eastAsia="Arial" w:hAnsi="Arial"/>
          <w:sz w:val="18"/>
          <w:szCs w:val="18"/>
          <w:color w:val="auto"/>
        </w:rPr>
        <w:t>. If the Participant’s Service terminates for any reason except death or Disability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165"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color w:val="auto"/>
        </w:rPr>
        <w:t>Nontransferability of Performance Awards</w:t>
      </w:r>
      <w:r>
        <w:rPr>
          <w:rFonts w:ascii="Arial" w:cs="Arial" w:eastAsia="Arial" w:hAnsi="Arial"/>
          <w:sz w:val="18"/>
          <w:szCs w:val="18"/>
          <w:color w:val="auto"/>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63"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ash</w:t>
      </w:r>
      <w:r>
        <w:rPr>
          <w:rFonts w:ascii="Arial" w:cs="Arial" w:eastAsia="Arial" w:hAnsi="Arial"/>
          <w:sz w:val="18"/>
          <w:szCs w:val="18"/>
          <w:b w:val="1"/>
          <w:bCs w:val="1"/>
          <w:u w:val="single" w:color="auto"/>
          <w:color w:val="auto"/>
        </w:rPr>
        <w:t>-B</w:t>
      </w:r>
      <w:r>
        <w:rPr>
          <w:rFonts w:ascii="Arial" w:cs="Arial" w:eastAsia="Arial" w:hAnsi="Arial"/>
          <w:sz w:val="12"/>
          <w:szCs w:val="12"/>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ther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u w:val="single" w:color="auto"/>
          <w:color w:val="auto"/>
        </w:rPr>
        <w:t>-B</w:t>
      </w:r>
      <w:r>
        <w:rPr>
          <w:rFonts w:ascii="Arial" w:cs="Arial" w:eastAsia="Arial" w:hAnsi="Arial"/>
          <w:sz w:val="12"/>
          <w:szCs w:val="12"/>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color w:val="auto"/>
        </w:rPr>
        <w:t>.</w:t>
      </w:r>
    </w:p>
    <w:p>
      <w:pPr>
        <w:spacing w:after="0" w:line="239"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2" w:lineRule="exact"/>
        <w:rPr>
          <w:sz w:val="20"/>
          <w:szCs w:val="20"/>
          <w:color w:val="auto"/>
        </w:rPr>
      </w:pPr>
    </w:p>
    <w:p>
      <w:pPr>
        <w:ind w:right="300" w:firstLine="1296"/>
        <w:spacing w:after="0" w:line="242"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Grant of Cash-Based Awards</w:t>
      </w:r>
      <w:r>
        <w:rPr>
          <w:rFonts w:ascii="Arial" w:cs="Arial" w:eastAsia="Arial" w:hAnsi="Arial"/>
          <w:sz w:val="18"/>
          <w:szCs w:val="18"/>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66" w:lineRule="exact"/>
        <w:rPr>
          <w:sz w:val="20"/>
          <w:szCs w:val="20"/>
          <w:color w:val="auto"/>
        </w:rPr>
      </w:pPr>
    </w:p>
    <w:p>
      <w:pPr>
        <w:ind w:right="20" w:firstLine="1296"/>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Grant of Other Stock-Based Awards</w:t>
      </w:r>
      <w:r>
        <w:rPr>
          <w:rFonts w:ascii="Arial" w:cs="Arial" w:eastAsia="Arial" w:hAnsi="Arial"/>
          <w:sz w:val="18"/>
          <w:szCs w:val="18"/>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ectPr>
          <w:pgSz w:w="11900" w:h="16838" w:orient="portrait"/>
          <w:cols w:equalWidth="0" w:num="1">
            <w:col w:w="11240"/>
          </w:cols>
          <w:pgMar w:left="320" w:top="121" w:right="3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Value of Cash-Based and Other Stock-Based Awards</w:t>
      </w:r>
      <w:r>
        <w:rPr>
          <w:rFonts w:ascii="Arial" w:cs="Arial" w:eastAsia="Arial" w:hAnsi="Arial"/>
          <w:sz w:val="18"/>
          <w:szCs w:val="18"/>
          <w:color w:val="auto"/>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171" w:lineRule="exact"/>
        <w:rPr>
          <w:sz w:val="20"/>
          <w:szCs w:val="20"/>
          <w:color w:val="auto"/>
        </w:rPr>
      </w:pPr>
    </w:p>
    <w:p>
      <w:pPr>
        <w:ind w:right="200" w:firstLine="1296"/>
        <w:spacing w:after="0" w:line="24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Payment or Settlement of Cash-Based Awards and Other Stock-Based Awards</w:t>
      </w:r>
      <w:r>
        <w:rPr>
          <w:rFonts w:ascii="Arial" w:cs="Arial" w:eastAsia="Arial" w:hAnsi="Arial"/>
          <w:sz w:val="18"/>
          <w:szCs w:val="18"/>
          <w:color w:val="auto"/>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spacing w:after="0" w:line="163"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Voting Rights; Dividend Equivalent Rights and Distributions</w:t>
      </w:r>
      <w:r>
        <w:rPr>
          <w:rFonts w:ascii="Arial" w:cs="Arial" w:eastAsia="Arial" w:hAnsi="Arial"/>
          <w:sz w:val="18"/>
          <w:szCs w:val="18"/>
          <w:color w:val="auto"/>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 No dividends or distributions shall be paid on shares of Stock subject to any Other Stock Based Award which are subject to Vesting Conditions except to the extent that such Vesting Conditions are satisfied.</w:t>
      </w:r>
    </w:p>
    <w:p>
      <w:pPr>
        <w:spacing w:after="0" w:line="174" w:lineRule="exact"/>
        <w:rPr>
          <w:sz w:val="20"/>
          <w:szCs w:val="20"/>
          <w:color w:val="auto"/>
        </w:rPr>
      </w:pPr>
    </w:p>
    <w:p>
      <w:pPr>
        <w:ind w:right="40" w:firstLine="1296"/>
        <w:spacing w:after="0" w:line="244"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63" w:lineRule="exact"/>
        <w:rPr>
          <w:sz w:val="20"/>
          <w:szCs w:val="20"/>
          <w:color w:val="auto"/>
        </w:rPr>
      </w:pPr>
    </w:p>
    <w:p>
      <w:pPr>
        <w:ind w:right="20" w:firstLine="1296"/>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Nontransferability of Cash-Based Awards and Other Stock-Based Awards</w:t>
      </w:r>
      <w:r>
        <w:rPr>
          <w:rFonts w:ascii="Arial" w:cs="Arial" w:eastAsia="Arial" w:hAnsi="Arial"/>
          <w:sz w:val="18"/>
          <w:szCs w:val="18"/>
          <w:color w:val="auto"/>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71"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tandard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2"/>
          <w:szCs w:val="12"/>
          <w:b w:val="1"/>
          <w:bCs w:val="1"/>
          <w:u w:val="single" w:color="auto"/>
          <w:color w:val="auto"/>
        </w:rPr>
        <w:t>orms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greement</w:t>
      </w:r>
      <w:r>
        <w:rPr>
          <w:rFonts w:ascii="Arial" w:cs="Arial" w:eastAsia="Arial" w:hAnsi="Arial"/>
          <w:sz w:val="18"/>
          <w:szCs w:val="18"/>
          <w:color w:val="auto"/>
        </w:rPr>
        <w:t>.</w:t>
      </w:r>
    </w:p>
    <w:p>
      <w:pPr>
        <w:spacing w:after="0" w:line="239" w:lineRule="exact"/>
        <w:rPr>
          <w:sz w:val="20"/>
          <w:szCs w:val="20"/>
          <w:color w:val="auto"/>
        </w:rPr>
      </w:pPr>
    </w:p>
    <w:p>
      <w:pPr>
        <w:ind w:right="40" w:firstLine="1296"/>
        <w:spacing w:after="0" w:line="24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Award Agreements</w:t>
      </w:r>
      <w:r>
        <w:rPr>
          <w:rFonts w:ascii="Arial" w:cs="Arial" w:eastAsia="Arial" w:hAnsi="Arial"/>
          <w:sz w:val="18"/>
          <w:szCs w:val="18"/>
          <w:color w:val="auto"/>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spacing w:after="0" w:line="160"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Authority to Vary Terms</w:t>
      </w:r>
      <w:r>
        <w:rPr>
          <w:rFonts w:ascii="Arial" w:cs="Arial" w:eastAsia="Arial" w:hAnsi="Arial"/>
          <w:sz w:val="18"/>
          <w:szCs w:val="18"/>
          <w:color w:val="auto"/>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hange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ontrol</w:t>
      </w:r>
      <w:r>
        <w:rPr>
          <w:rFonts w:ascii="Arial" w:cs="Arial" w:eastAsia="Arial" w:hAnsi="Arial"/>
          <w:sz w:val="18"/>
          <w:szCs w:val="18"/>
          <w:color w:val="auto"/>
        </w:rPr>
        <w:t>.</w:t>
      </w:r>
    </w:p>
    <w:p>
      <w:pPr>
        <w:spacing w:after="0" w:line="239" w:lineRule="exact"/>
        <w:rPr>
          <w:sz w:val="20"/>
          <w:szCs w:val="20"/>
          <w:color w:val="auto"/>
        </w:rPr>
      </w:pPr>
    </w:p>
    <w:p>
      <w:pPr>
        <w:ind w:right="20" w:firstLine="1296"/>
        <w:spacing w:after="0" w:line="238"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Effect of Change in Control on Awards.</w:t>
      </w:r>
      <w:r>
        <w:rPr>
          <w:rFonts w:ascii="Arial" w:cs="Arial" w:eastAsia="Arial" w:hAnsi="Arial"/>
          <w:sz w:val="18"/>
          <w:szCs w:val="18"/>
          <w:color w:val="auto"/>
        </w:rPr>
        <w:t xml:space="preserve">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contingent upon the consummation of the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w:t>
      </w:r>
    </w:p>
    <w:p>
      <w:pPr>
        <w:spacing w:after="0" w:line="172" w:lineRule="exact"/>
        <w:rPr>
          <w:sz w:val="20"/>
          <w:szCs w:val="20"/>
          <w:color w:val="auto"/>
        </w:rPr>
      </w:pPr>
    </w:p>
    <w:p>
      <w:pPr>
        <w:ind w:right="20" w:firstLine="1952"/>
        <w:spacing w:after="0" w:line="247" w:lineRule="auto"/>
        <w:tabs>
          <w:tab w:leader="none" w:pos="2357"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Accelerated Vesting. </w:t>
      </w:r>
      <w:r>
        <w:rPr>
          <w:rFonts w:ascii="Arial" w:cs="Arial" w:eastAsia="Arial" w:hAnsi="Arial"/>
          <w:sz w:val="18"/>
          <w:szCs w:val="18"/>
          <w:color w:val="auto"/>
        </w:rPr>
        <w:t>The Committee may take such action as it deems appropriate to provide for acceleration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spacing w:after="0" w:line="160" w:lineRule="exact"/>
        <w:rPr>
          <w:rFonts w:ascii="Arial" w:cs="Arial" w:eastAsia="Arial" w:hAnsi="Arial"/>
          <w:sz w:val="18"/>
          <w:szCs w:val="18"/>
          <w:color w:val="auto"/>
        </w:rPr>
      </w:pPr>
    </w:p>
    <w:p>
      <w:pPr>
        <w:ind w:firstLine="1952"/>
        <w:spacing w:after="0" w:line="237" w:lineRule="auto"/>
        <w:tabs>
          <w:tab w:leader="none" w:pos="2357"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Assumption, Continuation or Substitution. </w:t>
      </w:r>
      <w:r>
        <w:rPr>
          <w:rFonts w:ascii="Arial" w:cs="Arial" w:eastAsia="Arial" w:hAnsi="Arial"/>
          <w:sz w:val="18"/>
          <w:szCs w:val="18"/>
          <w:color w:val="auto"/>
        </w:rPr>
        <w:t>The Committee may arrange for the surviving,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or purchasing corporation or other business entity or parent thereof, as the case may be (the “</w:t>
      </w:r>
      <w:r>
        <w:rPr>
          <w:rFonts w:ascii="Arial" w:cs="Arial" w:eastAsia="Arial" w:hAnsi="Arial"/>
          <w:sz w:val="18"/>
          <w:szCs w:val="18"/>
          <w:b w:val="1"/>
          <w:bCs w:val="1"/>
          <w:i w:val="1"/>
          <w:iCs w:val="1"/>
          <w:color w:val="auto"/>
        </w:rPr>
        <w:t>Acquiror</w:t>
      </w:r>
      <w:r>
        <w:rPr>
          <w:rFonts w:ascii="Arial" w:cs="Arial" w:eastAsia="Arial" w:hAnsi="Arial"/>
          <w:sz w:val="18"/>
          <w:szCs w:val="18"/>
          <w:color w:val="auto"/>
        </w:rPr>
        <w:t>”),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prior to the time of consummation of the Change in Control shall terminate and cease to be outstanding effective as of the time of consummation of the Change in Control.</w:t>
      </w:r>
    </w:p>
    <w:p>
      <w:pPr>
        <w:spacing w:after="0" w:line="172" w:lineRule="exact"/>
        <w:rPr>
          <w:rFonts w:ascii="Arial" w:cs="Arial" w:eastAsia="Arial" w:hAnsi="Arial"/>
          <w:sz w:val="18"/>
          <w:szCs w:val="18"/>
          <w:color w:val="auto"/>
        </w:rPr>
      </w:pPr>
    </w:p>
    <w:p>
      <w:pPr>
        <w:ind w:right="160" w:firstLine="1952"/>
        <w:spacing w:after="0" w:line="253" w:lineRule="auto"/>
        <w:tabs>
          <w:tab w:leader="none" w:pos="2347"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Assignment or Lapse of Reacquisition or Repurchase Rights. </w:t>
      </w:r>
      <w:r>
        <w:rPr>
          <w:rFonts w:ascii="Arial" w:cs="Arial" w:eastAsia="Arial" w:hAnsi="Arial"/>
          <w:sz w:val="18"/>
          <w:szCs w:val="18"/>
          <w:color w:val="auto"/>
        </w:rPr>
        <w:t>The Committee may arrange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of any reacquisition or repurchase rights held by the Company in respect of Stock issued pursuant to the Award to the Acquiror or arrange for the lapse, in whole or in part, of any reacquisition or repurchase rights held by the Company with respect to the Award.</w:t>
      </w:r>
    </w:p>
    <w:p>
      <w:pPr>
        <w:spacing w:after="0" w:line="155" w:lineRule="exact"/>
        <w:rPr>
          <w:rFonts w:ascii="Arial" w:cs="Arial" w:eastAsia="Arial" w:hAnsi="Arial"/>
          <w:sz w:val="18"/>
          <w:szCs w:val="18"/>
          <w:color w:val="auto"/>
        </w:rPr>
      </w:pPr>
    </w:p>
    <w:p>
      <w:pPr>
        <w:ind w:right="200" w:firstLine="1952"/>
        <w:spacing w:after="0" w:line="253" w:lineRule="auto"/>
        <w:tabs>
          <w:tab w:leader="none" w:pos="2364"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Cancellation. </w:t>
      </w:r>
      <w:r>
        <w:rPr>
          <w:rFonts w:ascii="Arial" w:cs="Arial" w:eastAsia="Arial" w:hAnsi="Arial"/>
          <w:sz w:val="18"/>
          <w:szCs w:val="18"/>
          <w:color w:val="auto"/>
        </w:rPr>
        <w:t>In its discretion, the Committee may cancel or arrange for the cancellation of the Award,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not vested or not exercised prior to the effective time of the Change in Control, in exchange for no consideration ($0) or such consideration, if any, as determined by the Committee.</w:t>
      </w:r>
    </w:p>
    <w:p>
      <w:pPr>
        <w:spacing w:after="0" w:line="155" w:lineRule="exact"/>
        <w:rPr>
          <w:rFonts w:ascii="Arial" w:cs="Arial" w:eastAsia="Arial" w:hAnsi="Arial"/>
          <w:sz w:val="18"/>
          <w:szCs w:val="18"/>
          <w:color w:val="auto"/>
        </w:rPr>
      </w:pPr>
    </w:p>
    <w:p>
      <w:pPr>
        <w:ind w:right="20" w:firstLine="1952"/>
        <w:spacing w:after="0" w:line="238" w:lineRule="auto"/>
        <w:tabs>
          <w:tab w:leader="none" w:pos="2364"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Cash-Out of Outstanding Stock-Based Awards. </w:t>
      </w:r>
      <w:r>
        <w:rPr>
          <w:rFonts w:ascii="Arial" w:cs="Arial" w:eastAsia="Arial" w:hAnsi="Arial"/>
          <w:sz w:val="18"/>
          <w:szCs w:val="18"/>
          <w:color w:val="auto"/>
        </w:rPr>
        <w:t>The Committee may determine that, upon the occurrence of</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to the extent applicable,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360" w:firstLine="1952"/>
        <w:spacing w:after="0" w:line="247" w:lineRule="auto"/>
        <w:tabs>
          <w:tab w:leader="none" w:pos="2307"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Adjustments and Earnouts</w:t>
      </w:r>
      <w:r>
        <w:rPr>
          <w:rFonts w:ascii="Arial" w:cs="Arial" w:eastAsia="Arial" w:hAnsi="Arial"/>
          <w:sz w:val="18"/>
          <w:szCs w:val="18"/>
          <w:color w:val="auto"/>
        </w:rPr>
        <w:t>. In making any determination pursuant to this Section 13.1 in the event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the 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spacing w:after="0" w:line="160" w:lineRule="exact"/>
        <w:rPr>
          <w:sz w:val="20"/>
          <w:szCs w:val="20"/>
          <w:color w:val="auto"/>
        </w:rPr>
      </w:pPr>
    </w:p>
    <w:p>
      <w:pPr>
        <w:ind w:right="540" w:firstLine="1296"/>
        <w:spacing w:after="0" w:line="24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Appointment of Stockholder Representative.</w:t>
      </w:r>
      <w:r>
        <w:rPr>
          <w:rFonts w:ascii="Arial" w:cs="Arial" w:eastAsia="Arial" w:hAnsi="Arial"/>
          <w:sz w:val="18"/>
          <w:szCs w:val="18"/>
          <w:color w:val="auto"/>
        </w:rPr>
        <w:t xml:space="preserve"> As a condition to the receipt of an Award under the Plan, a Participant will be deemed to have agreed that the Award will be subject to the terms of any agreement governing a Change in Control transaction involving the Company, including, without limitation, a provision for the appointment of a stockholder representative that is authorized to act on the Participant’s behalf.</w:t>
      </w:r>
    </w:p>
    <w:p>
      <w:pPr>
        <w:spacing w:after="0" w:line="160"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Effect of Change in Control on Nonemployee Director Awards.</w:t>
      </w:r>
      <w:r>
        <w:rPr>
          <w:rFonts w:ascii="Arial" w:cs="Arial" w:eastAsia="Arial" w:hAnsi="Arial"/>
          <w:sz w:val="18"/>
          <w:szCs w:val="18"/>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consummation of the Change in Control.</w:t>
      </w:r>
    </w:p>
    <w:p>
      <w:pPr>
        <w:spacing w:after="0" w:line="16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b w:val="1"/>
          <w:bCs w:val="1"/>
          <w:color w:val="auto"/>
        </w:rPr>
        <w:t>Federal Excise Tax Under Section 4999 of the Code</w:t>
      </w:r>
      <w:r>
        <w:rPr>
          <w:rFonts w:ascii="Arial" w:cs="Arial" w:eastAsia="Arial" w:hAnsi="Arial"/>
          <w:sz w:val="17"/>
          <w:szCs w:val="17"/>
          <w:color w:val="auto"/>
        </w:rPr>
        <w:t>.</w:t>
      </w:r>
    </w:p>
    <w:p>
      <w:pPr>
        <w:spacing w:after="0" w:line="198" w:lineRule="exact"/>
        <w:rPr>
          <w:sz w:val="20"/>
          <w:szCs w:val="20"/>
          <w:color w:val="auto"/>
        </w:rPr>
      </w:pPr>
    </w:p>
    <w:p>
      <w:pPr>
        <w:ind w:right="120" w:firstLine="1952"/>
        <w:spacing w:after="0" w:line="244" w:lineRule="auto"/>
        <w:tabs>
          <w:tab w:leader="none" w:pos="2364"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Excess Parachute Payment</w:t>
      </w:r>
      <w:r>
        <w:rPr>
          <w:rFonts w:ascii="Arial" w:cs="Arial" w:eastAsia="Arial" w:hAnsi="Arial"/>
          <w:sz w:val="18"/>
          <w:szCs w:val="18"/>
          <w:color w:val="auto"/>
        </w:rPr>
        <w:t>. If any acceleration of vesting pursuant to an Award and any other 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62" w:lineRule="exact"/>
        <w:rPr>
          <w:rFonts w:ascii="Arial" w:cs="Arial" w:eastAsia="Arial" w:hAnsi="Arial"/>
          <w:sz w:val="18"/>
          <w:szCs w:val="18"/>
          <w:color w:val="auto"/>
        </w:rPr>
      </w:pPr>
    </w:p>
    <w:p>
      <w:pPr>
        <w:ind w:right="20" w:firstLine="1952"/>
        <w:spacing w:after="0" w:line="238" w:lineRule="auto"/>
        <w:tabs>
          <w:tab w:leader="none" w:pos="2364"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Determination by Tax Firm</w:t>
      </w:r>
      <w:r>
        <w:rPr>
          <w:rFonts w:ascii="Arial" w:cs="Arial" w:eastAsia="Arial" w:hAnsi="Arial"/>
          <w:sz w:val="18"/>
          <w:szCs w:val="18"/>
          <w:color w:val="auto"/>
        </w:rPr>
        <w:t>. To aid the Participant in making any election called for under Section 13.4(a), no</w:t>
      </w:r>
      <w:r>
        <w:rPr>
          <w:rFonts w:ascii="Arial" w:cs="Arial" w:eastAsia="Arial" w:hAnsi="Arial"/>
          <w:sz w:val="18"/>
          <w:szCs w:val="18"/>
          <w:b w:val="1"/>
          <w:bCs w:val="1"/>
          <w:color w:val="auto"/>
        </w:rPr>
        <w:t xml:space="preserve"> </w:t>
      </w:r>
      <w:r>
        <w:rPr>
          <w:rFonts w:ascii="Arial" w:cs="Arial" w:eastAsia="Arial" w:hAnsi="Arial"/>
          <w:sz w:val="18"/>
          <w:szCs w:val="18"/>
          <w:color w:val="auto"/>
        </w:rPr>
        <w:t>later than the date of the occurrence of any event that might reasonably be anticipated to result in an “excess parachute payment” to the Participant as described in Section 13.4(a),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Arial" w:cs="Arial" w:eastAsia="Arial" w:hAnsi="Arial"/>
          <w:sz w:val="18"/>
          <w:szCs w:val="18"/>
          <w:b w:val="1"/>
          <w:bCs w:val="1"/>
          <w:i w:val="1"/>
          <w:iCs w:val="1"/>
          <w:color w:val="auto"/>
        </w:rPr>
        <w:t>Tax Firm</w:t>
      </w:r>
      <w:r>
        <w:rPr>
          <w:rFonts w:ascii="Arial" w:cs="Arial" w:eastAsia="Arial" w:hAnsi="Arial"/>
          <w:sz w:val="18"/>
          <w:szCs w:val="18"/>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172"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ecurities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aw</w:t>
      </w:r>
      <w:r>
        <w:rPr>
          <w:rFonts w:ascii="Arial" w:cs="Arial" w:eastAsia="Arial" w:hAnsi="Arial"/>
          <w:sz w:val="18"/>
          <w:szCs w:val="18"/>
          <w:color w:val="auto"/>
        </w:rPr>
        <w:t>.</w:t>
      </w:r>
    </w:p>
    <w:p>
      <w:pPr>
        <w:spacing w:after="0" w:line="23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409A</w:t>
      </w:r>
      <w:r>
        <w:rPr>
          <w:rFonts w:ascii="Arial" w:cs="Arial" w:eastAsia="Arial" w:hAnsi="Arial"/>
          <w:sz w:val="18"/>
          <w:szCs w:val="18"/>
          <w:color w:val="auto"/>
        </w:rPr>
        <w:t>.</w:t>
      </w:r>
    </w:p>
    <w:p>
      <w:pPr>
        <w:spacing w:after="0" w:line="239" w:lineRule="exact"/>
        <w:rPr>
          <w:sz w:val="20"/>
          <w:szCs w:val="20"/>
          <w:color w:val="auto"/>
        </w:rPr>
      </w:pPr>
    </w:p>
    <w:p>
      <w:pPr>
        <w:ind w:right="120" w:firstLine="1296"/>
        <w:spacing w:after="0" w:line="24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Awards Subject to Section 409A</w:t>
      </w:r>
      <w:r>
        <w:rPr>
          <w:rFonts w:ascii="Arial" w:cs="Arial" w:eastAsia="Arial" w:hAnsi="Arial"/>
          <w:sz w:val="18"/>
          <w:szCs w:val="18"/>
          <w:color w:val="auto"/>
        </w:rPr>
        <w:t>.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160" w:lineRule="exact"/>
        <w:rPr>
          <w:sz w:val="20"/>
          <w:szCs w:val="20"/>
          <w:color w:val="auto"/>
        </w:rPr>
      </w:pPr>
    </w:p>
    <w:p>
      <w:pPr>
        <w:ind w:right="60" w:firstLine="1952"/>
        <w:spacing w:after="0" w:line="253" w:lineRule="auto"/>
        <w:tabs>
          <w:tab w:leader="none" w:pos="23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55" w:lineRule="exact"/>
        <w:rPr>
          <w:rFonts w:ascii="Arial" w:cs="Arial" w:eastAsia="Arial" w:hAnsi="Arial"/>
          <w:sz w:val="18"/>
          <w:szCs w:val="18"/>
          <w:color w:val="auto"/>
        </w:rPr>
      </w:pPr>
    </w:p>
    <w:p>
      <w:pPr>
        <w:ind w:right="100" w:firstLine="1952"/>
        <w:spacing w:after="0" w:line="247" w:lineRule="auto"/>
        <w:tabs>
          <w:tab w:leader="none" w:pos="23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Subject to the provisions of Section 409A, the term “</w:t>
      </w:r>
      <w:r>
        <w:rPr>
          <w:rFonts w:ascii="Arial" w:cs="Arial" w:eastAsia="Arial" w:hAnsi="Arial"/>
          <w:sz w:val="18"/>
          <w:szCs w:val="18"/>
          <w:b w:val="1"/>
          <w:bCs w:val="1"/>
          <w:i w:val="1"/>
          <w:iCs w:val="1"/>
          <w:color w:val="auto"/>
        </w:rPr>
        <w:t>Short-Term Deferral Period</w:t>
      </w:r>
      <w:r>
        <w:rPr>
          <w:rFonts w:ascii="Arial" w:cs="Arial" w:eastAsia="Arial" w:hAnsi="Arial"/>
          <w:sz w:val="18"/>
          <w:szCs w:val="18"/>
          <w:color w:val="auto"/>
        </w:rPr>
        <w:t>” 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63" w:lineRule="exact"/>
        <w:rPr>
          <w:sz w:val="20"/>
          <w:szCs w:val="20"/>
          <w:color w:val="auto"/>
        </w:rPr>
      </w:pPr>
    </w:p>
    <w:p>
      <w:pPr>
        <w:ind w:right="60" w:firstLine="1296"/>
        <w:spacing w:after="0" w:line="25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Deferral and/or Distribution Elections</w:t>
      </w:r>
      <w:r>
        <w:rPr>
          <w:rFonts w:ascii="Arial" w:cs="Arial" w:eastAsia="Arial" w:hAnsi="Arial"/>
          <w:sz w:val="18"/>
          <w:szCs w:val="18"/>
          <w:color w:val="auto"/>
        </w:rPr>
        <w:t>. Except as otherwise permitted or required by Section 409A and the Company, the following rules shall apply to any compensation deferral and/or payment elections (each, an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that may be permitted or required by the Committee pursuant to an Award providing Section 409A Deferred Compensation:</w:t>
      </w:r>
    </w:p>
    <w:p>
      <w:pPr>
        <w:spacing w:after="0" w:line="155" w:lineRule="exact"/>
        <w:rPr>
          <w:sz w:val="20"/>
          <w:szCs w:val="20"/>
          <w:color w:val="auto"/>
        </w:rPr>
      </w:pPr>
    </w:p>
    <w:p>
      <w:pPr>
        <w:ind w:right="180" w:firstLine="1952"/>
        <w:spacing w:after="0" w:line="271" w:lineRule="auto"/>
        <w:tabs>
          <w:tab w:leader="none" w:pos="23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Elections must be in writing and specify the amount of the payment in settlement of an Award being deferred, as well as the time and form of payment as permitted by this Plan.</w:t>
      </w:r>
    </w:p>
    <w:p>
      <w:pPr>
        <w:spacing w:after="0" w:line="140" w:lineRule="exact"/>
        <w:rPr>
          <w:rFonts w:ascii="Arial" w:cs="Arial" w:eastAsia="Arial" w:hAnsi="Arial"/>
          <w:sz w:val="18"/>
          <w:szCs w:val="18"/>
          <w:color w:val="auto"/>
        </w:rPr>
      </w:pPr>
    </w:p>
    <w:p>
      <w:pPr>
        <w:ind w:right="780" w:firstLine="1952"/>
        <w:spacing w:after="0" w:line="271" w:lineRule="auto"/>
        <w:tabs>
          <w:tab w:leader="none" w:pos="23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Elections shall be made by the end of the Participant’s taxable year prior to the year in which services commence for which an Award may be granted to the Participant.</w:t>
      </w:r>
    </w:p>
    <w:p>
      <w:pPr>
        <w:spacing w:after="0" w:line="140" w:lineRule="exact"/>
        <w:rPr>
          <w:rFonts w:ascii="Arial" w:cs="Arial" w:eastAsia="Arial" w:hAnsi="Arial"/>
          <w:sz w:val="18"/>
          <w:szCs w:val="18"/>
          <w:color w:val="auto"/>
        </w:rPr>
      </w:pPr>
    </w:p>
    <w:p>
      <w:pPr>
        <w:ind w:right="280" w:firstLine="1952"/>
        <w:spacing w:after="0" w:line="253" w:lineRule="auto"/>
        <w:tabs>
          <w:tab w:leader="none" w:pos="23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155" w:lineRule="exact"/>
        <w:rPr>
          <w:sz w:val="20"/>
          <w:szCs w:val="20"/>
          <w:color w:val="auto"/>
        </w:rPr>
      </w:pPr>
    </w:p>
    <w:p>
      <w:pPr>
        <w:ind w:right="260" w:firstLine="1296"/>
        <w:spacing w:after="0" w:line="253"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Subsequent Elections</w:t>
      </w:r>
      <w:r>
        <w:rPr>
          <w:rFonts w:ascii="Arial" w:cs="Arial" w:eastAsia="Arial" w:hAnsi="Arial"/>
          <w:sz w:val="18"/>
          <w:szCs w:val="18"/>
          <w:color w:val="auto"/>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155" w:lineRule="exact"/>
        <w:rPr>
          <w:sz w:val="20"/>
          <w:szCs w:val="20"/>
          <w:color w:val="auto"/>
        </w:rPr>
      </w:pPr>
    </w:p>
    <w:p>
      <w:pPr>
        <w:ind w:left="2380" w:hanging="428"/>
        <w:spacing w:after="0"/>
        <w:tabs>
          <w:tab w:leader="none" w:pos="23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subsequent Election may take effect until at least twelve (12) months after the date on which the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subsequent Election is made.</w:t>
      </w:r>
    </w:p>
    <w:p>
      <w:pPr>
        <w:spacing w:after="0" w:line="180" w:lineRule="exact"/>
        <w:rPr>
          <w:rFonts w:ascii="Arial" w:cs="Arial" w:eastAsia="Arial" w:hAnsi="Arial"/>
          <w:sz w:val="18"/>
          <w:szCs w:val="18"/>
          <w:color w:val="auto"/>
        </w:rPr>
      </w:pPr>
    </w:p>
    <w:p>
      <w:pPr>
        <w:ind w:right="160" w:firstLine="1952"/>
        <w:spacing w:after="0" w:line="253" w:lineRule="auto"/>
        <w:tabs>
          <w:tab w:leader="none" w:pos="236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spacing w:after="0" w:line="155" w:lineRule="exact"/>
        <w:rPr>
          <w:rFonts w:ascii="Arial" w:cs="Arial" w:eastAsia="Arial" w:hAnsi="Arial"/>
          <w:sz w:val="18"/>
          <w:szCs w:val="18"/>
          <w:color w:val="auto"/>
        </w:rPr>
      </w:pPr>
    </w:p>
    <w:p>
      <w:pPr>
        <w:ind w:left="2360" w:hanging="408"/>
        <w:spacing w:after="0"/>
        <w:tabs>
          <w:tab w:leader="none" w:pos="23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subsequent Election related to a payment pursuant to Section 15.4(a)(vi) shall be made less than twelve</w:t>
      </w:r>
    </w:p>
    <w:p>
      <w:pPr>
        <w:spacing w:after="0" w:line="13" w:lineRule="exact"/>
        <w:rPr>
          <w:rFonts w:ascii="Arial" w:cs="Arial" w:eastAsia="Arial" w:hAnsi="Arial"/>
          <w:sz w:val="18"/>
          <w:szCs w:val="18"/>
          <w:color w:val="auto"/>
        </w:rPr>
      </w:pPr>
    </w:p>
    <w:p>
      <w:pPr>
        <w:ind w:left="380" w:hanging="372"/>
        <w:spacing w:after="0"/>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months before the date on which such payment would otherwise have been made.</w:t>
      </w:r>
    </w:p>
    <w:p>
      <w:pPr>
        <w:spacing w:after="0" w:line="180" w:lineRule="exact"/>
        <w:rPr>
          <w:rFonts w:ascii="Arial" w:cs="Arial" w:eastAsia="Arial" w:hAnsi="Arial"/>
          <w:sz w:val="18"/>
          <w:szCs w:val="18"/>
          <w:color w:val="auto"/>
        </w:rPr>
      </w:pPr>
    </w:p>
    <w:p>
      <w:pPr>
        <w:jc w:val="both"/>
        <w:ind w:right="40" w:firstLine="1952"/>
        <w:spacing w:after="0" w:line="253" w:lineRule="auto"/>
        <w:tabs>
          <w:tab w:leader="none" w:pos="23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b w:val="1"/>
          <w:bCs w:val="1"/>
          <w:color w:val="auto"/>
        </w:rPr>
        <w:t>Payment of Section 409A Deferred Compensation</w:t>
      </w:r>
      <w:r>
        <w:rPr>
          <w:rFonts w:ascii="Arial" w:cs="Arial" w:eastAsia="Arial" w:hAnsi="Arial"/>
          <w:sz w:val="18"/>
          <w:szCs w:val="18"/>
          <w:color w:val="auto"/>
        </w:rPr>
        <w:t>.</w:t>
      </w:r>
    </w:p>
    <w:p>
      <w:pPr>
        <w:spacing w:after="0" w:line="198" w:lineRule="exact"/>
        <w:rPr>
          <w:sz w:val="20"/>
          <w:szCs w:val="20"/>
          <w:color w:val="auto"/>
        </w:rPr>
      </w:pPr>
    </w:p>
    <w:p>
      <w:pPr>
        <w:ind w:right="540" w:firstLine="1952"/>
        <w:spacing w:after="0" w:line="301" w:lineRule="auto"/>
        <w:tabs>
          <w:tab w:leader="none" w:pos="2364" w:val="left"/>
        </w:tabs>
        <w:numPr>
          <w:ilvl w:val="0"/>
          <w:numId w:val="112"/>
        </w:numPr>
        <w:rPr>
          <w:rFonts w:ascii="Arial" w:cs="Arial" w:eastAsia="Arial" w:hAnsi="Arial"/>
          <w:sz w:val="17"/>
          <w:szCs w:val="17"/>
          <w:color w:val="auto"/>
        </w:rPr>
      </w:pPr>
      <w:r>
        <w:rPr>
          <w:rFonts w:ascii="Arial" w:cs="Arial" w:eastAsia="Arial" w:hAnsi="Arial"/>
          <w:sz w:val="17"/>
          <w:szCs w:val="17"/>
          <w:b w:val="1"/>
          <w:bCs w:val="1"/>
          <w:i w:val="1"/>
          <w:iCs w:val="1"/>
          <w:color w:val="auto"/>
        </w:rPr>
        <w:t>Permissible Payments</w:t>
      </w:r>
      <w:r>
        <w:rPr>
          <w:rFonts w:ascii="Arial" w:cs="Arial" w:eastAsia="Arial" w:hAnsi="Arial"/>
          <w:sz w:val="17"/>
          <w:szCs w:val="17"/>
          <w:color w:val="auto"/>
        </w:rPr>
        <w:t>. Except as otherwise permitted or required by Section 409A, an Award providing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409A Deferred Compensation must provide for payment in settlement of the Award only upon one or more of the following:</w:t>
      </w:r>
    </w:p>
    <w:p>
      <w:pPr>
        <w:spacing w:after="0" w:line="117" w:lineRule="exact"/>
        <w:rPr>
          <w:rFonts w:ascii="Arial" w:cs="Arial" w:eastAsia="Arial" w:hAnsi="Arial"/>
          <w:sz w:val="17"/>
          <w:szCs w:val="17"/>
          <w:color w:val="auto"/>
        </w:rPr>
      </w:pPr>
    </w:p>
    <w:p>
      <w:pPr>
        <w:ind w:left="2800" w:hanging="362"/>
        <w:spacing w:after="0"/>
        <w:tabs>
          <w:tab w:leader="none" w:pos="28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Participant’s “separation from service” (as defined by Section 409A);</w:t>
      </w:r>
    </w:p>
    <w:p>
      <w:pPr>
        <w:spacing w:after="0" w:line="198" w:lineRule="exact"/>
        <w:rPr>
          <w:rFonts w:ascii="Arial" w:cs="Arial" w:eastAsia="Arial" w:hAnsi="Arial"/>
          <w:sz w:val="18"/>
          <w:szCs w:val="18"/>
          <w:color w:val="auto"/>
        </w:rPr>
      </w:pPr>
    </w:p>
    <w:p>
      <w:pPr>
        <w:ind w:left="2840" w:hanging="402"/>
        <w:spacing w:after="0"/>
        <w:tabs>
          <w:tab w:leader="none" w:pos="28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Participant’s becoming “disabled” (as defined by Section 409A);</w:t>
      </w:r>
    </w:p>
    <w:p>
      <w:pPr>
        <w:spacing w:after="0" w:line="198" w:lineRule="exact"/>
        <w:rPr>
          <w:rFonts w:ascii="Arial" w:cs="Arial" w:eastAsia="Arial" w:hAnsi="Arial"/>
          <w:sz w:val="18"/>
          <w:szCs w:val="18"/>
          <w:color w:val="auto"/>
        </w:rPr>
      </w:pPr>
    </w:p>
    <w:p>
      <w:pPr>
        <w:ind w:left="2880" w:hanging="442"/>
        <w:spacing w:after="0"/>
        <w:tabs>
          <w:tab w:leader="none" w:pos="28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98" w:lineRule="exact"/>
        <w:rPr>
          <w:rFonts w:ascii="Arial" w:cs="Arial" w:eastAsia="Arial" w:hAnsi="Arial"/>
          <w:sz w:val="18"/>
          <w:szCs w:val="18"/>
          <w:color w:val="auto"/>
        </w:rPr>
      </w:pPr>
    </w:p>
    <w:p>
      <w:pPr>
        <w:ind w:right="120" w:firstLine="2438"/>
        <w:spacing w:after="0" w:line="253" w:lineRule="auto"/>
        <w:tabs>
          <w:tab w:leader="none" w:pos="28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155" w:lineRule="exact"/>
        <w:rPr>
          <w:rFonts w:ascii="Arial" w:cs="Arial" w:eastAsia="Arial" w:hAnsi="Arial"/>
          <w:sz w:val="18"/>
          <w:szCs w:val="18"/>
          <w:color w:val="auto"/>
        </w:rPr>
      </w:pPr>
    </w:p>
    <w:p>
      <w:pPr>
        <w:ind w:firstLine="2438"/>
        <w:spacing w:after="0" w:line="271" w:lineRule="auto"/>
        <w:tabs>
          <w:tab w:leader="none" w:pos="283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change in the ownership or effective control or the Company or in the ownership of a substantial portion of the assets of the Company determined in accordance with Section 409A; or</w:t>
      </w:r>
    </w:p>
    <w:p>
      <w:pPr>
        <w:spacing w:after="0" w:line="140" w:lineRule="exact"/>
        <w:rPr>
          <w:rFonts w:ascii="Arial" w:cs="Arial" w:eastAsia="Arial" w:hAnsi="Arial"/>
          <w:sz w:val="18"/>
          <w:szCs w:val="18"/>
          <w:color w:val="auto"/>
        </w:rPr>
      </w:pPr>
    </w:p>
    <w:p>
      <w:pPr>
        <w:ind w:left="2880" w:hanging="442"/>
        <w:spacing w:after="0"/>
        <w:tabs>
          <w:tab w:leader="none" w:pos="28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occurrence of an “unforeseeable emergency” (as defined by Section 409A).</w:t>
      </w:r>
    </w:p>
    <w:p>
      <w:pPr>
        <w:spacing w:after="0" w:line="198" w:lineRule="exact"/>
        <w:rPr>
          <w:rFonts w:ascii="Arial" w:cs="Arial" w:eastAsia="Arial" w:hAnsi="Arial"/>
          <w:sz w:val="18"/>
          <w:szCs w:val="18"/>
          <w:color w:val="auto"/>
        </w:rPr>
      </w:pPr>
    </w:p>
    <w:p>
      <w:pPr>
        <w:jc w:val="both"/>
        <w:ind w:right="820" w:firstLine="1952"/>
        <w:spacing w:after="0" w:line="253" w:lineRule="auto"/>
        <w:tabs>
          <w:tab w:leader="none" w:pos="2364"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Installment Payments</w:t>
      </w:r>
      <w:r>
        <w:rPr>
          <w:rFonts w:ascii="Arial" w:cs="Arial" w:eastAsia="Arial" w:hAnsi="Arial"/>
          <w:sz w:val="18"/>
          <w:szCs w:val="18"/>
          <w:color w:val="auto"/>
        </w:rPr>
        <w:t>. It is the intent of this Plan that any right of a Participant to receive installment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(within the meaning of Section 409A) shall, for all purposes of Section 409A, be treated as a right to a series of separate payments.</w:t>
      </w:r>
    </w:p>
    <w:p>
      <w:pPr>
        <w:spacing w:after="0" w:line="155" w:lineRule="exact"/>
        <w:rPr>
          <w:rFonts w:ascii="Arial" w:cs="Arial" w:eastAsia="Arial" w:hAnsi="Arial"/>
          <w:sz w:val="18"/>
          <w:szCs w:val="18"/>
          <w:color w:val="auto"/>
        </w:rPr>
      </w:pPr>
    </w:p>
    <w:p>
      <w:pPr>
        <w:ind w:right="40" w:firstLine="1952"/>
        <w:spacing w:after="0"/>
        <w:tabs>
          <w:tab w:leader="none" w:pos="2354"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Required Delay in Payment to Specified Employee Pursuant to Separation from Service</w:t>
      </w:r>
      <w:r>
        <w:rPr>
          <w:rFonts w:ascii="Arial" w:cs="Arial" w:eastAsia="Arial" w:hAnsi="Arial"/>
          <w:sz w:val="18"/>
          <w:szCs w:val="18"/>
          <w:color w:val="auto"/>
        </w:rPr>
        <w:t>. Notwithstanding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provision of the Plan or an Award Agreement to the contrary, to the extent necessary to avoid adverse tax consequences under Section 409A no payment pursuant to Section 15.4(a)(i) in settlement of an Award providing for Section 409A Deferred Compensation and which is made in connection with the Participant’s separation from service may be made to a Participant who is a “specified employee” for purposes of Section 409A before the date that is one day and six (6) months after the date of such Participant’s separation from service, or, if earlier, the date of the Participant’s death (such applicable date, the “</w:t>
      </w:r>
      <w:r>
        <w:rPr>
          <w:rFonts w:ascii="Arial" w:cs="Arial" w:eastAsia="Arial" w:hAnsi="Arial"/>
          <w:sz w:val="18"/>
          <w:szCs w:val="18"/>
          <w:b w:val="1"/>
          <w:bCs w:val="1"/>
          <w:i w:val="1"/>
          <w:iCs w:val="1"/>
          <w:color w:val="auto"/>
        </w:rPr>
        <w:t>Delayed Payment Date</w:t>
      </w:r>
      <w:r>
        <w:rPr>
          <w:rFonts w:ascii="Arial" w:cs="Arial" w:eastAsia="Arial" w:hAnsi="Arial"/>
          <w:sz w:val="18"/>
          <w:szCs w:val="18"/>
          <w:color w:val="auto"/>
        </w:rPr>
        <w:t>”). All such amounts that would, but for this paragraph, become payable prior to the Delayed Payment Date shall be accumulated and paid on the Delayed Payment Date.</w:t>
      </w:r>
    </w:p>
    <w:p>
      <w:pPr>
        <w:spacing w:after="0" w:line="171" w:lineRule="exact"/>
        <w:rPr>
          <w:rFonts w:ascii="Arial" w:cs="Arial" w:eastAsia="Arial" w:hAnsi="Arial"/>
          <w:sz w:val="18"/>
          <w:szCs w:val="18"/>
          <w:color w:val="auto"/>
        </w:rPr>
      </w:pPr>
    </w:p>
    <w:p>
      <w:pPr>
        <w:ind w:right="120" w:firstLine="1952"/>
        <w:spacing w:after="0" w:line="244" w:lineRule="auto"/>
        <w:tabs>
          <w:tab w:leader="none" w:pos="2364"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Payment Upon Disability</w:t>
      </w:r>
      <w:r>
        <w:rPr>
          <w:rFonts w:ascii="Arial" w:cs="Arial" w:eastAsia="Arial" w:hAnsi="Arial"/>
          <w:sz w:val="18"/>
          <w:szCs w:val="18"/>
          <w:color w:val="auto"/>
        </w:rPr>
        <w:t>. All distributions of Section 409A Deferred Compensation payable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spacing w:after="0" w:line="162" w:lineRule="exact"/>
        <w:rPr>
          <w:rFonts w:ascii="Arial" w:cs="Arial" w:eastAsia="Arial" w:hAnsi="Arial"/>
          <w:sz w:val="18"/>
          <w:szCs w:val="18"/>
          <w:color w:val="auto"/>
        </w:rPr>
      </w:pPr>
    </w:p>
    <w:p>
      <w:pPr>
        <w:ind w:right="20" w:firstLine="1952"/>
        <w:spacing w:after="0" w:line="244" w:lineRule="auto"/>
        <w:tabs>
          <w:tab w:leader="none" w:pos="2364"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Payment Upon Death</w:t>
      </w:r>
      <w:r>
        <w:rPr>
          <w:rFonts w:ascii="Arial" w:cs="Arial" w:eastAsia="Arial" w:hAnsi="Arial"/>
          <w:sz w:val="18"/>
          <w:szCs w:val="18"/>
          <w:color w:val="auto"/>
        </w:rPr>
        <w:t>. If a Participant dies before complete distribution of amounts payable upon settlement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162" w:lineRule="exact"/>
        <w:rPr>
          <w:rFonts w:ascii="Arial" w:cs="Arial" w:eastAsia="Arial" w:hAnsi="Arial"/>
          <w:sz w:val="18"/>
          <w:szCs w:val="18"/>
          <w:color w:val="auto"/>
        </w:rPr>
      </w:pPr>
    </w:p>
    <w:p>
      <w:pPr>
        <w:ind w:right="80" w:firstLine="1952"/>
        <w:spacing w:after="0" w:line="239" w:lineRule="auto"/>
        <w:tabs>
          <w:tab w:leader="none" w:pos="2314"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Payment Upon Change in Control</w:t>
      </w:r>
      <w:r>
        <w:rPr>
          <w:rFonts w:ascii="Arial" w:cs="Arial" w:eastAsia="Arial" w:hAnsi="Arial"/>
          <w:sz w:val="18"/>
          <w:szCs w:val="18"/>
          <w:color w:val="auto"/>
        </w:rPr>
        <w:t>. Notwithstanding any provision of the Plan or an Award Agreement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13.3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firstLine="1952"/>
        <w:spacing w:after="0" w:line="238" w:lineRule="auto"/>
        <w:tabs>
          <w:tab w:leader="none" w:pos="2364" w:val="left"/>
        </w:tabs>
        <w:numPr>
          <w:ilvl w:val="1"/>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Payment Upon Unforeseeable Emergency</w:t>
      </w:r>
      <w:r>
        <w:rPr>
          <w:rFonts w:ascii="Arial" w:cs="Arial" w:eastAsia="Arial" w:hAnsi="Arial"/>
          <w:sz w:val="18"/>
          <w:szCs w:val="18"/>
          <w:color w:val="auto"/>
        </w:rPr>
        <w:t>. The Committee shall have the authority to provide in the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72" w:lineRule="exact"/>
        <w:rPr>
          <w:rFonts w:ascii="Arial" w:cs="Arial" w:eastAsia="Arial" w:hAnsi="Arial"/>
          <w:sz w:val="18"/>
          <w:szCs w:val="18"/>
          <w:color w:val="auto"/>
        </w:rPr>
      </w:pPr>
    </w:p>
    <w:p>
      <w:pPr>
        <w:ind w:right="100" w:firstLine="1952"/>
        <w:spacing w:after="0" w:line="244" w:lineRule="auto"/>
        <w:tabs>
          <w:tab w:leader="none" w:pos="2364" w:val="left"/>
        </w:tabs>
        <w:numPr>
          <w:ilvl w:val="1"/>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Prohibition of Acceleration of Payments</w:t>
      </w:r>
      <w:r>
        <w:rPr>
          <w:rFonts w:ascii="Arial" w:cs="Arial" w:eastAsia="Arial" w:hAnsi="Arial"/>
          <w:sz w:val="18"/>
          <w:szCs w:val="18"/>
          <w:color w:val="auto"/>
        </w:rPr>
        <w:t>. Notwithstanding any provision of the Plan or an Award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contrary, this Plan 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spacing w:after="0" w:line="162" w:lineRule="exact"/>
        <w:rPr>
          <w:rFonts w:ascii="Arial" w:cs="Arial" w:eastAsia="Arial" w:hAnsi="Arial"/>
          <w:sz w:val="18"/>
          <w:szCs w:val="18"/>
          <w:color w:val="auto"/>
        </w:rPr>
      </w:pPr>
    </w:p>
    <w:p>
      <w:pPr>
        <w:jc w:val="both"/>
        <w:ind w:right="220" w:firstLine="1952"/>
        <w:spacing w:after="0" w:line="253" w:lineRule="auto"/>
        <w:tabs>
          <w:tab w:leader="none" w:pos="2304" w:val="left"/>
        </w:tabs>
        <w:numPr>
          <w:ilvl w:val="1"/>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No Representation Regarding Section 409A Compliance</w:t>
      </w:r>
      <w:r>
        <w:rPr>
          <w:rFonts w:ascii="Arial" w:cs="Arial" w:eastAsia="Arial" w:hAnsi="Arial"/>
          <w:sz w:val="18"/>
          <w:szCs w:val="18"/>
          <w:color w:val="auto"/>
        </w:rPr>
        <w:t>. Notwithstanding any other provision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makes no representation that Awards shall be exempt from or comply with Section 409A. No Participating Company shall be liable for any tax, penalty or interest imposed on a Participant by Section 409A.</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2"/>
          <w:szCs w:val="12"/>
          <w:b w:val="1"/>
          <w:bCs w:val="1"/>
          <w:u w:val="single" w:color="auto"/>
          <w:color w:val="auto"/>
        </w:rPr>
        <w:t>ithholding</w:t>
      </w:r>
      <w:r>
        <w:rPr>
          <w:rFonts w:ascii="Arial" w:cs="Arial" w:eastAsia="Arial" w:hAnsi="Arial"/>
          <w:sz w:val="18"/>
          <w:szCs w:val="18"/>
          <w:color w:val="auto"/>
        </w:rPr>
        <w:t>.</w:t>
      </w:r>
    </w:p>
    <w:p>
      <w:pPr>
        <w:spacing w:after="0" w:line="239" w:lineRule="exact"/>
        <w:rPr>
          <w:sz w:val="20"/>
          <w:szCs w:val="20"/>
          <w:color w:val="auto"/>
        </w:rPr>
      </w:pPr>
    </w:p>
    <w:p>
      <w:pPr>
        <w:ind w:right="80" w:firstLine="1296"/>
        <w:spacing w:after="0" w:line="242"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Tax Withholding in General</w:t>
      </w:r>
      <w:r>
        <w:rPr>
          <w:rFonts w:ascii="Arial" w:cs="Arial" w:eastAsia="Arial" w:hAnsi="Arial"/>
          <w:sz w:val="18"/>
          <w:szCs w:val="18"/>
          <w:color w:val="auto"/>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65" w:lineRule="exact"/>
        <w:rPr>
          <w:sz w:val="20"/>
          <w:szCs w:val="20"/>
          <w:color w:val="auto"/>
        </w:rPr>
      </w:pPr>
    </w:p>
    <w:p>
      <w:pPr>
        <w:ind w:right="80" w:firstLine="1296"/>
        <w:spacing w:after="0" w:line="23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Withholding in or Directed Sale of Shares</w:t>
      </w:r>
      <w:r>
        <w:rPr>
          <w:rFonts w:ascii="Arial" w:cs="Arial" w:eastAsia="Arial" w:hAnsi="Arial"/>
          <w:sz w:val="18"/>
          <w:szCs w:val="18"/>
          <w:color w:val="auto"/>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170"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mendment</w:t>
      </w:r>
      <w:r>
        <w:rPr>
          <w:rFonts w:ascii="Arial" w:cs="Arial" w:eastAsia="Arial" w:hAnsi="Arial"/>
          <w:sz w:val="18"/>
          <w:szCs w:val="18"/>
          <w:b w:val="1"/>
          <w:bCs w:val="1"/>
          <w:u w:val="single" w:color="auto"/>
          <w:color w:val="auto"/>
        </w:rPr>
        <w:t>, S</w:t>
      </w:r>
      <w:r>
        <w:rPr>
          <w:rFonts w:ascii="Arial" w:cs="Arial" w:eastAsia="Arial" w:hAnsi="Arial"/>
          <w:sz w:val="12"/>
          <w:szCs w:val="12"/>
          <w:b w:val="1"/>
          <w:bCs w:val="1"/>
          <w:u w:val="single" w:color="auto"/>
          <w:color w:val="auto"/>
        </w:rPr>
        <w:t>uspension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ermination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color w:val="auto"/>
        </w:rPr>
        <w:t>.</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2"/>
          <w:szCs w:val="12"/>
          <w:b w:val="1"/>
          <w:bCs w:val="1"/>
          <w:u w:val="single" w:color="auto"/>
          <w:color w:val="auto"/>
        </w:rPr>
        <w:t>iscellaneous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rovisions</w:t>
      </w:r>
      <w:r>
        <w:rPr>
          <w:rFonts w:ascii="Arial" w:cs="Arial" w:eastAsia="Arial" w:hAnsi="Arial"/>
          <w:sz w:val="18"/>
          <w:szCs w:val="18"/>
          <w:color w:val="auto"/>
        </w:rPr>
        <w:t>.</w:t>
      </w:r>
    </w:p>
    <w:p>
      <w:pPr>
        <w:spacing w:after="0" w:line="239" w:lineRule="exact"/>
        <w:rPr>
          <w:sz w:val="20"/>
          <w:szCs w:val="20"/>
          <w:color w:val="auto"/>
        </w:rPr>
      </w:pPr>
    </w:p>
    <w:p>
      <w:pPr>
        <w:ind w:right="20" w:firstLine="1296"/>
        <w:spacing w:after="0" w:line="242"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Repurchase Rights</w:t>
      </w:r>
      <w:r>
        <w:rPr>
          <w:rFonts w:ascii="Arial" w:cs="Arial" w:eastAsia="Arial" w:hAnsi="Arial"/>
          <w:sz w:val="18"/>
          <w:szCs w:val="18"/>
          <w:color w:val="auto"/>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6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b w:val="1"/>
          <w:bCs w:val="1"/>
          <w:color w:val="auto"/>
        </w:rPr>
        <w:t>Forfeiture Events</w:t>
      </w:r>
      <w:r>
        <w:rPr>
          <w:rFonts w:ascii="Arial" w:cs="Arial" w:eastAsia="Arial" w:hAnsi="Arial"/>
          <w:sz w:val="18"/>
          <w:szCs w:val="18"/>
          <w:color w:val="auto"/>
        </w:rPr>
        <w:t>.</w:t>
      </w:r>
    </w:p>
    <w:p>
      <w:pPr>
        <w:spacing w:after="0" w:line="198" w:lineRule="exact"/>
        <w:rPr>
          <w:sz w:val="20"/>
          <w:szCs w:val="20"/>
          <w:color w:val="auto"/>
        </w:rPr>
      </w:pPr>
    </w:p>
    <w:p>
      <w:pPr>
        <w:ind w:firstLine="1952"/>
        <w:spacing w:after="0"/>
        <w:tabs>
          <w:tab w:leader="none" w:pos="236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171" w:lineRule="exact"/>
        <w:rPr>
          <w:rFonts w:ascii="Arial" w:cs="Arial" w:eastAsia="Arial" w:hAnsi="Arial"/>
          <w:sz w:val="18"/>
          <w:szCs w:val="18"/>
          <w:color w:val="auto"/>
        </w:rPr>
      </w:pPr>
    </w:p>
    <w:p>
      <w:pPr>
        <w:ind w:firstLine="1952"/>
        <w:spacing w:after="0" w:line="242" w:lineRule="auto"/>
        <w:tabs>
          <w:tab w:leader="none" w:pos="235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Awards granted under the Plan will be subject to recoupment in accordance with: (i) any clawback policy that the Company is required to adopt pursuant to the listing standards of any national securities exchange or association on which the Company’s securities are listed, (ii) as is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(iii) any other applicable law, and (iv) any clawback or recoupment policy that the Company otherwise adopts, in each case to the extent applicable and permissible under applicable law.</w:t>
      </w:r>
    </w:p>
    <w:p>
      <w:pPr>
        <w:spacing w:after="0" w:line="165" w:lineRule="exact"/>
        <w:rPr>
          <w:rFonts w:ascii="Arial" w:cs="Arial" w:eastAsia="Arial" w:hAnsi="Arial"/>
          <w:sz w:val="18"/>
          <w:szCs w:val="18"/>
          <w:color w:val="auto"/>
        </w:rPr>
      </w:pPr>
    </w:p>
    <w:p>
      <w:pPr>
        <w:ind w:left="2360" w:hanging="408"/>
        <w:spacing w:after="0"/>
        <w:tabs>
          <w:tab w:leader="none" w:pos="2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recovery of compensation pursuant to the foregoing provisions will constitute an event giving rise to</w:t>
      </w:r>
    </w:p>
    <w:p>
      <w:pPr>
        <w:spacing w:after="0" w:line="1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 Participant’s right to voluntarily terminate employment upon a “resignation for good reason” or for a “constructive termination” or any similar term under any plan or agreement with the Company.</w:t>
      </w:r>
    </w:p>
    <w:p>
      <w:pPr>
        <w:spacing w:after="0" w:line="158" w:lineRule="exact"/>
        <w:rPr>
          <w:sz w:val="20"/>
          <w:szCs w:val="20"/>
          <w:color w:val="auto"/>
        </w:rPr>
      </w:pPr>
    </w:p>
    <w:p>
      <w:pPr>
        <w:ind w:right="40" w:firstLine="1296"/>
        <w:spacing w:after="0" w:line="242"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Electronic Delivery and Participation</w:t>
      </w:r>
      <w:r>
        <w:rPr>
          <w:rFonts w:ascii="Arial" w:cs="Arial" w:eastAsia="Arial" w:hAnsi="Arial"/>
          <w:sz w:val="18"/>
          <w:szCs w:val="18"/>
          <w:color w:val="auto"/>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Arial" w:cs="Arial" w:eastAsia="Arial" w:hAnsi="Arial"/>
          <w:sz w:val="18"/>
          <w:szCs w:val="18"/>
          <w:i w:val="1"/>
          <w:iCs w:val="1"/>
          <w:color w:val="auto"/>
        </w:rPr>
        <w:t>e.g.</w:t>
      </w:r>
      <w:r>
        <w:rPr>
          <w:rFonts w:ascii="Arial" w:cs="Arial" w:eastAsia="Arial" w:hAnsi="Arial"/>
          <w:sz w:val="18"/>
          <w:szCs w:val="18"/>
          <w:color w:val="auto"/>
        </w:rPr>
        <w:t>, a stock certificate or electronic entry evidencing such shares) shall be determined by the Company.</w:t>
      </w:r>
    </w:p>
    <w:p>
      <w:pPr>
        <w:spacing w:after="0" w:line="165" w:lineRule="exact"/>
        <w:rPr>
          <w:sz w:val="20"/>
          <w:szCs w:val="20"/>
          <w:color w:val="auto"/>
        </w:rPr>
      </w:pPr>
    </w:p>
    <w:p>
      <w:pPr>
        <w:ind w:right="80" w:firstLine="1296"/>
        <w:spacing w:after="0" w:line="254"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b w:val="1"/>
          <w:bCs w:val="1"/>
          <w:color w:val="auto"/>
        </w:rPr>
        <w:t>Change in Time Commitment</w:t>
      </w:r>
      <w:r>
        <w:rPr>
          <w:rFonts w:ascii="Arial" w:cs="Arial" w:eastAsia="Arial" w:hAnsi="Arial"/>
          <w:sz w:val="17"/>
          <w:szCs w:val="17"/>
          <w:color w:val="auto"/>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Committee may determine, to the extent permitted by Applicable Law, to</w:t>
      </w:r>
    </w:p>
    <w:p>
      <w:pPr>
        <w:ind w:right="120" w:firstLine="8"/>
        <w:spacing w:after="0"/>
        <w:tabs>
          <w:tab w:leader="none" w:pos="21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67" w:lineRule="exact"/>
        <w:rPr>
          <w:sz w:val="20"/>
          <w:szCs w:val="20"/>
          <w:color w:val="auto"/>
        </w:rPr>
      </w:pPr>
    </w:p>
    <w:p>
      <w:pPr>
        <w:ind w:right="60" w:firstLine="1296"/>
        <w:spacing w:after="0" w:line="242"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Rights as Employee, Consultant or Director</w:t>
      </w:r>
      <w:r>
        <w:rPr>
          <w:rFonts w:ascii="Arial" w:cs="Arial" w:eastAsia="Arial" w:hAnsi="Arial"/>
          <w:sz w:val="18"/>
          <w:szCs w:val="18"/>
          <w:color w:val="auto"/>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65" w:lineRule="exact"/>
        <w:rPr>
          <w:sz w:val="20"/>
          <w:szCs w:val="20"/>
          <w:color w:val="auto"/>
        </w:rPr>
      </w:pPr>
    </w:p>
    <w:p>
      <w:pPr>
        <w:ind w:right="100" w:firstLine="1296"/>
        <w:spacing w:after="0" w:line="247"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b w:val="1"/>
          <w:bCs w:val="1"/>
          <w:color w:val="auto"/>
        </w:rPr>
        <w:t>Rights as a Stockholder</w:t>
      </w:r>
      <w:r>
        <w:rPr>
          <w:rFonts w:ascii="Arial" w:cs="Arial" w:eastAsia="Arial" w:hAnsi="Arial"/>
          <w:sz w:val="18"/>
          <w:szCs w:val="18"/>
          <w:color w:val="auto"/>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b w:val="1"/>
          <w:bCs w:val="1"/>
          <w:color w:val="auto"/>
        </w:rPr>
        <w:t>Delivery of Title to Shares</w:t>
      </w:r>
      <w:r>
        <w:rPr>
          <w:rFonts w:ascii="Arial" w:cs="Arial" w:eastAsia="Arial" w:hAnsi="Arial"/>
          <w:sz w:val="18"/>
          <w:szCs w:val="18"/>
          <w:color w:val="auto"/>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6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7"/>
          <w:szCs w:val="17"/>
          <w:b w:val="1"/>
          <w:bCs w:val="1"/>
          <w:color w:val="auto"/>
        </w:rPr>
        <w:t>Fractional Shares</w:t>
      </w:r>
      <w:r>
        <w:rPr>
          <w:rFonts w:ascii="Arial" w:cs="Arial" w:eastAsia="Arial" w:hAnsi="Arial"/>
          <w:sz w:val="17"/>
          <w:szCs w:val="17"/>
          <w:color w:val="auto"/>
        </w:rPr>
        <w:t>. The Company shall not be required to issue fractional shares upon the exercise or settlement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any Award.</w:t>
      </w:r>
    </w:p>
    <w:p>
      <w:pPr>
        <w:spacing w:after="0" w:line="180" w:lineRule="exact"/>
        <w:rPr>
          <w:sz w:val="20"/>
          <w:szCs w:val="20"/>
          <w:color w:val="auto"/>
        </w:rPr>
      </w:pPr>
    </w:p>
    <w:p>
      <w:pPr>
        <w:ind w:right="80" w:firstLine="1296"/>
        <w:spacing w:after="0" w:line="253"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b w:val="1"/>
          <w:bCs w:val="1"/>
          <w:color w:val="auto"/>
        </w:rPr>
        <w:t>Provisions for Non-U.S. Participants</w:t>
      </w:r>
      <w:r>
        <w:rPr>
          <w:rFonts w:ascii="Arial" w:cs="Arial" w:eastAsia="Arial" w:hAnsi="Arial"/>
          <w:sz w:val="18"/>
          <w:szCs w:val="18"/>
          <w:color w:val="auto"/>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55" w:lineRule="exact"/>
        <w:rPr>
          <w:sz w:val="20"/>
          <w:szCs w:val="20"/>
          <w:color w:val="auto"/>
        </w:rPr>
      </w:pPr>
    </w:p>
    <w:p>
      <w:pPr>
        <w:ind w:right="260" w:firstLine="1296"/>
        <w:spacing w:after="0" w:line="247"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b w:val="1"/>
          <w:bCs w:val="1"/>
          <w:color w:val="auto"/>
        </w:rPr>
        <w:t>Lock-Up Period</w:t>
      </w:r>
      <w:r>
        <w:rPr>
          <w:rFonts w:ascii="Arial" w:cs="Arial" w:eastAsia="Arial" w:hAnsi="Arial"/>
          <w:sz w:val="18"/>
          <w:szCs w:val="18"/>
          <w:color w:val="auto"/>
        </w:rPr>
        <w:t>. The Company may, at the request of any underwriter representative or otherwise, in connection with registering any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spacing w:after="0" w:line="16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b w:val="1"/>
          <w:bCs w:val="1"/>
          <w:color w:val="auto"/>
        </w:rPr>
        <w:t>Data Privacy</w:t>
      </w:r>
      <w:r>
        <w:rPr>
          <w:rFonts w:ascii="Arial" w:cs="Arial" w:eastAsia="Arial" w:hAnsi="Arial"/>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 implement, manage and administer the Plan and Awards (the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82" w:lineRule="exact"/>
        <w:rPr>
          <w:sz w:val="20"/>
          <w:szCs w:val="20"/>
          <w:color w:val="auto"/>
        </w:rPr>
      </w:pPr>
    </w:p>
    <w:p>
      <w:pPr>
        <w:ind w:right="20" w:firstLine="1296"/>
        <w:spacing w:after="0" w:line="242"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b w:val="1"/>
          <w:bCs w:val="1"/>
          <w:color w:val="auto"/>
        </w:rPr>
        <w:t>Retirement and Welfare Plans</w:t>
      </w:r>
      <w:r>
        <w:rPr>
          <w:rFonts w:ascii="Arial" w:cs="Arial" w:eastAsia="Arial" w:hAnsi="Arial"/>
          <w:sz w:val="18"/>
          <w:szCs w:val="18"/>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spacing w:after="0" w:line="165" w:lineRule="exact"/>
        <w:rPr>
          <w:sz w:val="20"/>
          <w:szCs w:val="20"/>
          <w:color w:val="auto"/>
        </w:rPr>
      </w:pPr>
    </w:p>
    <w:p>
      <w:pPr>
        <w:ind w:right="20" w:firstLine="1296"/>
        <w:spacing w:after="0"/>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b w:val="1"/>
          <w:bCs w:val="1"/>
          <w:color w:val="auto"/>
        </w:rPr>
        <w:t>Beneficiary Designation</w:t>
      </w:r>
      <w:r>
        <w:rPr>
          <w:rFonts w:ascii="Arial" w:cs="Arial" w:eastAsia="Arial" w:hAnsi="Arial"/>
          <w:sz w:val="18"/>
          <w:szCs w:val="18"/>
          <w:color w:val="auto"/>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ind w:right="400" w:firstLine="1296"/>
        <w:spacing w:after="0" w:line="253" w:lineRule="auto"/>
        <w:rPr>
          <w:sz w:val="20"/>
          <w:szCs w:val="20"/>
          <w:color w:val="auto"/>
        </w:rPr>
      </w:pPr>
      <w:r>
        <w:rPr>
          <w:rFonts w:ascii="Arial" w:cs="Arial" w:eastAsia="Arial" w:hAnsi="Arial"/>
          <w:sz w:val="18"/>
          <w:szCs w:val="18"/>
          <w:color w:val="auto"/>
        </w:rPr>
        <w:t xml:space="preserve">18.14 </w:t>
      </w:r>
      <w:r>
        <w:rPr>
          <w:rFonts w:ascii="Arial" w:cs="Arial" w:eastAsia="Arial" w:hAnsi="Arial"/>
          <w:sz w:val="18"/>
          <w:szCs w:val="18"/>
          <w:b w:val="1"/>
          <w:bCs w:val="1"/>
          <w:color w:val="auto"/>
        </w:rPr>
        <w:t>Severability</w:t>
      </w:r>
      <w:r>
        <w:rPr>
          <w:rFonts w:ascii="Arial" w:cs="Arial" w:eastAsia="Arial" w:hAnsi="Arial"/>
          <w:sz w:val="18"/>
          <w:szCs w:val="18"/>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55" w:lineRule="exact"/>
        <w:rPr>
          <w:sz w:val="20"/>
          <w:szCs w:val="20"/>
          <w:color w:val="auto"/>
        </w:rPr>
      </w:pPr>
    </w:p>
    <w:p>
      <w:pPr>
        <w:ind w:right="120" w:firstLine="1296"/>
        <w:spacing w:after="0" w:line="244"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b w:val="1"/>
          <w:bCs w:val="1"/>
          <w:color w:val="auto"/>
        </w:rPr>
        <w:t>No Constraint on Corporate Action</w:t>
      </w:r>
      <w:r>
        <w:rPr>
          <w:rFonts w:ascii="Arial" w:cs="Arial" w:eastAsia="Arial" w:hAnsi="Arial"/>
          <w:sz w:val="18"/>
          <w:szCs w:val="18"/>
          <w:color w:val="auto"/>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63"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b w:val="1"/>
          <w:bCs w:val="1"/>
          <w:color w:val="auto"/>
        </w:rPr>
        <w:t>Unfunded Obligation</w:t>
      </w:r>
      <w:r>
        <w:rPr>
          <w:rFonts w:ascii="Arial" w:cs="Arial" w:eastAsia="Arial" w:hAnsi="Arial"/>
          <w:sz w:val="18"/>
          <w:szCs w:val="18"/>
          <w:color w:val="auto"/>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66" w:lineRule="exact"/>
        <w:rPr>
          <w:sz w:val="20"/>
          <w:szCs w:val="20"/>
          <w:color w:val="auto"/>
        </w:rPr>
      </w:pPr>
    </w:p>
    <w:p>
      <w:pPr>
        <w:jc w:val="both"/>
        <w:ind w:right="80" w:firstLine="1296"/>
        <w:spacing w:after="0" w:line="253"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b w:val="1"/>
          <w:bCs w:val="1"/>
          <w:color w:val="auto"/>
        </w:rPr>
        <w:t>Choice of Law</w:t>
      </w:r>
      <w:r>
        <w:rPr>
          <w:rFonts w:ascii="Arial" w:cs="Arial" w:eastAsia="Arial" w:hAnsi="Arial"/>
          <w:sz w:val="18"/>
          <w:szCs w:val="18"/>
          <w:color w:val="auto"/>
        </w:rPr>
        <w:t>. Except to the extent governed by applicable federal law, the validity, interpretation, construction and performance of the Plan and each Award Agreement shall be governed by the laws of the State of California, without regard to its conflict of law rules.</w:t>
      </w:r>
    </w:p>
    <w:p>
      <w:pPr>
        <w:spacing w:after="0" w:line="15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Appendix D</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2D53A6"/>
        </w:rPr>
        <w:t>Cohu, Inc. Amended and Restated 1997 Employee Stock Purchase Plan</w:t>
      </w:r>
    </w:p>
    <w:p>
      <w:pPr>
        <w:spacing w:after="0" w:line="200" w:lineRule="exact"/>
        <w:rPr>
          <w:sz w:val="20"/>
          <w:szCs w:val="20"/>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and Purpose</w:t>
      </w:r>
      <w:r>
        <w:rPr>
          <w:rFonts w:ascii="Arial" w:cs="Arial" w:eastAsia="Arial" w:hAnsi="Arial"/>
          <w:sz w:val="18"/>
          <w:szCs w:val="18"/>
          <w:b w:val="1"/>
          <w:bCs w:val="1"/>
          <w:color w:val="auto"/>
        </w:rPr>
        <w:t>.</w:t>
      </w:r>
    </w:p>
    <w:p>
      <w:pPr>
        <w:spacing w:after="0" w:line="239" w:lineRule="exact"/>
        <w:rPr>
          <w:sz w:val="20"/>
          <w:szCs w:val="20"/>
          <w:color w:val="auto"/>
        </w:rPr>
      </w:pPr>
    </w:p>
    <w:p>
      <w:pPr>
        <w:ind w:right="80" w:firstLine="1296"/>
        <w:spacing w:after="0" w:line="271"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Establishment.</w:t>
      </w:r>
      <w:r>
        <w:rPr>
          <w:rFonts w:ascii="Arial" w:cs="Arial" w:eastAsia="Arial" w:hAnsi="Arial"/>
          <w:sz w:val="18"/>
          <w:szCs w:val="18"/>
          <w:color w:val="auto"/>
        </w:rPr>
        <w:t xml:space="preserve"> The Cohu, Inc. 1997 Employee Stock Purchase Plan (the “Plan”) was originally established effective as of February 28, 1997, and is hereby most recently amended and restated, subject to stockholder approval, effective as of May 15, 2026.</w:t>
      </w:r>
    </w:p>
    <w:p>
      <w:pPr>
        <w:spacing w:after="0" w:line="140" w:lineRule="exact"/>
        <w:rPr>
          <w:sz w:val="20"/>
          <w:szCs w:val="20"/>
          <w:color w:val="auto"/>
        </w:rPr>
      </w:pPr>
    </w:p>
    <w:p>
      <w:pPr>
        <w:ind w:right="100" w:firstLine="1296"/>
        <w:spacing w:after="0" w:line="24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Purpose.</w:t>
      </w:r>
      <w:r>
        <w:rPr>
          <w:rFonts w:ascii="Arial" w:cs="Arial" w:eastAsia="Arial" w:hAnsi="Arial"/>
          <w:sz w:val="18"/>
          <w:szCs w:val="18"/>
          <w:color w:val="auto"/>
        </w:rPr>
        <w:t xml:space="preserve"> The purpose of the Plan is to provide Eligible Employees of the Participating Company Group with an opportunity to acquire a proprietary interest in the Company through the purchase of Stock. The Company intends that the Plan shall qualify as an “employee stock purchase plan” under Sections 421 and 423 of the Code (including any amendments or replacements of such section), and the Plan shall be so construed.</w:t>
      </w:r>
    </w:p>
    <w:p>
      <w:pPr>
        <w:spacing w:after="0" w:line="160"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239" w:lineRule="exact"/>
        <w:rPr>
          <w:sz w:val="20"/>
          <w:szCs w:val="20"/>
          <w:color w:val="auto"/>
        </w:rPr>
      </w:pPr>
    </w:p>
    <w:p>
      <w:pPr>
        <w:ind w:right="180" w:firstLine="1296"/>
        <w:spacing w:after="0" w:line="27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Any term not expressly defined in the Plan but defined for purposes of Section 423 of the Code shall have the same definition herein. Whenever used herein, the following terms shall have their respective meanings set forth below:</w:t>
      </w:r>
    </w:p>
    <w:p>
      <w:pPr>
        <w:spacing w:after="0" w:line="140" w:lineRule="exact"/>
        <w:rPr>
          <w:sz w:val="20"/>
          <w:szCs w:val="20"/>
          <w:color w:val="auto"/>
        </w:rPr>
      </w:pPr>
    </w:p>
    <w:p>
      <w:pPr>
        <w:ind w:right="40" w:firstLine="1304"/>
        <w:spacing w:after="0"/>
        <w:tabs>
          <w:tab w:leader="none" w:pos="156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If one or more Committees have been appointed by the Board to administer the Plan, “Board” also means such Committee(s). In addition, the Company’s Vice President of Human Resources, or any officer or officers of the Company, to the extent appointed by the Board or the Committee, shall have all of the powers of the Board granted herein, except the power to (i) amend Sections 4 (Shares Subject to Plan), 5 (Eligibility), and 9 (Purchase Price) or otherwise amend the Plan in a manner that requires stockholder approval under applicable law or the rules of any securities exchange or market system on which the Stock is then listed or quoted, (ii) terminate the Plan, or (iii) act beyond specific limits set by the Board or the Committee. Any officer appointed by the Board or the Committee to administer the Plan also is referred to herein as the “Board.”</w:t>
      </w:r>
    </w:p>
    <w:p>
      <w:pPr>
        <w:spacing w:after="0" w:line="171" w:lineRule="exact"/>
        <w:rPr>
          <w:rFonts w:ascii="Arial" w:cs="Arial" w:eastAsia="Arial" w:hAnsi="Arial"/>
          <w:sz w:val="18"/>
          <w:szCs w:val="18"/>
          <w:color w:val="auto"/>
        </w:rPr>
      </w:pPr>
    </w:p>
    <w:p>
      <w:pPr>
        <w:ind w:left="1580" w:hanging="276"/>
        <w:spacing w:after="0"/>
        <w:tabs>
          <w:tab w:leader="none" w:pos="15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any applicable regulations promulgated thereunder.</w:t>
      </w:r>
    </w:p>
    <w:p>
      <w:pPr>
        <w:spacing w:after="0" w:line="198" w:lineRule="exact"/>
        <w:rPr>
          <w:rFonts w:ascii="Arial" w:cs="Arial" w:eastAsia="Arial" w:hAnsi="Arial"/>
          <w:sz w:val="18"/>
          <w:szCs w:val="18"/>
          <w:color w:val="auto"/>
        </w:rPr>
      </w:pPr>
    </w:p>
    <w:p>
      <w:pPr>
        <w:jc w:val="both"/>
        <w:ind w:firstLine="1304"/>
        <w:spacing w:after="0" w:line="247" w:lineRule="auto"/>
        <w:tabs>
          <w:tab w:leader="none" w:pos="155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“Committee” means a committee of the Board duly appointed to 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160" w:lineRule="exact"/>
        <w:rPr>
          <w:rFonts w:ascii="Arial" w:cs="Arial" w:eastAsia="Arial" w:hAnsi="Arial"/>
          <w:sz w:val="18"/>
          <w:szCs w:val="18"/>
          <w:color w:val="auto"/>
        </w:rPr>
      </w:pPr>
    </w:p>
    <w:p>
      <w:pPr>
        <w:ind w:left="1580" w:hanging="276"/>
        <w:spacing w:after="0"/>
        <w:tabs>
          <w:tab w:leader="none" w:pos="15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“Company” means Cohu, Inc., a Delaware corporation, or any successor corporation</w:t>
      </w:r>
    </w:p>
    <w:p>
      <w:pPr>
        <w:spacing w:after="0" w:line="198" w:lineRule="exact"/>
        <w:rPr>
          <w:rFonts w:ascii="Arial" w:cs="Arial" w:eastAsia="Arial" w:hAnsi="Arial"/>
          <w:sz w:val="18"/>
          <w:szCs w:val="18"/>
          <w:color w:val="auto"/>
        </w:rPr>
      </w:pPr>
    </w:p>
    <w:p>
      <w:pPr>
        <w:ind w:right="140" w:firstLine="1304"/>
        <w:spacing w:after="0" w:line="242" w:lineRule="auto"/>
        <w:tabs>
          <w:tab w:leader="none" w:pos="156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“Compensation” means, with respect to an Offering Period under the Plan, all amounts paid in cash in the form of base salary and base wages, paid during such Offering Period before deduction for any contributions to any plan maintained by a Participating Company and described in Section 401(k) or Section 125 of the Code. Compensation shall not include cash or non-cash payments of any other amounts, whether consisting of overtime, bonuses, commissions, other incentive compensation, reimbursements of expenses, allowances, long-term disability, workers’ compensation or any amount deemed received or any amounts directly or indirectly paid pursuant to the Plan or any other stock purchase or stock option plan.</w:t>
      </w:r>
    </w:p>
    <w:p>
      <w:pPr>
        <w:spacing w:after="0" w:line="165" w:lineRule="exact"/>
        <w:rPr>
          <w:rFonts w:ascii="Arial" w:cs="Arial" w:eastAsia="Arial" w:hAnsi="Arial"/>
          <w:sz w:val="18"/>
          <w:szCs w:val="18"/>
          <w:color w:val="auto"/>
        </w:rPr>
      </w:pPr>
    </w:p>
    <w:p>
      <w:pPr>
        <w:ind w:left="1520" w:hanging="216"/>
        <w:spacing w:after="0"/>
        <w:tabs>
          <w:tab w:leader="none" w:pos="1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“Eligible Employee” means an Employee who meets the requirements set forth in Section 5 for eligibility to participate in</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Plan.</w:t>
      </w:r>
    </w:p>
    <w:p>
      <w:pPr>
        <w:spacing w:after="0" w:line="180" w:lineRule="exact"/>
        <w:rPr>
          <w:rFonts w:ascii="Arial" w:cs="Arial" w:eastAsia="Arial" w:hAnsi="Arial"/>
          <w:sz w:val="18"/>
          <w:szCs w:val="18"/>
          <w:color w:val="auto"/>
        </w:rPr>
      </w:pPr>
    </w:p>
    <w:p>
      <w:pPr>
        <w:ind w:right="20" w:firstLine="1304"/>
        <w:spacing w:after="0" w:line="253" w:lineRule="auto"/>
        <w:tabs>
          <w:tab w:leader="none" w:pos="156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“Employee” means any person treated as an employee (including an officer or a director who is also treated as an employee) in the records of a Participating Company and for purposes of Section 423 of the Code; provided, however, that neither service as a director nor payment of a director’s fee shall be sufficient to constitute employment for purposes of the Plan.</w:t>
      </w:r>
    </w:p>
    <w:p>
      <w:pPr>
        <w:spacing w:after="0" w:line="155" w:lineRule="exact"/>
        <w:rPr>
          <w:rFonts w:ascii="Arial" w:cs="Arial" w:eastAsia="Arial" w:hAnsi="Arial"/>
          <w:sz w:val="18"/>
          <w:szCs w:val="18"/>
          <w:color w:val="auto"/>
        </w:rPr>
      </w:pPr>
    </w:p>
    <w:p>
      <w:pPr>
        <w:ind w:left="1580" w:hanging="276"/>
        <w:spacing w:after="0"/>
        <w:tabs>
          <w:tab w:leader="none" w:pos="15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60" w:firstLine="1304"/>
        <w:spacing w:after="0"/>
        <w:tabs>
          <w:tab w:leader="none" w:pos="15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“Fair Market Value” means, as of any date, if there is then a public market for the Stock, the closing price of a share of Stock (or the mean of the closing bid and asked prices of a share of Stock if the Stock is so reported instead) as reported on the National Association of Securities Dealers Automated Quotation Stock Market (“Nasdaq”) or such other national or regional securities exchange or market system constituting the primary market for the Stock. If the relevant date does not fall on a day on which the Stock is trading on Nasdaq or other national or regional securities exchange or market system, the date on which the Fair Market Value shall be established shall be the last day on which the Stock was so traded prior to the relevant date, or such other appropriate day as shall be determined by the Board, in its sole discretion. If there is then no public market for the Stock, the Fair Market Value on any relevant date shall be as determined by the Board without regard to any restriction other than a restriction which, by its terms, will never lapse.</w:t>
      </w:r>
    </w:p>
    <w:p>
      <w:pPr>
        <w:spacing w:after="0" w:line="166" w:lineRule="exact"/>
        <w:rPr>
          <w:rFonts w:ascii="Arial" w:cs="Arial" w:eastAsia="Arial" w:hAnsi="Arial"/>
          <w:sz w:val="18"/>
          <w:szCs w:val="18"/>
          <w:color w:val="auto"/>
        </w:rPr>
      </w:pPr>
    </w:p>
    <w:p>
      <w:pPr>
        <w:ind w:left="1520" w:hanging="216"/>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“Offering” means an offering of Stock as provided in Section 6.</w:t>
      </w:r>
    </w:p>
    <w:p>
      <w:pPr>
        <w:spacing w:after="0" w:line="198" w:lineRule="exact"/>
        <w:rPr>
          <w:rFonts w:ascii="Arial" w:cs="Arial" w:eastAsia="Arial" w:hAnsi="Arial"/>
          <w:sz w:val="18"/>
          <w:szCs w:val="18"/>
          <w:color w:val="auto"/>
        </w:rPr>
      </w:pPr>
    </w:p>
    <w:p>
      <w:pPr>
        <w:ind w:left="1560" w:hanging="256"/>
        <w:spacing w:after="0"/>
        <w:tabs>
          <w:tab w:leader="none" w:pos="1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“Offering Date” means, for any Offering Period, the first day of such Offering Period.</w:t>
      </w:r>
    </w:p>
    <w:p>
      <w:pPr>
        <w:spacing w:after="0" w:line="198" w:lineRule="exact"/>
        <w:rPr>
          <w:rFonts w:ascii="Arial" w:cs="Arial" w:eastAsia="Arial" w:hAnsi="Arial"/>
          <w:sz w:val="18"/>
          <w:szCs w:val="18"/>
          <w:color w:val="auto"/>
        </w:rPr>
      </w:pPr>
    </w:p>
    <w:p>
      <w:pPr>
        <w:ind w:left="1520" w:hanging="216"/>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“Offering Period” means a period determined in accordance with Section 6.1.</w:t>
      </w:r>
    </w:p>
    <w:p>
      <w:pPr>
        <w:spacing w:after="0" w:line="198" w:lineRule="exact"/>
        <w:rPr>
          <w:rFonts w:ascii="Arial" w:cs="Arial" w:eastAsia="Arial" w:hAnsi="Arial"/>
          <w:sz w:val="18"/>
          <w:szCs w:val="18"/>
          <w:color w:val="auto"/>
        </w:rPr>
      </w:pPr>
    </w:p>
    <w:p>
      <w:pPr>
        <w:ind w:left="1620" w:hanging="316"/>
        <w:spacing w:after="0"/>
        <w:tabs>
          <w:tab w:leader="none" w:pos="1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“Parent Corporation” means any present or future “parent corporation” of the Company, as defined in Section 424(e) of</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Code.</w:t>
      </w:r>
    </w:p>
    <w:p>
      <w:pPr>
        <w:spacing w:after="0" w:line="180" w:lineRule="exact"/>
        <w:rPr>
          <w:rFonts w:ascii="Arial" w:cs="Arial" w:eastAsia="Arial" w:hAnsi="Arial"/>
          <w:sz w:val="18"/>
          <w:szCs w:val="18"/>
          <w:color w:val="auto"/>
        </w:rPr>
      </w:pPr>
    </w:p>
    <w:p>
      <w:pPr>
        <w:ind w:left="1580" w:hanging="276"/>
        <w:spacing w:after="0"/>
        <w:tabs>
          <w:tab w:leader="none" w:pos="1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“Participant” means an Eligible Employee participating in the Plan.</w:t>
      </w:r>
    </w:p>
    <w:p>
      <w:pPr>
        <w:spacing w:after="0" w:line="198" w:lineRule="exact"/>
        <w:rPr>
          <w:rFonts w:ascii="Arial" w:cs="Arial" w:eastAsia="Arial" w:hAnsi="Arial"/>
          <w:sz w:val="18"/>
          <w:szCs w:val="18"/>
          <w:color w:val="auto"/>
        </w:rPr>
      </w:pPr>
    </w:p>
    <w:p>
      <w:pPr>
        <w:ind w:right="40" w:firstLine="1304"/>
        <w:spacing w:after="0" w:line="253" w:lineRule="auto"/>
        <w:tabs>
          <w:tab w:leader="none" w:pos="156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“Participating Company” means the Company or any Parent Corporation or Subsidiary Corporation which the Board determines should be included in the Plan. The Board shall have the sole and absolute discretion to determine from time-to-time what Parent Corporations or Subsidiary Corporations shall be Participating Companies.</w:t>
      </w:r>
    </w:p>
    <w:p>
      <w:pPr>
        <w:spacing w:after="0" w:line="155" w:lineRule="exact"/>
        <w:rPr>
          <w:rFonts w:ascii="Arial" w:cs="Arial" w:eastAsia="Arial" w:hAnsi="Arial"/>
          <w:sz w:val="18"/>
          <w:szCs w:val="18"/>
          <w:color w:val="auto"/>
        </w:rPr>
      </w:pPr>
    </w:p>
    <w:p>
      <w:pPr>
        <w:ind w:right="300" w:firstLine="1304"/>
        <w:spacing w:after="0" w:line="271" w:lineRule="auto"/>
        <w:tabs>
          <w:tab w:leader="none" w:pos="156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“Participating Company Group” means, at any point in time, the Company and all other corporations collectively which are then Participating Companies.</w:t>
      </w:r>
    </w:p>
    <w:p>
      <w:pPr>
        <w:spacing w:after="0" w:line="140" w:lineRule="exact"/>
        <w:rPr>
          <w:rFonts w:ascii="Arial" w:cs="Arial" w:eastAsia="Arial" w:hAnsi="Arial"/>
          <w:sz w:val="18"/>
          <w:szCs w:val="18"/>
          <w:color w:val="auto"/>
        </w:rPr>
      </w:pPr>
    </w:p>
    <w:p>
      <w:pPr>
        <w:ind w:left="1580" w:hanging="276"/>
        <w:spacing w:after="0"/>
        <w:tabs>
          <w:tab w:leader="none" w:pos="1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“Purchase Date” means, for any Offering Period, the last day of such Offering Period.</w:t>
      </w:r>
    </w:p>
    <w:p>
      <w:pPr>
        <w:spacing w:after="0" w:line="198" w:lineRule="exact"/>
        <w:rPr>
          <w:rFonts w:ascii="Arial" w:cs="Arial" w:eastAsia="Arial" w:hAnsi="Arial"/>
          <w:sz w:val="18"/>
          <w:szCs w:val="18"/>
          <w:color w:val="auto"/>
        </w:rPr>
      </w:pPr>
    </w:p>
    <w:p>
      <w:pPr>
        <w:ind w:right="360" w:firstLine="1304"/>
        <w:spacing w:after="0" w:line="271" w:lineRule="auto"/>
        <w:tabs>
          <w:tab w:leader="none" w:pos="152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“Purchase Price” means the price at which a share of Stock may be purchased pursuant to the Plan, as determined in accordance with Section 9.</w:t>
      </w:r>
    </w:p>
    <w:p>
      <w:pPr>
        <w:spacing w:after="0" w:line="140" w:lineRule="exact"/>
        <w:rPr>
          <w:rFonts w:ascii="Arial" w:cs="Arial" w:eastAsia="Arial" w:hAnsi="Arial"/>
          <w:sz w:val="18"/>
          <w:szCs w:val="18"/>
          <w:color w:val="auto"/>
        </w:rPr>
      </w:pPr>
    </w:p>
    <w:p>
      <w:pPr>
        <w:ind w:firstLine="1304"/>
        <w:spacing w:after="0" w:line="253" w:lineRule="auto"/>
        <w:tabs>
          <w:tab w:leader="none" w:pos="155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“Purchase Right” means an option pursuant to the Plan to purchase such shares of Stock as provided in Section 8 which may or may not be exercised at the end of an Offering Period. Such option arises from the right of a Participant to withdraw such Participant’s accumulated payroll deductions (if any) and terminate participation in the Plan or any Offering therein at any time during an Offering Period.</w:t>
      </w:r>
    </w:p>
    <w:p>
      <w:pPr>
        <w:spacing w:after="0" w:line="155" w:lineRule="exact"/>
        <w:rPr>
          <w:rFonts w:ascii="Arial" w:cs="Arial" w:eastAsia="Arial" w:hAnsi="Arial"/>
          <w:sz w:val="18"/>
          <w:szCs w:val="18"/>
          <w:color w:val="auto"/>
        </w:rPr>
      </w:pPr>
    </w:p>
    <w:p>
      <w:pPr>
        <w:ind w:left="1520" w:hanging="216"/>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“Stock” means the common stock, $1.00 par value, of the Company, as adjusted from time to time in accordance with</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4.2.</w:t>
      </w:r>
    </w:p>
    <w:p>
      <w:pPr>
        <w:spacing w:after="0" w:line="180" w:lineRule="exact"/>
        <w:rPr>
          <w:rFonts w:ascii="Arial" w:cs="Arial" w:eastAsia="Arial" w:hAnsi="Arial"/>
          <w:sz w:val="18"/>
          <w:szCs w:val="18"/>
          <w:color w:val="auto"/>
        </w:rPr>
      </w:pPr>
    </w:p>
    <w:p>
      <w:pPr>
        <w:ind w:left="1580" w:hanging="276"/>
        <w:spacing w:after="0"/>
        <w:tabs>
          <w:tab w:leader="none" w:pos="1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“Subsidiary Corporation” means any present or future “subsidiary corporation” of the Company, as defined in Section</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424(f) of the Code.</w:t>
      </w:r>
    </w:p>
    <w:p>
      <w:pPr>
        <w:spacing w:after="0" w:line="180" w:lineRule="exact"/>
        <w:rPr>
          <w:sz w:val="20"/>
          <w:szCs w:val="20"/>
          <w:color w:val="auto"/>
        </w:rPr>
      </w:pPr>
    </w:p>
    <w:p>
      <w:pPr>
        <w:ind w:right="360" w:firstLine="1296"/>
        <w:spacing w:after="0" w:line="253" w:lineRule="auto"/>
        <w:rPr>
          <w:sz w:val="20"/>
          <w:szCs w:val="20"/>
          <w:color w:val="auto"/>
        </w:rPr>
      </w:pPr>
      <w:r>
        <w:rPr>
          <w:rFonts w:ascii="Arial" w:cs="Arial" w:eastAsia="Arial" w:hAnsi="Arial"/>
          <w:sz w:val="18"/>
          <w:szCs w:val="18"/>
          <w:color w:val="auto"/>
        </w:rPr>
        <w:t>2.2 Construction. Captions and titles contained herein are for convenience only and shall not affect the meaning or interpretation of any provision of the Plan. Except when otherwise indicated by the context, the singular shall include the plural, the plural shall include the singular, and use of the term “or” shall include the conjunctive as well as the disjunctive.</w:t>
      </w:r>
    </w:p>
    <w:p>
      <w:pPr>
        <w:spacing w:after="0" w:line="155" w:lineRule="exact"/>
        <w:rPr>
          <w:sz w:val="20"/>
          <w:szCs w:val="20"/>
          <w:color w:val="auto"/>
        </w:rPr>
      </w:pPr>
    </w:p>
    <w:p>
      <w:pPr>
        <w:ind w:right="20" w:firstLine="656"/>
        <w:spacing w:after="0" w:line="251" w:lineRule="auto"/>
        <w:tabs>
          <w:tab w:leader="none" w:pos="1298" w:val="left"/>
        </w:tabs>
        <w:numPr>
          <w:ilvl w:val="1"/>
          <w:numId w:val="123"/>
        </w:numPr>
        <w:rPr>
          <w:rFonts w:ascii="Arial" w:cs="Arial" w:eastAsia="Arial" w:hAnsi="Arial"/>
          <w:sz w:val="17"/>
          <w:szCs w:val="17"/>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shall be administered by the Board, including any duly appointed Committee of the Board or</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officers of the Company. In administering the Plan, the Board may prescribe, amend, and rescind procedural rules and adopt subplans (for some or all Participating Companies, for non-U.S. jurisdictions, and whether or not intended to be an “employee stock purchase plan” under Section 423 of the Code). All questions of interpretation of the Plan or of any Purchase Right shall be determined by the Board and shall be final and binding upon all persons having an interest in the Plan or such Purchase Right. Subject to the provisions of the Plan, the Board shall determine all of the relevant terms and conditions of Purchase Rights granted pursuant to the Plan; provided, however, that all Participants granted Purchase Rights pursuant to the Plan shall have the same rights and privileges within the meaning of Section 423(b)</w:t>
      </w:r>
    </w:p>
    <w:p>
      <w:pPr>
        <w:spacing w:after="0" w:line="4" w:lineRule="exact"/>
        <w:rPr>
          <w:rFonts w:ascii="Arial" w:cs="Arial" w:eastAsia="Arial" w:hAnsi="Arial"/>
          <w:sz w:val="17"/>
          <w:szCs w:val="17"/>
          <w:color w:val="auto"/>
        </w:rPr>
      </w:pPr>
    </w:p>
    <w:p>
      <w:pPr>
        <w:ind w:left="280" w:hanging="272"/>
        <w:spacing w:after="0"/>
        <w:tabs>
          <w:tab w:leader="none" w:pos="2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of the Code. All expenses incurred in connection with the administration of the Plan shall be paid by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239" w:lineRule="exact"/>
        <w:rPr>
          <w:sz w:val="20"/>
          <w:szCs w:val="20"/>
          <w:color w:val="auto"/>
        </w:rPr>
      </w:pPr>
    </w:p>
    <w:p>
      <w:pPr>
        <w:ind w:right="160" w:firstLine="1296"/>
        <w:spacing w:after="0" w:line="24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Maximum Number of Shares Issuable.</w:t>
      </w:r>
      <w:r>
        <w:rPr>
          <w:rFonts w:ascii="Arial" w:cs="Arial" w:eastAsia="Arial" w:hAnsi="Arial"/>
          <w:sz w:val="18"/>
          <w:szCs w:val="18"/>
          <w:color w:val="auto"/>
        </w:rPr>
        <w:t xml:space="preserve"> Subject to adjustment as provided in Section 4.2, the maximum aggregate number of shares of Stock that may be issued under the Plan shall be 4,350,000 and shall consist of authorized but unissued or reacquired shares of the Stock, or any combination thereof. If an outstanding Purchase Right for any reason expires or is terminated or canceled, the shares of Stock allocable to the unexercised portion of such Purchase Right shall again be available for issuance under the Plan.</w:t>
      </w:r>
    </w:p>
    <w:p>
      <w:pPr>
        <w:spacing w:after="0" w:line="160"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Adjustments for Changes in Capital Structure.</w:t>
      </w:r>
      <w:r>
        <w:rPr>
          <w:rFonts w:ascii="Arial" w:cs="Arial" w:eastAsia="Arial" w:hAnsi="Arial"/>
          <w:sz w:val="18"/>
          <w:szCs w:val="18"/>
          <w:color w:val="auto"/>
        </w:rPr>
        <w:t xml:space="preserve"> In the event of any stock dividend, stock split, reverse stock split, recapitalization, combination, reclassification or similar change in the capital structure of the Company, or in the event of any merger (including a merger effected for the purpose of changing the Company’s domicile), sale of assets or other reorganization in which the Company is a party, appropriate adjustments shall be made to the number and class of shares subject to the Plan, to the Per Offering Share Limit set forth in Section 8.1 and to each Purchase Right and to the Purchase Price.</w:t>
      </w:r>
    </w:p>
    <w:p>
      <w:pPr>
        <w:spacing w:after="0" w:line="163"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239" w:lineRule="exact"/>
        <w:rPr>
          <w:sz w:val="20"/>
          <w:szCs w:val="20"/>
          <w:color w:val="auto"/>
        </w:rPr>
      </w:pPr>
    </w:p>
    <w:p>
      <w:pPr>
        <w:ind w:right="540" w:firstLine="1296"/>
        <w:spacing w:after="0" w:line="27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Employees Eligible to Participate.</w:t>
      </w:r>
      <w:r>
        <w:rPr>
          <w:rFonts w:ascii="Arial" w:cs="Arial" w:eastAsia="Arial" w:hAnsi="Arial"/>
          <w:sz w:val="18"/>
          <w:szCs w:val="18"/>
          <w:color w:val="auto"/>
        </w:rPr>
        <w:t xml:space="preserve"> Any Employee of a Participating Company is eligible to participate in the Plan except the following:</w:t>
      </w:r>
    </w:p>
    <w:p>
      <w:pPr>
        <w:spacing w:after="0" w:line="140" w:lineRule="exact"/>
        <w:rPr>
          <w:sz w:val="20"/>
          <w:szCs w:val="20"/>
          <w:color w:val="auto"/>
        </w:rPr>
      </w:pPr>
    </w:p>
    <w:p>
      <w:pPr>
        <w:ind w:left="1580" w:hanging="276"/>
        <w:spacing w:after="0"/>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Employees who are customarily employed by the Participating Company Group for twenty (20) hours or less per week;</w:t>
      </w:r>
    </w:p>
    <w:p>
      <w:pPr>
        <w:spacing w:after="0" w:line="198" w:lineRule="exact"/>
        <w:rPr>
          <w:rFonts w:ascii="Arial" w:cs="Arial" w:eastAsia="Arial" w:hAnsi="Arial"/>
          <w:sz w:val="18"/>
          <w:szCs w:val="18"/>
          <w:color w:val="auto"/>
        </w:rPr>
      </w:pPr>
    </w:p>
    <w:p>
      <w:pPr>
        <w:ind w:left="1580" w:hanging="276"/>
        <w:spacing w:after="0"/>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Employees who are customarily employed by the Participating Company Group for not more than five (5) months in any</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calendar year; and</w:t>
      </w:r>
    </w:p>
    <w:p>
      <w:pPr>
        <w:spacing w:after="0" w:line="180" w:lineRule="exact"/>
        <w:rPr>
          <w:rFonts w:ascii="Arial" w:cs="Arial" w:eastAsia="Arial" w:hAnsi="Arial"/>
          <w:sz w:val="18"/>
          <w:szCs w:val="18"/>
          <w:color w:val="auto"/>
        </w:rPr>
      </w:pPr>
    </w:p>
    <w:p>
      <w:pPr>
        <w:ind w:right="160" w:firstLine="1304"/>
        <w:spacing w:after="0" w:line="253" w:lineRule="auto"/>
        <w:tabs>
          <w:tab w:leader="none" w:pos="155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Employees who own or hold options to purchase or who, as a result of participation in the Plan, would own or hold options to purchase, stock of the Company or of any Parent Corporation or Subsidiary Corporation possessing five percent (5%) or more of the total combined voting power or value of all classes of stock of such corporation within the meaning of Section 423(b)(3) of the Code.</w:t>
      </w:r>
    </w:p>
    <w:p>
      <w:pPr>
        <w:spacing w:after="0" w:line="155" w:lineRule="exact"/>
        <w:rPr>
          <w:sz w:val="20"/>
          <w:szCs w:val="20"/>
          <w:color w:val="auto"/>
        </w:rPr>
      </w:pPr>
    </w:p>
    <w:p>
      <w:pPr>
        <w:ind w:right="80" w:firstLine="1296"/>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Leased Employees Excluded.</w:t>
      </w:r>
      <w:r>
        <w:rPr>
          <w:rFonts w:ascii="Arial" w:cs="Arial" w:eastAsia="Arial" w:hAnsi="Arial"/>
          <w:sz w:val="18"/>
          <w:szCs w:val="18"/>
          <w:color w:val="auto"/>
        </w:rPr>
        <w:t xml:space="preserve"> Notwithstanding anything herein to the contrary, any individual performing services for a Participating Company solely through a leasing agency or employment agency shall not be deemed an “Employee” of such Participating Company.</w:t>
      </w:r>
    </w:p>
    <w:p>
      <w:pPr>
        <w:spacing w:after="0" w:line="155"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Offerings</w:t>
      </w:r>
      <w:r>
        <w:rPr>
          <w:rFonts w:ascii="Arial" w:cs="Arial" w:eastAsia="Arial" w:hAnsi="Arial"/>
          <w:sz w:val="18"/>
          <w:szCs w:val="18"/>
          <w:b w:val="1"/>
          <w:bCs w:val="1"/>
          <w:color w:val="auto"/>
        </w:rPr>
        <w:t>.</w:t>
      </w:r>
    </w:p>
    <w:p>
      <w:pPr>
        <w:spacing w:after="0" w:line="239"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6.1 Offering Periods. Except as otherwise set forth below, the Plan shall be implemented by sequential Offerings of six (6) months’ duration (an “Offering Period”). Offerings shall commence on the first days of November and May of each year and end on the last days of the first April and October, respectively, occurring thereafter. Notwithstanding the foregoing, the Board may establish a different term for one or more Offerings or different commencing or ending dates for such Offerings; provided, however, that no Offering may exceed a term of twenty-seven (27) months. An Employee who becomes an Eligible Employee after an Offering Period has commenced shall not be eligible to participate in such Offering but may participate in any subsequent Offering provided such Employee is still an Eligible Employee as of the commencement of any such subsequent Offering. In the event the first or last day of an Offering Period is not a business day, the Company shall specify the business day that will be deemed the first or last day, as the case may be, of the Offering Period.</w:t>
      </w:r>
    </w:p>
    <w:p>
      <w:pPr>
        <w:spacing w:after="0" w:line="167" w:lineRule="exact"/>
        <w:rPr>
          <w:sz w:val="20"/>
          <w:szCs w:val="20"/>
          <w:color w:val="auto"/>
        </w:rPr>
      </w:pPr>
    </w:p>
    <w:p>
      <w:pPr>
        <w:jc w:val="both"/>
        <w:ind w:right="240" w:firstLine="1296"/>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Governmental Approval;</w:t>
      </w:r>
      <w:r>
        <w:rPr>
          <w:rFonts w:ascii="Arial" w:cs="Arial" w:eastAsia="Arial" w:hAnsi="Arial"/>
          <w:sz w:val="18"/>
          <w:szCs w:val="18"/>
          <w:color w:val="auto"/>
        </w:rPr>
        <w:t xml:space="preserve"> Stockholder Approval. Notwithstanding any other provision of the Plan to the contrary, any Purchase Right granted pursuant to the Plan shall be subject to (a) obtaining all necessary governmental approvals or qualifications of the sale or issuance of the Purchase Rights or the shares of Stock and (b) obtaining stockholder approval of the Plan.</w:t>
      </w:r>
    </w:p>
    <w:p>
      <w:pPr>
        <w:spacing w:after="0" w:line="155"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in the Plan</w:t>
      </w:r>
      <w:r>
        <w:rPr>
          <w:rFonts w:ascii="Arial" w:cs="Arial" w:eastAsia="Arial" w:hAnsi="Arial"/>
          <w:sz w:val="18"/>
          <w:szCs w:val="18"/>
          <w:b w:val="1"/>
          <w:bCs w:val="1"/>
          <w:color w:val="auto"/>
        </w:rPr>
        <w:t>.</w:t>
      </w:r>
    </w:p>
    <w:p>
      <w:pPr>
        <w:spacing w:after="0" w:line="239" w:lineRule="exact"/>
        <w:rPr>
          <w:sz w:val="20"/>
          <w:szCs w:val="20"/>
          <w:color w:val="auto"/>
        </w:rPr>
      </w:pPr>
    </w:p>
    <w:p>
      <w:pPr>
        <w:ind w:right="100" w:firstLine="1296"/>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Initial Participation.</w:t>
      </w:r>
      <w:r>
        <w:rPr>
          <w:rFonts w:ascii="Arial" w:cs="Arial" w:eastAsia="Arial" w:hAnsi="Arial"/>
          <w:sz w:val="18"/>
          <w:szCs w:val="18"/>
          <w:color w:val="auto"/>
        </w:rPr>
        <w:t xml:space="preserve"> An Eligible Employee shall become a Participant on the first Offering Date after satisfying the eligibility requirements of Section 5 and delivering to the Company’s payroll office or other office designated by the Company not later than the close of business for such office on the last business day before such Offering Date (the “Subscription Date”) a subscription agreement indicating the Employee’s election to participate in the Plan and authorizing payroll deductions. An Eligible Employee who does not deliver a subscription agreement to the Company’s payroll or other designated office on or before the Subscription Date shall not participate in the Plan for that Offering Period or for any subsequent Offering Period unless such Employee subsequently enrolls in the Plan by filing a subscription agreement with the Company by the Subscription Date for such subsequent Offering Period. The Company may, from time to time, change the Subscription Date as deemed advisable by the Company in its sole discretion for proper administration of the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firstLine="1296"/>
        <w:spacing w:after="0" w:line="24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Continued Participation.</w:t>
      </w:r>
      <w:r>
        <w:rPr>
          <w:rFonts w:ascii="Arial" w:cs="Arial" w:eastAsia="Arial" w:hAnsi="Arial"/>
          <w:sz w:val="18"/>
          <w:szCs w:val="18"/>
          <w:color w:val="auto"/>
        </w:rPr>
        <w:t xml:space="preserve"> A Participant shall automatically participate in each subsequent Offering Period until such time as such Participant (a) ceases to be an Eligible Employee, (b) withdraws from the Plan pursuant to Section 13.2 or (c) terminates employment as provided in Section 14. If a Participant automatically may participate in a subsequent Offering Period pursuant to this Section 7.2, then the Participant is not required to file any additional subscription agreement for such subsequent Offering Period in order to continue participation in the Plan. However, a Participant may file a subscription agreement with respect to a subsequent Offering Period if the Participant desires to change any of the Participant’s elections contained in the Participant’s then effective subscription agreement.</w:t>
      </w:r>
    </w:p>
    <w:p>
      <w:pPr>
        <w:spacing w:after="0" w:line="165" w:lineRule="exact"/>
        <w:rPr>
          <w:sz w:val="20"/>
          <w:szCs w:val="20"/>
          <w:color w:val="auto"/>
        </w:rPr>
      </w:pPr>
    </w:p>
    <w:p>
      <w:pPr>
        <w:ind w:right="60" w:firstLine="656"/>
        <w:spacing w:after="0" w:line="253" w:lineRule="auto"/>
        <w:tabs>
          <w:tab w:leader="none" w:pos="1298"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Purchase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below, during an Offering Period each Participant shall have a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Right consisting of the right to purchase up to 3,000 shares (the “Per Offering Share Limit”). Shares of Stock may only be purchased through a Participant’s payroll deductions pursuant to Section 10.</w:t>
      </w:r>
    </w:p>
    <w:p>
      <w:pPr>
        <w:spacing w:after="0" w:line="155" w:lineRule="exact"/>
        <w:rPr>
          <w:rFonts w:ascii="Arial" w:cs="Arial" w:eastAsia="Arial" w:hAnsi="Arial"/>
          <w:sz w:val="18"/>
          <w:szCs w:val="18"/>
          <w:color w:val="auto"/>
        </w:rPr>
      </w:pPr>
    </w:p>
    <w:p>
      <w:pPr>
        <w:ind w:right="40" w:firstLine="656"/>
        <w:spacing w:after="0"/>
        <w:tabs>
          <w:tab w:leader="none" w:pos="1298"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at which each share of Stock may be acquired in a given Offering Period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of all or any portion of a Purchase Right granted under the Plan shall be set by the Board; provided, however, that the Purchase Price shall not be less than eighty five percent (85%) of the lesser of (a) the Fair Market Value of a share of Stock on the Offering Date of the Offering Period, or (b) the Fair Market Value of a share of Stock on the Purchase Date of the Offering Period. Unless otherwise provided by the Board prior to the commencement of an Offering Period, the Purchase Price for that Offering Period shall be eighty five percent (85%) of the lesser of (a) the Fair Market Value of a share of Stock on the Offering Date of the Offering Period, or (b) the Fair Market Value of a share of Stock on the Purchase Date of the Offering Period. Notwithstanding anything in the Plan to the contrary, the Purchase Price per share of Stock shall in no event be less than par value.</w:t>
      </w:r>
    </w:p>
    <w:p>
      <w:pPr>
        <w:spacing w:after="0" w:line="166" w:lineRule="exact"/>
        <w:rPr>
          <w:rFonts w:ascii="Arial" w:cs="Arial" w:eastAsia="Arial" w:hAnsi="Arial"/>
          <w:sz w:val="18"/>
          <w:szCs w:val="18"/>
          <w:color w:val="auto"/>
        </w:rPr>
      </w:pPr>
    </w:p>
    <w:p>
      <w:pPr>
        <w:jc w:val="both"/>
        <w:ind w:right="100" w:firstLine="656"/>
        <w:spacing w:after="0" w:line="247" w:lineRule="auto"/>
        <w:tabs>
          <w:tab w:leader="none" w:pos="1298"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Accumulation of Purchase Price through Payroll Deduction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Stock which are acquired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all or any portion of a Purchase Right for an Offering Period may be paid for only by means of payroll deductions from the Participant’s Compensation accumulated during the Offering Period. Except as set forth below, the amount of Compensation to be deducted from a Participant’s Compensation during each pay period shall be determined by the Participant’s subscription agreement.</w:t>
      </w:r>
    </w:p>
    <w:p>
      <w:pPr>
        <w:spacing w:after="0" w:line="160" w:lineRule="exact"/>
        <w:rPr>
          <w:sz w:val="20"/>
          <w:szCs w:val="20"/>
          <w:color w:val="auto"/>
        </w:rPr>
      </w:pPr>
    </w:p>
    <w:p>
      <w:pPr>
        <w:ind w:right="40" w:firstLine="1296"/>
        <w:spacing w:after="0" w:line="27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Commencement of Payroll Deductions.</w:t>
      </w:r>
      <w:r>
        <w:rPr>
          <w:rFonts w:ascii="Arial" w:cs="Arial" w:eastAsia="Arial" w:hAnsi="Arial"/>
          <w:sz w:val="18"/>
          <w:szCs w:val="18"/>
          <w:color w:val="auto"/>
        </w:rPr>
        <w:t xml:space="preserve"> Payroll deductions shall commence on the first payday following the Offering Date and shall continue to the end of the Offering Period unless sooner altered or terminated as provided in the Plan.</w:t>
      </w:r>
    </w:p>
    <w:p>
      <w:pPr>
        <w:spacing w:after="0" w:line="140" w:lineRule="exact"/>
        <w:rPr>
          <w:sz w:val="20"/>
          <w:szCs w:val="20"/>
          <w:color w:val="auto"/>
        </w:rPr>
      </w:pPr>
    </w:p>
    <w:p>
      <w:pPr>
        <w:ind w:right="220" w:firstLine="1296"/>
        <w:spacing w:after="0" w:line="24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Limitations on Payroll Deductions.</w:t>
      </w:r>
      <w:r>
        <w:rPr>
          <w:rFonts w:ascii="Arial" w:cs="Arial" w:eastAsia="Arial" w:hAnsi="Arial"/>
          <w:sz w:val="18"/>
          <w:szCs w:val="18"/>
          <w:color w:val="auto"/>
        </w:rPr>
        <w:t xml:space="preserve"> The amount of payroll deductions with respect to the Plan for any Participant during any pay period shall be in one percent (1%) increments not to exceed ten percent (10%) of the Participant’s Compensation for such pay period. Notwithstanding the foregoing, the Board may change the limits on payroll deductions effective as of a future Offering Date, as determined by the Board. Amounts deducted from Compensation shall be reduced by any amounts contributed by the Participant and applied to the purchase of Company stock pursuant to any other employee stock purchase plan qualifying under Section 423 of the Code.</w:t>
      </w:r>
    </w:p>
    <w:p>
      <w:pPr>
        <w:spacing w:after="0" w:line="163" w:lineRule="exact"/>
        <w:rPr>
          <w:sz w:val="20"/>
          <w:szCs w:val="20"/>
          <w:color w:val="auto"/>
        </w:rPr>
      </w:pPr>
    </w:p>
    <w:p>
      <w:pPr>
        <w:ind w:firstLine="1296"/>
        <w:spacing w:after="0" w:line="26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Election to Increase, Decrease or Stop Payroll Deductions.</w:t>
      </w:r>
      <w:r>
        <w:rPr>
          <w:rFonts w:ascii="Arial" w:cs="Arial" w:eastAsia="Arial" w:hAnsi="Arial"/>
          <w:sz w:val="17"/>
          <w:szCs w:val="17"/>
          <w:color w:val="auto"/>
        </w:rPr>
        <w:t xml:space="preserve"> During an Offering Period, a Participant may elect to increase or decrease the amount deducted or stop deductions from his or her Compensation by filing an amended subscription agreement with the Company on or before the “Change Notice Date.” The “Change Notice Date” shall initially be the seventh (7th) day prior to the end of the first pay period for which such election is to be effective; however, the Company may change such Change Notice Date from time to time.</w:t>
      </w:r>
    </w:p>
    <w:p>
      <w:pPr>
        <w:spacing w:after="0" w:line="146" w:lineRule="exact"/>
        <w:rPr>
          <w:sz w:val="20"/>
          <w:szCs w:val="20"/>
          <w:color w:val="auto"/>
        </w:rPr>
      </w:pPr>
    </w:p>
    <w:p>
      <w:pPr>
        <w:ind w:right="120" w:firstLine="1296"/>
        <w:spacing w:after="0" w:line="25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Participant Accounts.</w:t>
      </w:r>
      <w:r>
        <w:rPr>
          <w:rFonts w:ascii="Arial" w:cs="Arial" w:eastAsia="Arial" w:hAnsi="Arial"/>
          <w:sz w:val="18"/>
          <w:szCs w:val="18"/>
          <w:color w:val="auto"/>
        </w:rPr>
        <w:t xml:space="preserve"> Individual Plan accounts shall be maintained for each Participant. All payroll deductions from a Participant’s Compensation shall be credited to such account and shall be deposited with the general funds of the Company. All payroll deductions received or held by the Company may be used by the Company for any corporate purpose.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No Interest Paid.</w:t>
      </w:r>
      <w:r>
        <w:rPr>
          <w:rFonts w:ascii="Arial" w:cs="Arial" w:eastAsia="Arial" w:hAnsi="Arial"/>
          <w:sz w:val="18"/>
          <w:szCs w:val="18"/>
          <w:color w:val="auto"/>
        </w:rPr>
        <w:t xml:space="preserve"> Interest shall not be paid on sums deducted from a Participant’s Compensation pursuant to the Plan.</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Company Established Procedures.</w:t>
      </w:r>
      <w:r>
        <w:rPr>
          <w:rFonts w:ascii="Arial" w:cs="Arial" w:eastAsia="Arial" w:hAnsi="Arial"/>
          <w:sz w:val="18"/>
          <w:szCs w:val="18"/>
          <w:color w:val="auto"/>
        </w:rPr>
        <w:t xml:space="preserve"> The Company may, from time to time, establish or change (a) a minimum required payroll deduction amount for participation in an Offering, (b) limitations on the frequency or number of changes in the rate of payroll deduction during an Offering, (c) an exchange ratio applicable to amounts withheld in a currency other than U.S. dollars, (d) payroll deduction in excess of or less than the amount designated by a Participant in order to adjust for delays or mistakes in the Company’s processing of subscription agreements, (e) the date(s) and manner by which the Fair Market Value of a share of Stock is determined for purposes of administration of the Plan, or (f) such other limitations or procedures as deemed advisable by the Company in the Company’s sole discretion which are consistent with the Plan and in accordance with the requirements of Section 423 of the Code.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239" w:lineRule="exact"/>
        <w:rPr>
          <w:sz w:val="20"/>
          <w:szCs w:val="20"/>
          <w:color w:val="auto"/>
        </w:rPr>
      </w:pPr>
    </w:p>
    <w:p>
      <w:pPr>
        <w:ind w:right="80" w:firstLine="1296"/>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Exercise of Purchase Right.</w:t>
      </w:r>
      <w:r>
        <w:rPr>
          <w:rFonts w:ascii="Arial" w:cs="Arial" w:eastAsia="Arial" w:hAnsi="Arial"/>
          <w:sz w:val="18"/>
          <w:szCs w:val="18"/>
          <w:color w:val="auto"/>
        </w:rPr>
        <w:t xml:space="preserve"> On each Purchase Date, each Participant who has not withdrawn from the Offering or whose participation in the Offering has not terminated on or before such Purchase Date shall automatically acquire pursuant to the exercise of the Participant’s Purchase Right the number of whole shares of Stock arrived at by dividing the total amount of the Participant’s accumulated payroll deductions for the Purchase Period by the Purchase Price; provided, however, in no event shall the number of shares purchased by the Participant during an Offering Period exceed the number of shares subject to the Participant’s Purchase Right or the pro rata allocation under Section 12.2. No shares of Stock shall be purchased on a Purchase Date on behalf of a Participant whose participation in the Offering or the Plan has terminated on or before such Purchase Date.</w:t>
      </w:r>
    </w:p>
    <w:p>
      <w:pPr>
        <w:spacing w:after="0" w:line="171" w:lineRule="exact"/>
        <w:rPr>
          <w:sz w:val="20"/>
          <w:szCs w:val="20"/>
          <w:color w:val="auto"/>
        </w:rPr>
      </w:pPr>
    </w:p>
    <w:p>
      <w:pPr>
        <w:ind w:right="280" w:firstLine="1296"/>
        <w:spacing w:after="0" w:line="24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Return of Cash Balance.</w:t>
      </w:r>
      <w:r>
        <w:rPr>
          <w:rFonts w:ascii="Arial" w:cs="Arial" w:eastAsia="Arial" w:hAnsi="Arial"/>
          <w:sz w:val="18"/>
          <w:szCs w:val="18"/>
          <w:color w:val="auto"/>
        </w:rPr>
        <w:t xml:space="preserve"> Any cash balance remaining in the Participant’s Plan account shall be refunded to the Participant as soon as practicable after the Purchase Date. In the event the cash to be returned to a Participant pursuant to the preceding sentence is an amount less than the amount necessary to purchase a whole share of Stock, the Company may establish procedures whereby such cash is maintained in the Participant’s Plan account and applied toward the purchase of shares of Stock in the subsequent Offering Period.</w:t>
      </w:r>
    </w:p>
    <w:p>
      <w:pPr>
        <w:spacing w:after="0" w:line="163"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Tax Withholding.</w:t>
      </w:r>
      <w:r>
        <w:rPr>
          <w:rFonts w:ascii="Arial" w:cs="Arial" w:eastAsia="Arial" w:hAnsi="Arial"/>
          <w:sz w:val="18"/>
          <w:szCs w:val="18"/>
          <w:color w:val="auto"/>
        </w:rPr>
        <w:t xml:space="preserve"> At the time a Participant’s Purchase Right is exercised, in whole or in part, or at the time a Participant disposes of some or all of the shares of Stock he or she acquires under the Plan, the Participant shall make adequate provision for the foreign, federal, state and local tax withholding obligations of the Participating Company Group, if any, which arise upon exercise of the Purchase Right or upon such disposition of shares, respectively. The Participating Company Group may, but shall not be obligated to, withhold from the Participant’s compensation the amount necessary to meet such withholding obligations.</w:t>
      </w:r>
    </w:p>
    <w:p>
      <w:pPr>
        <w:spacing w:after="0" w:line="163" w:lineRule="exact"/>
        <w:rPr>
          <w:sz w:val="20"/>
          <w:szCs w:val="20"/>
          <w:color w:val="auto"/>
        </w:rPr>
      </w:pPr>
    </w:p>
    <w:p>
      <w:pPr>
        <w:ind w:right="280" w:firstLine="1296"/>
        <w:spacing w:after="0" w:line="271"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Expiration of Purchase Right.</w:t>
      </w:r>
      <w:r>
        <w:rPr>
          <w:rFonts w:ascii="Arial" w:cs="Arial" w:eastAsia="Arial" w:hAnsi="Arial"/>
          <w:sz w:val="18"/>
          <w:szCs w:val="18"/>
          <w:color w:val="auto"/>
        </w:rPr>
        <w:t xml:space="preserve"> Any portion of a Participant’s Purchase Right remaining unexercised after the end of the Offering Period to which such Purchase Right relates shall expire immediately upon the end of such Offering Period.</w:t>
      </w:r>
    </w:p>
    <w:p>
      <w:pPr>
        <w:spacing w:after="0" w:line="140" w:lineRule="exact"/>
        <w:rPr>
          <w:sz w:val="20"/>
          <w:szCs w:val="20"/>
          <w:color w:val="auto"/>
        </w:rPr>
      </w:pPr>
    </w:p>
    <w:p>
      <w:pPr>
        <w:ind w:left="1300" w:hanging="64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Purchase of Shares; Rights as a Stockholder</w:t>
      </w:r>
      <w:r>
        <w:rPr>
          <w:rFonts w:ascii="Arial" w:cs="Arial" w:eastAsia="Arial" w:hAnsi="Arial"/>
          <w:sz w:val="18"/>
          <w:szCs w:val="18"/>
          <w:b w:val="1"/>
          <w:bCs w:val="1"/>
          <w:color w:val="auto"/>
        </w:rPr>
        <w:t>.</w:t>
      </w:r>
    </w:p>
    <w:p>
      <w:pPr>
        <w:spacing w:after="0" w:line="239" w:lineRule="exact"/>
        <w:rPr>
          <w:sz w:val="20"/>
          <w:szCs w:val="20"/>
          <w:color w:val="auto"/>
        </w:rPr>
      </w:pPr>
    </w:p>
    <w:p>
      <w:pPr>
        <w:ind w:right="80" w:firstLine="1296"/>
        <w:spacing w:after="0" w:line="242"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Fair Market Value Limitation.</w:t>
      </w:r>
      <w:r>
        <w:rPr>
          <w:rFonts w:ascii="Arial" w:cs="Arial" w:eastAsia="Arial" w:hAnsi="Arial"/>
          <w:sz w:val="18"/>
          <w:szCs w:val="18"/>
          <w:color w:val="auto"/>
        </w:rPr>
        <w:t xml:space="preserve"> Notwithstanding any other provision of the Plan, no Participant shall be entitled to purchase shares of Stock under the Plan (or any other employee stock purchase plan which is intended to meet the requirements of Section 423 of the Code sponsored by the Company or a Parent Corporation or Subsidiary Corporation at a rate which exceeds $25,000 in Fair Market Value, which Fair Market Value is determined for shares purchased during a given Offering Period as of the Offering Date (or such other limit as may be imposed by the Code), for each calendar year in which the Participant participates in the Plan (or any other employee stock purchase plan described in this sentence).</w:t>
      </w:r>
    </w:p>
    <w:p>
      <w:pPr>
        <w:spacing w:after="0" w:line="165" w:lineRule="exact"/>
        <w:rPr>
          <w:sz w:val="20"/>
          <w:szCs w:val="20"/>
          <w:color w:val="auto"/>
        </w:rPr>
      </w:pPr>
    </w:p>
    <w:p>
      <w:pPr>
        <w:ind w:right="180" w:firstLine="1296"/>
        <w:spacing w:after="0" w:line="24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Pro Rata Allocation.</w:t>
      </w:r>
      <w:r>
        <w:rPr>
          <w:rFonts w:ascii="Arial" w:cs="Arial" w:eastAsia="Arial" w:hAnsi="Arial"/>
          <w:sz w:val="18"/>
          <w:szCs w:val="18"/>
          <w:color w:val="auto"/>
        </w:rPr>
        <w:t xml:space="preserve"> In the event the number of shares of Stock which might be purchased by all Participants in the Plan exceeds the number of shares of Stock available in the Plan, the Company shall make a pro rata allocation of the remaining shares in as uniform a manner as shall be practicable and as the Company shall determine to be equitable. Any fractional share of Stock remaining from a pro rata allocation under this Section shall be disregarded.</w:t>
      </w:r>
    </w:p>
    <w:p>
      <w:pPr>
        <w:spacing w:after="0" w:line="160" w:lineRule="exact"/>
        <w:rPr>
          <w:sz w:val="20"/>
          <w:szCs w:val="20"/>
          <w:color w:val="auto"/>
        </w:rPr>
      </w:pPr>
    </w:p>
    <w:p>
      <w:pPr>
        <w:ind w:right="60" w:firstLine="1296"/>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Rights as a Stockholder and Employee.</w:t>
      </w:r>
      <w:r>
        <w:rPr>
          <w:rFonts w:ascii="Arial" w:cs="Arial" w:eastAsia="Arial" w:hAnsi="Arial"/>
          <w:sz w:val="18"/>
          <w:szCs w:val="18"/>
          <w:color w:val="auto"/>
        </w:rPr>
        <w:t xml:space="preserve"> A Participant shall have no rights as a stockholder by virtue of the Participant’s participation in the Plan until the date of the issuance of a stock certificate for the shares of Stock being purchased pursuant to the exercise of the Participant’s Purchase Right. No adjustment shall be made for cash dividends or distributions or other rights for which the record date is prior to the date such stock certificate is issued. Nothing herein shall confer upon a Participant any right to continue in the employ of the Participating Company Group or interfere in any way with any right of the Participating Company Group to terminate the Participant’s employment at any time. Nothing in this Plan affects the Participating Company Group’s right to (a) adjust, reclassify, reorganize, or otherwise change its capital or business structure; (b) merge, consolidate, dissolve, liquidate, sell, or transfer any part of its business or assets; or (c) act as considered necessary or appropriate.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Withdrawal</w:t>
      </w:r>
      <w:r>
        <w:rPr>
          <w:rFonts w:ascii="Arial" w:cs="Arial" w:eastAsia="Arial" w:hAnsi="Arial"/>
          <w:sz w:val="18"/>
          <w:szCs w:val="18"/>
          <w:b w:val="1"/>
          <w:bCs w:val="1"/>
          <w:color w:val="auto"/>
        </w:rPr>
        <w:t>.</w:t>
      </w:r>
    </w:p>
    <w:p>
      <w:pPr>
        <w:spacing w:after="0" w:line="239" w:lineRule="exact"/>
        <w:rPr>
          <w:sz w:val="20"/>
          <w:szCs w:val="20"/>
          <w:color w:val="auto"/>
        </w:rPr>
      </w:pPr>
    </w:p>
    <w:p>
      <w:pPr>
        <w:ind w:right="80" w:firstLine="1296"/>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Withdrawal From an Offering.</w:t>
      </w:r>
      <w:r>
        <w:rPr>
          <w:rFonts w:ascii="Arial" w:cs="Arial" w:eastAsia="Arial" w:hAnsi="Arial"/>
          <w:sz w:val="18"/>
          <w:szCs w:val="18"/>
          <w:color w:val="auto"/>
        </w:rPr>
        <w:t xml:space="preserve"> A Participant may withdraw from an Offering by signing and delivering to the Company’s payroll or other designated office a written notice of withdrawal on a form provided by the Company for such purpose. Such withdrawal may be elected at any time prior to the end of an Offering Period. Unless otherwise indicated, withdrawal from an Offering shall not result in a withdrawal from the Plan or any succeeding Offering therein. A Participant is prohibited from again participating in an Offering at any time following withdrawal from such Offering. The Company may impose, from time to time, a requirement that the notice of withdrawal be on file with the Company’s payroll office or other designated office for a reasonable period prior to the effectiveness of the Participant’s withdrawal from an Offering.</w:t>
      </w:r>
    </w:p>
    <w:p>
      <w:pPr>
        <w:spacing w:after="0" w:line="171" w:lineRule="exact"/>
        <w:rPr>
          <w:sz w:val="20"/>
          <w:szCs w:val="20"/>
          <w:color w:val="auto"/>
        </w:rPr>
      </w:pPr>
    </w:p>
    <w:p>
      <w:pPr>
        <w:ind w:right="140" w:firstLine="1296"/>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Withdrawal from the Plan.</w:t>
      </w:r>
      <w:r>
        <w:rPr>
          <w:rFonts w:ascii="Arial" w:cs="Arial" w:eastAsia="Arial" w:hAnsi="Arial"/>
          <w:sz w:val="18"/>
          <w:szCs w:val="18"/>
          <w:color w:val="auto"/>
        </w:rPr>
        <w:t xml:space="preserve"> A Participant may withdraw from the Plan by signing and delivering to the Company’s payroll office or other designated office a written notice of withdrawal on a form provided by the Company for such purpose. Withdrawals made after a Purchase Date shall not affect shares of Stock acquired by the Participant on such Purchase Date. In the event a Participant voluntarily elects to withdraw from the Plan, the Participant may not resume participation in the Plan during the same Offering Period, but may participate in any subsequent Offering under the Plan by again satisfying the requirements of Sections 5 and 7.1. The Company may impose, from time to time, a requirement that the notice of withdrawal be on file with the Company’s payroll office or other designated office for a reasonable period prior to the effectiveness of the Participant’s withdrawal from the Plan.</w:t>
      </w:r>
    </w:p>
    <w:p>
      <w:pPr>
        <w:spacing w:after="0" w:line="171" w:lineRule="exact"/>
        <w:rPr>
          <w:sz w:val="20"/>
          <w:szCs w:val="20"/>
          <w:color w:val="auto"/>
        </w:rPr>
      </w:pPr>
    </w:p>
    <w:p>
      <w:pPr>
        <w:ind w:right="40" w:firstLine="1296"/>
        <w:spacing w:after="0" w:line="24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Return of Payroll Deductions.</w:t>
      </w:r>
      <w:r>
        <w:rPr>
          <w:rFonts w:ascii="Arial" w:cs="Arial" w:eastAsia="Arial" w:hAnsi="Arial"/>
          <w:sz w:val="18"/>
          <w:szCs w:val="18"/>
          <w:color w:val="auto"/>
        </w:rPr>
        <w:t xml:space="preserve"> Upon a Participant’s withdrawal from an Offering or the Plan pursuant to Sections 13.1 or 13.2, respectively, the Participant’s accumulated payroll deductions which have not been applied toward the purchase of shares of Stock shall be returned as soon as practicable after the withdrawal, without the payment of any interest, to the Participant, and the Participant’s interest in the Offering or the Plan, as applicable, shall terminate. Such accumulated payroll deductions may not be applied to any other Offering under the Plan.</w:t>
      </w:r>
    </w:p>
    <w:p>
      <w:pPr>
        <w:spacing w:after="0" w:line="163" w:lineRule="exact"/>
        <w:rPr>
          <w:sz w:val="20"/>
          <w:szCs w:val="20"/>
          <w:color w:val="auto"/>
        </w:rPr>
      </w:pPr>
    </w:p>
    <w:p>
      <w:pPr>
        <w:ind w:firstLine="656"/>
        <w:spacing w:after="0"/>
        <w:tabs>
          <w:tab w:leader="none" w:pos="1298"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 or 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 Participant’s employment with a Participating Company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including retirement, disability or death or the failure of a Participant to remain an Eligible Employee, shall terminate the Participant’s participation in the Plan immediately. In such event, the payroll deductions credited to the Participant’s Plan account since the last Purchase Date shall, as soon as practicable, be returned to the Participant or, in the case of the Participant’s death, to the Participant’s legal representative, and all of the Participant’s rights under the Plan shall terminate. Interest shall not be paid on sums returned to a Participant pursuant to this Section 14. A Participant whose participation has been so terminated may again become eligible to participate in the Plan by again satisfying the requirements of Sections 5 and 7.1.</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Control</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Definitions.</w:t>
      </w:r>
    </w:p>
    <w:p>
      <w:pPr>
        <w:spacing w:after="0" w:line="198" w:lineRule="exact"/>
        <w:rPr>
          <w:rFonts w:ascii="Arial" w:cs="Arial" w:eastAsia="Arial" w:hAnsi="Arial"/>
          <w:sz w:val="18"/>
          <w:szCs w:val="18"/>
          <w:color w:val="auto"/>
        </w:rPr>
      </w:pPr>
    </w:p>
    <w:p>
      <w:pPr>
        <w:ind w:right="100" w:firstLine="1304"/>
        <w:spacing w:after="0" w:line="247" w:lineRule="auto"/>
        <w:tabs>
          <w:tab w:leader="none" w:pos="156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 “Ownership Change Event”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160" w:lineRule="exact"/>
        <w:rPr>
          <w:rFonts w:ascii="Arial" w:cs="Arial" w:eastAsia="Arial" w:hAnsi="Arial"/>
          <w:sz w:val="18"/>
          <w:szCs w:val="18"/>
          <w:color w:val="auto"/>
        </w:rPr>
      </w:pPr>
    </w:p>
    <w:p>
      <w:pPr>
        <w:ind w:right="60" w:firstLine="1304"/>
        <w:spacing w:after="0" w:line="239" w:lineRule="auto"/>
        <w:tabs>
          <w:tab w:leader="none" w:pos="156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“Transfer of Control” shall mean an Ownership Change Event or a series of related Ownership Change Events (collectively, the “Transaction”) wherein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stock of the Company or the corporation or corporations to which the assets of the Company were transferred (the “Transferee Corporation(s)”), as the case may be. For purposes of the preceding sentence, indirect beneficial ownership shall include, without limitation, an interest resulting from ownership of the voting stock of one or more corporations which, as a result of the Transaction, own the Company or the Transferee Corporation(s), as the case may be, either directly or through one or more subsidiary corporations. The Board shall have the right to determine whether multiple sales or exchanges of the voting stock of the Company or multiple Ownership Change Events are related, and its determination shall be final, binding and conclusive.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Effect of Transfer of Control on Purchase Rights.</w:t>
      </w:r>
      <w:r>
        <w:rPr>
          <w:rFonts w:ascii="Arial" w:cs="Arial" w:eastAsia="Arial" w:hAnsi="Arial"/>
          <w:sz w:val="18"/>
          <w:szCs w:val="18"/>
          <w:color w:val="auto"/>
        </w:rPr>
        <w:t xml:space="preserve"> In the event of a Transfer of Control, the surviving, continuing, successor, or purchasing corporation or parent corporation thereof, as the case may be (the “Acquiring Corporation”), may assume the Company’s rights and obligations under the Plan or substitute substantially equivalent Purchase Rights for stock of the Acquiring Corporation. If the Acquiring Corporation elects not to assume or substitute for the outstanding Purchase Rights, the Board shall, notwithstanding any other provision herein to the contrary, adjust the Purchase Date of the then current Offering Period to a date immediately before the date of the Transfer of Control, but shall not adjust the number of shares of Stock subject to any Purchase Right. All Purchase Rights which are neither assumed or substituted for by the Acquiring Corporation in connection with the Transfer of Control nor exercised as of the date of the Transfer of Control shall terminate and cease to be outstanding effective as of the date of the Transfer of Control. Notwithstanding the foregoing, if the corporation the stock of which is subject to the outstanding Purchase Rights immediately prior to an Ownership Change Event described in Section 15.1(a)(i) constituting a Transfer of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Purchase Rights shall not terminate unless the Board otherwise provides in its sole discretion.</w:t>
      </w:r>
    </w:p>
    <w:p>
      <w:pPr>
        <w:spacing w:after="0" w:line="176" w:lineRule="exact"/>
        <w:rPr>
          <w:sz w:val="20"/>
          <w:szCs w:val="20"/>
          <w:color w:val="auto"/>
        </w:rPr>
      </w:pPr>
    </w:p>
    <w:p>
      <w:pPr>
        <w:ind w:right="40" w:firstLine="656"/>
        <w:spacing w:after="0" w:line="242" w:lineRule="auto"/>
        <w:tabs>
          <w:tab w:leader="none" w:pos="1298"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Purchase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 Purchase Right may not be transferred in any manner otherwise than by will or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descent and distribution and shall be exercisable during the lifetime of the Participant only by the Participant. Any attempt to pledge, assign or transfer such Purchase Rights or accumulated payroll deductions shall be treated as an election to withdraw from the Plan. The Company, in its absolute discretion, may impose such restrictions on the transferability of the shares purchasable upon the exercise of a Purchase Right as it deems appropriate and any such restriction shall be set forth in the respective subscription agreement and may be referred to on the certificates evidencing such shares.</w:t>
      </w:r>
    </w:p>
    <w:p>
      <w:pPr>
        <w:spacing w:after="0" w:line="165" w:lineRule="exact"/>
        <w:rPr>
          <w:rFonts w:ascii="Arial" w:cs="Arial" w:eastAsia="Arial" w:hAnsi="Arial"/>
          <w:sz w:val="18"/>
          <w:szCs w:val="18"/>
          <w:color w:val="auto"/>
        </w:rPr>
      </w:pPr>
    </w:p>
    <w:p>
      <w:pPr>
        <w:ind w:firstLine="656"/>
        <w:spacing w:after="0" w:line="244" w:lineRule="auto"/>
        <w:tabs>
          <w:tab w:leader="none" w:pos="1298"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Reports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who exercised all or part of his or her Purchase Right for an Offering Period shall receive, as soon</w:t>
      </w:r>
      <w:r>
        <w:rPr>
          <w:rFonts w:ascii="Arial" w:cs="Arial" w:eastAsia="Arial" w:hAnsi="Arial"/>
          <w:sz w:val="18"/>
          <w:szCs w:val="18"/>
          <w:b w:val="1"/>
          <w:bCs w:val="1"/>
          <w:color w:val="auto"/>
        </w:rPr>
        <w:t xml:space="preserve"> </w:t>
      </w:r>
      <w:r>
        <w:rPr>
          <w:rFonts w:ascii="Arial" w:cs="Arial" w:eastAsia="Arial" w:hAnsi="Arial"/>
          <w:sz w:val="18"/>
          <w:szCs w:val="18"/>
          <w:color w:val="auto"/>
        </w:rPr>
        <w:t>as practicable after the Purchase Date, a report of such Participant’s Plan account setting forth the total payroll deductions accumulated, the number of shares of Stock purchased, the Purchase Price for such shares, the date of purchase and the remaining cash balance to be refunded or retained in the Participant’s Plan account pursuant to Section 11.2, if any. Each Participant shall be provided information concerning the Company equivalent to that information generally made available to the Company’s common stockholders.</w:t>
      </w:r>
    </w:p>
    <w:p>
      <w:pPr>
        <w:spacing w:after="0" w:line="162" w:lineRule="exact"/>
        <w:rPr>
          <w:rFonts w:ascii="Arial" w:cs="Arial" w:eastAsia="Arial" w:hAnsi="Arial"/>
          <w:sz w:val="18"/>
          <w:szCs w:val="18"/>
          <w:color w:val="auto"/>
        </w:rPr>
      </w:pPr>
    </w:p>
    <w:p>
      <w:pPr>
        <w:ind w:right="80" w:firstLine="656"/>
        <w:spacing w:after="0" w:line="236" w:lineRule="auto"/>
        <w:tabs>
          <w:tab w:leader="none" w:pos="1298"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 on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under the Plan shall be subject to compliance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requirements of foreign, federal or state law with respect to such securities. A Purchase Right may not be exercised if the issuance of shares upon such exercise would constitute a violation of any applicable foreign, federal or state securities laws or other law or regulations. In addition, no Purchase Right may be exercised unless (a) a registration statement under the Securities Act of 1933, as amended,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said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w:t>
      </w:r>
    </w:p>
    <w:p>
      <w:pPr>
        <w:spacing w:after="0" w:line="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Company.</w:t>
      </w:r>
    </w:p>
    <w:p>
      <w:pPr>
        <w:spacing w:after="0" w:line="180" w:lineRule="exact"/>
        <w:rPr>
          <w:rFonts w:ascii="Arial" w:cs="Arial" w:eastAsia="Arial" w:hAnsi="Arial"/>
          <w:sz w:val="18"/>
          <w:szCs w:val="18"/>
          <w:color w:val="auto"/>
        </w:rPr>
      </w:pPr>
    </w:p>
    <w:p>
      <w:pPr>
        <w:ind w:right="140" w:firstLine="656"/>
        <w:spacing w:after="0" w:line="242" w:lineRule="auto"/>
        <w:tabs>
          <w:tab w:leader="none" w:pos="1298"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at any time place legends or other identifying symbols referencing any applicable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or state 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spacing w:after="0" w:line="165" w:lineRule="exact"/>
        <w:rPr>
          <w:sz w:val="20"/>
          <w:szCs w:val="20"/>
          <w:color w:val="auto"/>
        </w:rPr>
      </w:pPr>
    </w:p>
    <w:p>
      <w:pPr>
        <w:ind w:right="100" w:firstLine="1296"/>
        <w:spacing w:after="0" w:line="242" w:lineRule="auto"/>
        <w:rPr>
          <w:sz w:val="20"/>
          <w:szCs w:val="20"/>
          <w:color w:val="auto"/>
        </w:rPr>
      </w:pPr>
      <w:r>
        <w:rPr>
          <w:rFonts w:ascii="Arial" w:cs="Arial" w:eastAsia="Arial" w:hAnsi="Arial"/>
          <w:sz w:val="18"/>
          <w:szCs w:val="18"/>
          <w:color w:val="auto"/>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 HEREOF. THE REGISTERED HOLDER SHALL HOLD ALL SHARES PURCHASED UNDER THE PLAN IN THE REGISTERED HOLDER’S NAME (AND NOT IN THE NAME OF ANY NOMINEE).”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140" w:firstLine="656"/>
        <w:spacing w:after="0"/>
        <w:tabs>
          <w:tab w:leader="none" w:pos="1298" w:val="left"/>
        </w:tabs>
        <w:numPr>
          <w:ilvl w:val="0"/>
          <w:numId w:val="13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Notification of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require the Participant to give the Company prompt notice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of shares acquired by exercise of a Purchase Right within two years from the date of granting such Purchase Right or one year from the date of exercise of such Purchase Right. The Company may require that until such time as a Participant disposes of shares acquired upon exercise of a Purchase Right, the Participant shall hold all such shares in the Participant’s name (and not in the name of any nominee) until the lapse of the time periods with respect to such Purchase Right referred to in the preceding sentence. The Company may direct that the certificates evidencing shares acquired by exercise of a Purchase Right refer to such requirement to give prompt notice of disposition.</w:t>
      </w:r>
    </w:p>
    <w:p>
      <w:pPr>
        <w:spacing w:after="0" w:line="171" w:lineRule="exact"/>
        <w:rPr>
          <w:rFonts w:ascii="Arial" w:cs="Arial" w:eastAsia="Arial" w:hAnsi="Arial"/>
          <w:sz w:val="18"/>
          <w:szCs w:val="18"/>
          <w:color w:val="auto"/>
        </w:rPr>
      </w:pPr>
    </w:p>
    <w:p>
      <w:pPr>
        <w:ind w:firstLine="656"/>
        <w:spacing w:after="0" w:line="253" w:lineRule="auto"/>
        <w:tabs>
          <w:tab w:leader="none" w:pos="1298" w:val="left"/>
        </w:tabs>
        <w:numPr>
          <w:ilvl w:val="0"/>
          <w:numId w:val="136"/>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or Termination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shall terminate on the earliest to occur of (i) the date on which all</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shares are issued; or (ii) the date on which the outstanding Purchase Rights are exercised in connection with a Transfer of Control. The Board may at any time amend or terminate the Plan, except that (a) such termination shall not affect Purchase Rights previously granted under the Plan, except as permitted under the Plan, and (b) no amendment may adversely affect a Purchase Right previously granted under the Plan (except to the extent permitted by the Plan or as may be necessary to qualify the Plan as an employee stock purchase plan pursuant to Section 423 of the Code or to obtain qualification or registration of the shares of Stock under applicable foreign, federal or state securities laws). In addition, an amendment to the Plan must be approved by the stockholders of the Company within twelve (12) months of the adoption of such amendment if such amendment would (a) authorize the sale of more shares than are authorized for issuance under the Plan; or (b) change the definition of the corporations that may be designated by the Board as Participating Companies; or (c) materially modify the eligibility requirements of the Plan except as required by changes in the Code; or (d) permit payroll deductions with respect to the Plan in excess of 10% of the Participant’s compensation; or (e) materially increase the benefits which may accrue under the Plan.</w:t>
      </w:r>
    </w:p>
    <w:p>
      <w:pPr>
        <w:spacing w:after="0" w:line="163" w:lineRule="exact"/>
        <w:rPr>
          <w:rFonts w:ascii="Arial" w:cs="Arial" w:eastAsia="Arial" w:hAnsi="Arial"/>
          <w:sz w:val="17"/>
          <w:szCs w:val="17"/>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39" w:lineRule="exact"/>
        <w:rPr>
          <w:sz w:val="20"/>
          <w:szCs w:val="20"/>
          <w:color w:val="auto"/>
        </w:rPr>
      </w:pPr>
    </w:p>
    <w:p>
      <w:pPr>
        <w:ind w:right="120" w:firstLine="1296"/>
        <w:spacing w:after="0" w:line="242"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Beneficiary Designation.</w:t>
      </w:r>
      <w:r>
        <w:rPr>
          <w:rFonts w:ascii="Arial" w:cs="Arial" w:eastAsia="Arial" w:hAnsi="Arial"/>
          <w:sz w:val="18"/>
          <w:szCs w:val="18"/>
          <w:color w:val="auto"/>
        </w:rPr>
        <w:t xml:space="preserve"> A Participant may designate one or more beneficiaries who may exercise the Participant’s rights under the Plan upon the Participant’s death. Any beneficiary designation shall be in the written form the Company requires, revoke all prior designations by the same Participant, and be effective when filed with the Company during the Participant’s lifetime. A married Participant who designates a beneficiary other than a spouse may be required by applicable laws to provide the spouse’s consent. If a Participant dies without a properly designated living beneficiary, the Company shall pay any remaining unpaid benefits under the Plan in accordance with the applicable laws of descent and distribution.</w:t>
      </w:r>
    </w:p>
    <w:p>
      <w:pPr>
        <w:spacing w:after="0" w:line="165" w:lineRule="exact"/>
        <w:rPr>
          <w:sz w:val="20"/>
          <w:szCs w:val="20"/>
          <w:color w:val="auto"/>
        </w:rPr>
      </w:pPr>
    </w:p>
    <w:p>
      <w:pPr>
        <w:ind w:right="320" w:firstLine="1296"/>
        <w:spacing w:after="0" w:line="253"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To the extent any term of the Plan is held wholly or partially invalid, illegal, or unenforceable, that term shall be considered modified to the extent necessary to render the remaining portion of the term and any other term valid, legal, and enforceable.</w:t>
      </w:r>
    </w:p>
    <w:p>
      <w:pPr>
        <w:spacing w:after="0" w:line="155" w:lineRule="exact"/>
        <w:rPr>
          <w:sz w:val="20"/>
          <w:szCs w:val="20"/>
          <w:color w:val="auto"/>
        </w:rPr>
      </w:pPr>
    </w:p>
    <w:p>
      <w:pPr>
        <w:ind w:right="240" w:firstLine="1296"/>
        <w:spacing w:after="0" w:line="271"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Choice of Law.</w:t>
      </w:r>
      <w:r>
        <w:rPr>
          <w:rFonts w:ascii="Arial" w:cs="Arial" w:eastAsia="Arial" w:hAnsi="Arial"/>
          <w:sz w:val="18"/>
          <w:szCs w:val="18"/>
          <w:color w:val="auto"/>
        </w:rPr>
        <w:t xml:space="preserve"> The Plan is governed by the laws of the State of California, without regard to its conflict-of-law rules, except to the extent U.S. federal law applies.</w:t>
      </w:r>
    </w:p>
    <w:p>
      <w:pPr>
        <w:spacing w:after="0" w:line="14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92075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85090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85090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1)"/>
      <w:numFmt w:val="decimal"/>
      <w:start w:val="1"/>
    </w:lvl>
  </w:abstractNum>
  <w:abstractNum w:abstractNumId="6">
    <w:nsid w:val="6B94764"/>
    <w:multiLevelType w:val="hybridMultilevel"/>
    <w:lvl w:ilvl="0">
      <w:lvlJc w:val="left"/>
      <w:lvlText w:val="(%1)"/>
      <w:numFmt w:val="decimal"/>
      <w:start w:val="1"/>
    </w:lvl>
  </w:abstractNum>
  <w:abstractNum w:abstractNumId="7">
    <w:nsid w:val="42C296BD"/>
    <w:multiLevelType w:val="hybridMultilevel"/>
    <w:lvl w:ilvl="0">
      <w:lvlJc w:val="left"/>
      <w:lvlText w:val="(%1)"/>
      <w:numFmt w:val="decimal"/>
      <w:start w:val="1"/>
    </w:lvl>
  </w:abstractNum>
  <w:abstractNum w:abstractNumId="8">
    <w:nsid w:val="168E121F"/>
    <w:multiLevelType w:val="hybridMultilevel"/>
    <w:lvl w:ilvl="0">
      <w:lvlJc w:val="left"/>
      <w:lvlText w:val="(%1)"/>
      <w:numFmt w:val="decimal"/>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1)"/>
      <w:numFmt w:val="decimal"/>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1)"/>
      <w:numFmt w:val="decimal"/>
      <w:start w:val="1"/>
    </w:lvl>
  </w:abstractNum>
  <w:abstractNum w:abstractNumId="15">
    <w:nsid w:val="613EFDC5"/>
    <w:multiLevelType w:val="hybridMultilevel"/>
    <w:lvl w:ilvl="0">
      <w:lvlJc w:val="left"/>
      <w:lvlText w:val="(%1)"/>
      <w:numFmt w:val="decimal"/>
      <w:start w:val="6"/>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1)"/>
      <w:numFmt w:val="decimal"/>
      <w:start w:val="1"/>
    </w:lvl>
  </w:abstractNum>
  <w:abstractNum w:abstractNumId="18">
    <w:nsid w:val="42963E5A"/>
    <w:multiLevelType w:val="hybridMultilevel"/>
    <w:lvl w:ilvl="0">
      <w:lvlJc w:val="left"/>
      <w:lvlText w:val="(%1)"/>
      <w:numFmt w:val="decimal"/>
      <w:start w:val="1"/>
    </w:lvl>
  </w:abstractNum>
  <w:abstractNum w:abstractNumId="19">
    <w:nsid w:val="A0382C5"/>
    <w:multiLevelType w:val="hybridMultilevel"/>
    <w:lvl w:ilvl="0">
      <w:lvlJc w:val="left"/>
      <w:lvlText w:val="(%1)"/>
      <w:numFmt w:val="decimal"/>
      <w:start w:val="2"/>
    </w:lvl>
  </w:abstractNum>
  <w:abstractNum w:abstractNumId="20">
    <w:nsid w:val="8F2B15E"/>
    <w:multiLevelType w:val="hybridMultilevel"/>
    <w:lvl w:ilvl="0">
      <w:lvlJc w:val="left"/>
      <w:lvlText w:val="(%1)"/>
      <w:numFmt w:val="decimal"/>
      <w:start w:val="1"/>
    </w:lvl>
  </w:abstractNum>
  <w:abstractNum w:abstractNumId="21">
    <w:nsid w:val="1A32234B"/>
    <w:multiLevelType w:val="hybridMultilevel"/>
    <w:lvl w:ilvl="0">
      <w:lvlJc w:val="left"/>
      <w:lvlText w:val="(%1)"/>
      <w:numFmt w:val="decimal"/>
    </w:lvl>
    <w:lvl w:ilvl="1">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lvl w:ilvl="1">
      <w:lvlJc w:val="left"/>
      <w:lvlText w:val="-"/>
      <w:numFmt w:val="bullet"/>
      <w:start w:val="1"/>
    </w:lvl>
  </w:abstractNum>
  <w:abstractNum w:abstractNumId="26">
    <w:nsid w:val="6A5EE64"/>
    <w:multiLevelType w:val="hybridMultilevel"/>
    <w:lvl w:ilvl="0">
      <w:lvlJc w:val="left"/>
      <w:lvlText w:val="(%1)"/>
      <w:numFmt w:val="decimal"/>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lvl w:ilvl="1">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1)"/>
      <w:numFmt w:val="decimal"/>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1)"/>
      <w:numFmt w:val="decimal"/>
      <w:start w:val="1"/>
    </w:lvl>
  </w:abstractNum>
  <w:abstractNum w:abstractNumId="34">
    <w:nsid w:val="6F6DD9AC"/>
    <w:multiLevelType w:val="hybridMultilevel"/>
    <w:lvl w:ilvl="0">
      <w:lvlJc w:val="left"/>
      <w:lvlText w:val="(%1)"/>
      <w:numFmt w:val="decimal"/>
      <w:start w:val="1"/>
    </w:lvl>
  </w:abstractNum>
  <w:abstractNum w:abstractNumId="35">
    <w:nsid w:val="94211F2"/>
    <w:multiLevelType w:val="hybridMultilevel"/>
    <w:lvl w:ilvl="0">
      <w:lvlJc w:val="left"/>
      <w:lvlText w:val="(%1)"/>
      <w:numFmt w:val="decimal"/>
      <w:start w:val="1"/>
    </w:lvl>
  </w:abstractNum>
  <w:abstractNum w:abstractNumId="36">
    <w:nsid w:val="885E1B"/>
    <w:multiLevelType w:val="hybridMultilevel"/>
    <w:lvl w:ilvl="0">
      <w:lvlJc w:val="left"/>
      <w:lvlText w:val="(%1)"/>
      <w:numFmt w:val="decimal"/>
      <w:start w:val="1"/>
    </w:lvl>
  </w:abstractNum>
  <w:abstractNum w:abstractNumId="37">
    <w:nsid w:val="76272110"/>
    <w:multiLevelType w:val="hybridMultilevel"/>
    <w:lvl w:ilvl="0">
      <w:lvlJc w:val="left"/>
      <w:lvlText w:val="(%1)"/>
      <w:numFmt w:val="decimal"/>
      <w:start w:val="1"/>
    </w:lvl>
    <w:lvl w:ilvl="1">
      <w:lvlJc w:val="left"/>
      <w:lvlText w:val="■"/>
      <w:numFmt w:val="bullet"/>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1)"/>
      <w:numFmt w:val="decimal"/>
      <w:start w:val="1"/>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1)"/>
      <w:numFmt w:val="decimal"/>
      <w:start w:val="1"/>
    </w:lvl>
  </w:abstractNum>
  <w:abstractNum w:abstractNumId="44">
    <w:nsid w:val="2DF6D648"/>
    <w:multiLevelType w:val="hybridMultilevel"/>
    <w:lvl w:ilvl="0">
      <w:lvlJc w:val="left"/>
      <w:lvlText w:val="(%1)"/>
      <w:numFmt w:val="decimal"/>
      <w:start w:val="1"/>
    </w:lvl>
  </w:abstractNum>
  <w:abstractNum w:abstractNumId="45">
    <w:nsid w:val="46B7D447"/>
    <w:multiLevelType w:val="hybridMultilevel"/>
    <w:lvl w:ilvl="0">
      <w:lvlJc w:val="left"/>
      <w:lvlText w:val="(%1)"/>
      <w:numFmt w:val="decimal"/>
      <w:start w:val="1"/>
    </w:lvl>
  </w:abstractNum>
  <w:abstractNum w:abstractNumId="46">
    <w:nsid w:val="4A2AC315"/>
    <w:multiLevelType w:val="hybridMultilevel"/>
    <w:lvl w:ilvl="0">
      <w:lvlJc w:val="left"/>
      <w:lvlText w:val="(%1)"/>
      <w:numFmt w:val="decimal"/>
      <w:start w:val="1"/>
    </w:lvl>
  </w:abstractNum>
  <w:abstractNum w:abstractNumId="47">
    <w:nsid w:val="39EE015C"/>
    <w:multiLevelType w:val="hybridMultilevel"/>
    <w:lvl w:ilvl="0">
      <w:lvlJc w:val="left"/>
      <w:lvlText w:val="(%1)"/>
      <w:numFmt w:val="upperLetter"/>
      <w:start w:val="1"/>
    </w:lvl>
  </w:abstractNum>
  <w:abstractNum w:abstractNumId="48">
    <w:nsid w:val="57FC4FBB"/>
    <w:multiLevelType w:val="hybridMultilevel"/>
    <w:lvl w:ilvl="0">
      <w:lvlJc w:val="left"/>
      <w:lvlText w:val="(%1)"/>
      <w:numFmt w:val="decimal"/>
      <w:start w:val="1"/>
    </w:lvl>
  </w:abstractNum>
  <w:abstractNum w:abstractNumId="49">
    <w:nsid w:val="CC1016F"/>
    <w:multiLevelType w:val="hybridMultilevel"/>
    <w:lvl w:ilvl="0">
      <w:lvlJc w:val="left"/>
      <w:lvlText w:val="(%1)"/>
      <w:numFmt w:val="lowerRoman"/>
      <w:start w:val="1"/>
    </w:lvl>
  </w:abstractNum>
  <w:abstractNum w:abstractNumId="50">
    <w:nsid w:val="43F18422"/>
    <w:multiLevelType w:val="hybridMultilevel"/>
    <w:lvl w:ilvl="0">
      <w:lvlJc w:val="left"/>
      <w:lvlText w:val="(%1)"/>
      <w:numFmt w:val="decimal"/>
      <w:start w:val="1"/>
    </w:lvl>
  </w:abstractNum>
  <w:abstractNum w:abstractNumId="51">
    <w:nsid w:val="60EF0119"/>
    <w:multiLevelType w:val="hybridMultilevel"/>
    <w:lvl w:ilvl="0">
      <w:lvlJc w:val="left"/>
      <w:lvlText w:val="(%1)"/>
      <w:numFmt w:val="decimal"/>
      <w:start w:val="1"/>
    </w:lvl>
  </w:abstractNum>
  <w:abstractNum w:abstractNumId="52">
    <w:nsid w:val="26F324BA"/>
    <w:multiLevelType w:val="hybridMultilevel"/>
    <w:lvl w:ilvl="0">
      <w:lvlJc w:val="left"/>
      <w:lvlText w:val="(%1)"/>
      <w:numFmt w:val="decimal"/>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1)"/>
      <w:numFmt w:val="decimal"/>
      <w:start w:val="1"/>
    </w:lvl>
  </w:abstractNum>
  <w:abstractNum w:abstractNumId="57">
    <w:nsid w:val="50801EE1"/>
    <w:multiLevelType w:val="hybridMultilevel"/>
    <w:lvl w:ilvl="0">
      <w:lvlJc w:val="left"/>
      <w:lvlText w:val="(%1)"/>
      <w:numFmt w:val="decimal"/>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1)"/>
      <w:numFmt w:val="lowerRoman"/>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1."/>
      <w:numFmt w:val="decimal"/>
      <w:start w:val="1"/>
    </w:lvl>
  </w:abstractNum>
  <w:abstractNum w:abstractNumId="63">
    <w:nsid w:val="6A5F7029"/>
    <w:multiLevelType w:val="hybridMultilevel"/>
    <w:lvl w:ilvl="0">
      <w:lvlJc w:val="left"/>
      <w:lvlText w:val="(%1)"/>
      <w:numFmt w:val="lowerLetter"/>
      <w:start w:val="1"/>
    </w:lvl>
  </w:abstractNum>
  <w:abstractNum w:abstractNumId="64">
    <w:nsid w:val="7D5E18F8"/>
    <w:multiLevelType w:val="hybridMultilevel"/>
    <w:lvl w:ilvl="0">
      <w:lvlJc w:val="left"/>
      <w:lvlText w:val="%1."/>
      <w:numFmt w:val="decimal"/>
      <w:start w:val="2"/>
    </w:lvl>
  </w:abstractNum>
  <w:abstractNum w:abstractNumId="65">
    <w:nsid w:val="5F3534A4"/>
    <w:multiLevelType w:val="hybridMultilevel"/>
    <w:lvl w:ilvl="0">
      <w:lvlJc w:val="left"/>
      <w:lvlText w:val="(%1)"/>
      <w:numFmt w:val="lowerLetter"/>
      <w:start w:val="1"/>
    </w:lvl>
  </w:abstractNum>
  <w:abstractNum w:abstractNumId="66">
    <w:nsid w:val="73A1821B"/>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67">
    <w:nsid w:val="7DE67713"/>
    <w:multiLevelType w:val="hybridMultilevel"/>
    <w:lvl w:ilvl="0">
      <w:lvlJc w:val="left"/>
      <w:lvlText w:val="(%1)"/>
      <w:numFmt w:val="lowerLetter"/>
      <w:start w:val="35"/>
    </w:lvl>
    <w:lvl w:ilvl="1">
      <w:lvlJc w:val="left"/>
      <w:lvlText w:val="(%2)"/>
      <w:numFmt w:val="lowerLetter"/>
      <w:start w:val="8"/>
    </w:lvl>
    <w:lvl w:ilvl="2">
      <w:lvlJc w:val="left"/>
      <w:lvlText w:val="(%3)"/>
      <w:numFmt w:val="lowerRoman"/>
      <w:start w:val="1"/>
    </w:lvl>
  </w:abstractNum>
  <w:abstractNum w:abstractNumId="68">
    <w:nsid w:val="555C55B5"/>
    <w:multiLevelType w:val="hybridMultilevel"/>
    <w:lvl w:ilvl="0">
      <w:lvlJc w:val="left"/>
      <w:lvlText w:val="(%1)"/>
      <w:numFmt w:val="lowerRoman"/>
      <w:start w:val="3"/>
    </w:lvl>
  </w:abstractNum>
  <w:abstractNum w:abstractNumId="69">
    <w:nsid w:val="3FA62ACA"/>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70">
    <w:nsid w:val="14FCE74E"/>
    <w:multiLevelType w:val="hybridMultilevel"/>
    <w:lvl w:ilvl="0">
      <w:lvlJc w:val="left"/>
      <w:lvlText w:val="(%1)"/>
      <w:numFmt w:val="decimal"/>
      <w:start w:val="3"/>
    </w:lvl>
    <w:lvl w:ilvl="1">
      <w:lvlJc w:val="left"/>
      <w:lvlText w:val="(%2)"/>
      <w:numFmt w:val="lowerLetter"/>
      <w:start w:val="15"/>
    </w:lvl>
    <w:lvl w:ilvl="2">
      <w:lvlJc w:val="left"/>
      <w:lvlText w:val="(%3)"/>
      <w:numFmt w:val="lowerLetter"/>
      <w:start w:val="9"/>
    </w:lvl>
  </w:abstractNum>
  <w:abstractNum w:abstractNumId="71">
    <w:nsid w:val="6A3DD3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2">
    <w:nsid w:val="71C91298"/>
    <w:multiLevelType w:val="hybridMultilevel"/>
    <w:lvl w:ilvl="0">
      <w:lvlJc w:val="left"/>
      <w:lvlText w:val="(%1)"/>
      <w:numFmt w:val="decimal"/>
      <w:start w:val="30"/>
    </w:lvl>
    <w:lvl w:ilvl="1">
      <w:lvlJc w:val="left"/>
      <w:lvlText w:val="(%2)"/>
      <w:numFmt w:val="lowerLetter"/>
      <w:start w:val="19"/>
    </w:lvl>
    <w:lvl w:ilvl="2">
      <w:lvlJc w:val="left"/>
      <w:lvlText w:val="(%3)"/>
      <w:numFmt w:val="lowerLetter"/>
      <w:start w:val="61"/>
    </w:lvl>
  </w:abstractNum>
  <w:abstractNum w:abstractNumId="73">
    <w:nsid w:val="9DAF632"/>
    <w:multiLevelType w:val="hybridMultilevel"/>
    <w:lvl w:ilvl="0">
      <w:lvlJc w:val="left"/>
      <w:lvlText w:val="(%1)"/>
      <w:numFmt w:val="lowerLetter"/>
      <w:start w:val="27"/>
    </w:lvl>
  </w:abstractNum>
  <w:abstractNum w:abstractNumId="74">
    <w:nsid w:val="53299938"/>
    <w:multiLevelType w:val="hybridMultilevel"/>
    <w:lvl w:ilvl="0">
      <w:lvlJc w:val="left"/>
      <w:lvlText w:val="(%1)"/>
      <w:numFmt w:val="lowerLetter"/>
      <w:start w:val="32"/>
    </w:lvl>
  </w:abstractNum>
  <w:abstractNum w:abstractNumId="75">
    <w:nsid w:val="1FBFE8E0"/>
    <w:multiLevelType w:val="hybridMultilevel"/>
    <w:lvl w:ilvl="0">
      <w:lvlJc w:val="left"/>
      <w:lvlText w:val="(%1)"/>
      <w:numFmt w:val="lowerLetter"/>
      <w:start w:val="50"/>
    </w:lvl>
  </w:abstractNum>
  <w:abstractNum w:abstractNumId="76">
    <w:nsid w:val="5092CA79"/>
    <w:multiLevelType w:val="hybridMultilevel"/>
    <w:lvl w:ilvl="0">
      <w:lvlJc w:val="left"/>
      <w:lvlText w:val="(%1)"/>
      <w:numFmt w:val="lowerLetter"/>
      <w:start w:val="53"/>
    </w:lvl>
  </w:abstractNum>
  <w:abstractNum w:abstractNumId="77">
    <w:nsid w:val="1D545C4D"/>
    <w:multiLevelType w:val="hybridMultilevel"/>
    <w:lvl w:ilvl="0">
      <w:lvlJc w:val="left"/>
      <w:lvlText w:val="%1."/>
      <w:numFmt w:val="decimal"/>
      <w:start w:val="3"/>
    </w:lvl>
  </w:abstractNum>
  <w:abstractNum w:abstractNumId="78">
    <w:nsid w:val="59ADEA3D"/>
    <w:multiLevelType w:val="hybridMultilevel"/>
    <w:lvl w:ilvl="0">
      <w:lvlJc w:val="left"/>
      <w:lvlText w:val="(%1)"/>
      <w:numFmt w:val="lowerLetter"/>
      <w:start w:val="1"/>
    </w:lvl>
  </w:abstractNum>
  <w:abstractNum w:abstractNumId="79">
    <w:nsid w:val="288F1A34"/>
    <w:multiLevelType w:val="hybridMultilevel"/>
    <w:lvl w:ilvl="0">
      <w:lvlJc w:val="left"/>
      <w:lvlText w:val="(%1)"/>
      <w:numFmt w:val="lowerLetter"/>
      <w:start w:val="7"/>
    </w:lvl>
  </w:abstractNum>
  <w:abstractNum w:abstractNumId="80">
    <w:nsid w:val="2A155DBC"/>
    <w:multiLevelType w:val="hybridMultilevel"/>
    <w:lvl w:ilvl="0">
      <w:lvlJc w:val="left"/>
      <w:lvlText w:val="%1."/>
      <w:numFmt w:val="decimal"/>
      <w:start w:val="4"/>
    </w:lvl>
  </w:abstractNum>
  <w:abstractNum w:abstractNumId="81">
    <w:nsid w:val="1D9F6E5F"/>
    <w:multiLevelType w:val="hybridMultilevel"/>
    <w:lvl w:ilvl="0">
      <w:lvlJc w:val="left"/>
      <w:lvlText w:val="%1."/>
      <w:numFmt w:val="decimal"/>
      <w:start w:val="5"/>
    </w:lvl>
  </w:abstractNum>
  <w:abstractNum w:abstractNumId="82">
    <w:nsid w:val="97E1B4E"/>
    <w:multiLevelType w:val="hybridMultilevel"/>
    <w:lvl w:ilvl="0">
      <w:lvlJc w:val="left"/>
      <w:lvlText w:val="(%1)"/>
      <w:numFmt w:val="lowerLetter"/>
      <w:start w:val="1"/>
    </w:lvl>
  </w:abstractNum>
  <w:abstractNum w:abstractNumId="83">
    <w:nsid w:val="51088277"/>
    <w:multiLevelType w:val="hybridMultilevel"/>
    <w:lvl w:ilvl="0">
      <w:lvlJc w:val="left"/>
      <w:lvlText w:val="%1."/>
      <w:numFmt w:val="decimal"/>
      <w:start w:val="6"/>
    </w:lvl>
  </w:abstractNum>
  <w:abstractNum w:abstractNumId="84">
    <w:nsid w:val="1CA0C5FA"/>
    <w:multiLevelType w:val="hybridMultilevel"/>
    <w:lvl w:ilvl="0">
      <w:lvlJc w:val="left"/>
      <w:lvlText w:val="(%1)"/>
      <w:numFmt w:val="lowerLetter"/>
      <w:start w:val="1"/>
    </w:lvl>
    <w:lvl w:ilvl="1">
      <w:lvlJc w:val="left"/>
      <w:lvlText w:val="(%2)"/>
      <w:numFmt w:val="lowerRoman"/>
      <w:start w:val="1"/>
    </w:lvl>
  </w:abstractNum>
  <w:abstractNum w:abstractNumId="85">
    <w:nsid w:val="53584BCB"/>
    <w:multiLevelType w:val="hybridMultilevel"/>
    <w:lvl w:ilvl="0">
      <w:lvlJc w:val="left"/>
      <w:lvlText w:val="(%1)"/>
      <w:numFmt w:val="lowerLetter"/>
      <w:start w:val="1"/>
    </w:lvl>
    <w:lvl w:ilvl="1">
      <w:lvlJc w:val="left"/>
      <w:lvlText w:val="(%2)"/>
      <w:numFmt w:val="lowerLetter"/>
      <w:start w:val="9"/>
    </w:lvl>
  </w:abstractNum>
  <w:abstractNum w:abstractNumId="86">
    <w:nsid w:val="415E286C"/>
    <w:multiLevelType w:val="hybridMultilevel"/>
    <w:lvl w:ilvl="0">
      <w:lvlJc w:val="left"/>
      <w:lvlText w:val="(%1)"/>
      <w:numFmt w:val="lowerRoman"/>
      <w:start w:val="2"/>
    </w:lvl>
  </w:abstractNum>
  <w:abstractNum w:abstractNumId="87">
    <w:nsid w:val="7C58FD05"/>
    <w:multiLevelType w:val="hybridMultilevel"/>
    <w:lvl w:ilvl="0">
      <w:lvlJc w:val="left"/>
      <w:lvlText w:val="(%1)"/>
      <w:numFmt w:val="lowerLetter"/>
      <w:start w:val="2"/>
    </w:lvl>
  </w:abstractNum>
  <w:abstractNum w:abstractNumId="88">
    <w:nsid w:val="23D86AAC"/>
    <w:multiLevelType w:val="hybridMultilevel"/>
    <w:lvl w:ilvl="0">
      <w:lvlJc w:val="left"/>
      <w:lvlText w:val="%1."/>
      <w:numFmt w:val="decimal"/>
      <w:start w:val="7"/>
    </w:lvl>
  </w:abstractNum>
  <w:abstractNum w:abstractNumId="89">
    <w:nsid w:val="45E6D486"/>
    <w:multiLevelType w:val="hybridMultilevel"/>
    <w:lvl w:ilvl="0">
      <w:lvlJc w:val="left"/>
      <w:lvlText w:val="(%1)"/>
      <w:numFmt w:val="lowerLetter"/>
      <w:start w:val="2"/>
    </w:lvl>
  </w:abstractNum>
  <w:abstractNum w:abstractNumId="90">
    <w:nsid w:val="5C10FE21"/>
    <w:multiLevelType w:val="hybridMultilevel"/>
    <w:lvl w:ilvl="0">
      <w:lvlJc w:val="left"/>
      <w:lvlText w:val="%1"/>
      <w:numFmt w:val="decimal"/>
      <w:start w:val="1"/>
    </w:lvl>
    <w:lvl w:ilvl="1">
      <w:lvlJc w:val="left"/>
      <w:lvlText w:val="(%2)"/>
      <w:numFmt w:val="lowerLetter"/>
      <w:start w:val="1"/>
    </w:lvl>
  </w:abstractNum>
  <w:abstractNum w:abstractNumId="91">
    <w:nsid w:val="E7FFA2B"/>
    <w:multiLevelType w:val="hybridMultilevel"/>
    <w:lvl w:ilvl="0">
      <w:lvlJc w:val="left"/>
      <w:lvlText w:val="(%1)"/>
      <w:numFmt w:val="decimal"/>
      <w:start w:val="10"/>
    </w:lvl>
    <w:lvl w:ilvl="1">
      <w:lvlJc w:val="left"/>
      <w:lvlText w:val="%2"/>
      <w:numFmt w:val="lowerLetter"/>
      <w:start w:val="1"/>
    </w:lvl>
  </w:abstractNum>
  <w:abstractNum w:abstractNumId="92">
    <w:nsid w:val="3C5991AA"/>
    <w:multiLevelType w:val="hybridMultilevel"/>
    <w:lvl w:ilvl="0">
      <w:lvlJc w:val="left"/>
      <w:lvlText w:val="%1."/>
      <w:numFmt w:val="decimal"/>
      <w:start w:val="8"/>
    </w:lvl>
  </w:abstractNum>
  <w:abstractNum w:abstractNumId="93">
    <w:nsid w:val="4BD8591A"/>
    <w:multiLevelType w:val="hybridMultilevel"/>
    <w:lvl w:ilvl="0">
      <w:lvlJc w:val="left"/>
      <w:lvlText w:val="(%1)"/>
      <w:numFmt w:val="lowerLetter"/>
      <w:start w:val="2"/>
    </w:lvl>
  </w:abstractNum>
  <w:abstractNum w:abstractNumId="94">
    <w:nsid w:val="78DF6A55"/>
    <w:multiLevelType w:val="hybridMultilevel"/>
    <w:lvl w:ilvl="0">
      <w:lvlJc w:val="left"/>
      <w:lvlText w:val="%1."/>
      <w:numFmt w:val="decimal"/>
      <w:start w:val="9"/>
    </w:lvl>
  </w:abstractNum>
  <w:abstractNum w:abstractNumId="95">
    <w:nsid w:val="39B7AAA2"/>
    <w:multiLevelType w:val="hybridMultilevel"/>
    <w:lvl w:ilvl="0">
      <w:lvlJc w:val="left"/>
      <w:lvlText w:val="%1."/>
      <w:numFmt w:val="decimal"/>
      <w:start w:val="10"/>
    </w:lvl>
  </w:abstractNum>
  <w:abstractNum w:abstractNumId="96">
    <w:nsid w:val="2B0D8DBE"/>
    <w:multiLevelType w:val="hybridMultilevel"/>
    <w:lvl w:ilvl="0">
      <w:lvlJc w:val="left"/>
      <w:lvlText w:val="(%1)"/>
      <w:numFmt w:val="lowerLetter"/>
      <w:start w:val="1"/>
    </w:lvl>
  </w:abstractNum>
  <w:abstractNum w:abstractNumId="97">
    <w:nsid w:val="6C80EC70"/>
    <w:multiLevelType w:val="hybridMultilevel"/>
    <w:lvl w:ilvl="0">
      <w:lvlJc w:val="left"/>
      <w:lvlText w:val="(%1)"/>
      <w:numFmt w:val="lowerLetter"/>
      <w:start w:val="1"/>
    </w:lvl>
  </w:abstractNum>
  <w:abstractNum w:abstractNumId="98">
    <w:nsid w:val="379E21B5"/>
    <w:multiLevelType w:val="hybridMultilevel"/>
    <w:lvl w:ilvl="0">
      <w:lvlJc w:val="left"/>
      <w:lvlText w:val="(%1)"/>
      <w:numFmt w:val="lowerLetter"/>
      <w:start w:val="1"/>
    </w:lvl>
  </w:abstractNum>
  <w:abstractNum w:abstractNumId="99">
    <w:nsid w:val="69E373"/>
    <w:multiLevelType w:val="hybridMultilevel"/>
    <w:lvl w:ilvl="0">
      <w:lvlJc w:val="left"/>
      <w:lvlText w:val="%1."/>
      <w:numFmt w:val="decimal"/>
      <w:start w:val="11"/>
    </w:lvl>
  </w:abstractNum>
  <w:abstractNum w:abstractNumId="100">
    <w:nsid w:val="2C27173B"/>
    <w:multiLevelType w:val="hybridMultilevel"/>
    <w:lvl w:ilvl="0">
      <w:lvlJc w:val="left"/>
      <w:lvlText w:val="%1."/>
      <w:numFmt w:val="decimal"/>
      <w:start w:val="12"/>
    </w:lvl>
  </w:abstractNum>
  <w:abstractNum w:abstractNumId="101">
    <w:nsid w:val="4C9B0904"/>
    <w:multiLevelType w:val="hybridMultilevel"/>
    <w:lvl w:ilvl="0">
      <w:lvlJc w:val="left"/>
      <w:lvlText w:val="%1."/>
      <w:numFmt w:val="decimal"/>
      <w:start w:val="13"/>
    </w:lvl>
  </w:abstractNum>
  <w:abstractNum w:abstractNumId="102">
    <w:nsid w:val="6AA7B75C"/>
    <w:multiLevelType w:val="hybridMultilevel"/>
    <w:lvl w:ilvl="0">
      <w:lvlJc w:val="left"/>
      <w:lvlText w:val="(%1)"/>
      <w:numFmt w:val="lowerLetter"/>
      <w:start w:val="1"/>
    </w:lvl>
  </w:abstractNum>
  <w:abstractNum w:abstractNumId="103">
    <w:nsid w:val="1DF029D3"/>
    <w:multiLevelType w:val="hybridMultilevel"/>
    <w:lvl w:ilvl="0">
      <w:lvlJc w:val="left"/>
      <w:lvlText w:val="(%1)"/>
      <w:numFmt w:val="lowerLetter"/>
      <w:start w:val="6"/>
    </w:lvl>
  </w:abstractNum>
  <w:abstractNum w:abstractNumId="104">
    <w:nsid w:val="5675FF36"/>
    <w:multiLevelType w:val="hybridMultilevel"/>
    <w:lvl w:ilvl="0">
      <w:lvlJc w:val="left"/>
      <w:lvlText w:val="%1"/>
      <w:numFmt w:val="decimal"/>
      <w:start w:val="1"/>
    </w:lvl>
    <w:lvl w:ilvl="1">
      <w:lvlJc w:val="left"/>
      <w:lvlText w:val="(%2)"/>
      <w:numFmt w:val="lowerLetter"/>
      <w:start w:val="1"/>
    </w:lvl>
  </w:abstractNum>
  <w:abstractNum w:abstractNumId="105">
    <w:nsid w:val="3DD15094"/>
    <w:multiLevelType w:val="hybridMultilevel"/>
    <w:lvl w:ilvl="0">
      <w:lvlJc w:val="left"/>
      <w:lvlText w:val="%1."/>
      <w:numFmt w:val="decimal"/>
      <w:start w:val="14"/>
    </w:lvl>
    <w:lvl w:ilvl="1">
      <w:lvlJc w:val="left"/>
      <w:lvlText w:val="%2"/>
      <w:numFmt w:val="lowerLetter"/>
      <w:start w:val="1"/>
    </w:lvl>
  </w:abstractNum>
  <w:abstractNum w:abstractNumId="106">
    <w:nsid w:val="3DB012B3"/>
    <w:multiLevelType w:val="hybridMultilevel"/>
    <w:lvl w:ilvl="0">
      <w:lvlJc w:val="left"/>
      <w:lvlText w:val="%1."/>
      <w:numFmt w:val="decimal"/>
      <w:start w:val="15"/>
    </w:lvl>
  </w:abstractNum>
  <w:abstractNum w:abstractNumId="107">
    <w:nsid w:val="2708C9AF"/>
    <w:multiLevelType w:val="hybridMultilevel"/>
    <w:lvl w:ilvl="0">
      <w:lvlJc w:val="left"/>
      <w:lvlText w:val="(%1)"/>
      <w:numFmt w:val="lowerLetter"/>
      <w:start w:val="1"/>
    </w:lvl>
  </w:abstractNum>
  <w:abstractNum w:abstractNumId="108">
    <w:nsid w:val="5B25ACE2"/>
    <w:multiLevelType w:val="hybridMultilevel"/>
    <w:lvl w:ilvl="0">
      <w:lvlJc w:val="left"/>
      <w:lvlText w:val="(%1)"/>
      <w:numFmt w:val="lowerLetter"/>
      <w:start w:val="1"/>
    </w:lvl>
  </w:abstractNum>
  <w:abstractNum w:abstractNumId="109">
    <w:nsid w:val="175DFCF0"/>
    <w:multiLevelType w:val="hybridMultilevel"/>
    <w:lvl w:ilvl="0">
      <w:lvlJc w:val="left"/>
      <w:lvlText w:val="%1"/>
      <w:numFmt w:val="decimal"/>
      <w:start w:val="1"/>
    </w:lvl>
    <w:lvl w:ilvl="1">
      <w:lvlJc w:val="left"/>
      <w:lvlText w:val="(%2)"/>
      <w:numFmt w:val="lowerLetter"/>
      <w:start w:val="1"/>
    </w:lvl>
  </w:abstractNum>
  <w:abstractNum w:abstractNumId="110">
    <w:nsid w:val="4F97E3E4"/>
    <w:multiLevelType w:val="hybridMultilevel"/>
    <w:lvl w:ilvl="0">
      <w:lvlJc w:val="left"/>
      <w:lvlText w:val="(%1)"/>
      <w:numFmt w:val="decimal"/>
      <w:start w:val="12"/>
    </w:lvl>
    <w:lvl w:ilvl="1">
      <w:lvlJc w:val="left"/>
      <w:lvlText w:val="(%2)"/>
      <w:numFmt w:val="lowerLetter"/>
      <w:start w:val="4"/>
    </w:lvl>
  </w:abstractNum>
  <w:abstractNum w:abstractNumId="111">
    <w:nsid w:val="53B0A9E"/>
    <w:multiLevelType w:val="hybridMultilevel"/>
    <w:lvl w:ilvl="0">
      <w:lvlJc w:val="left"/>
      <w:lvlText w:val="(%1)"/>
      <w:numFmt w:val="lowerLetter"/>
      <w:start w:val="1"/>
    </w:lvl>
    <w:lvl w:ilvl="1">
      <w:lvlJc w:val="left"/>
      <w:lvlText w:val="(%2)"/>
      <w:numFmt w:val="lowerRoman"/>
      <w:start w:val="1"/>
    </w:lvl>
  </w:abstractNum>
  <w:abstractNum w:abstractNumId="112">
    <w:nsid w:val="34FD6B4F"/>
    <w:multiLevelType w:val="hybridMultilevel"/>
    <w:lvl w:ilvl="0">
      <w:lvlJc w:val="left"/>
      <w:lvlText w:val="%1"/>
      <w:numFmt w:val="decimal"/>
      <w:start w:val="1"/>
    </w:lvl>
    <w:lvl w:ilvl="1">
      <w:lvlJc w:val="left"/>
      <w:lvlText w:val="(%2)"/>
      <w:numFmt w:val="lowerLetter"/>
      <w:start w:val="7"/>
    </w:lvl>
  </w:abstractNum>
  <w:abstractNum w:abstractNumId="113">
    <w:nsid w:val="5915FF32"/>
    <w:multiLevelType w:val="hybridMultilevel"/>
    <w:lvl w:ilvl="0">
      <w:lvlJc w:val="left"/>
      <w:lvlText w:val="%1."/>
      <w:numFmt w:val="decimal"/>
      <w:start w:val="16"/>
    </w:lvl>
    <w:lvl w:ilvl="1">
      <w:lvlJc w:val="left"/>
      <w:lvlText w:val="%2"/>
      <w:numFmt w:val="lowerLetter"/>
      <w:start w:val="1"/>
    </w:lvl>
  </w:abstractNum>
  <w:abstractNum w:abstractNumId="114">
    <w:nsid w:val="56438D15"/>
    <w:multiLevelType w:val="hybridMultilevel"/>
    <w:lvl w:ilvl="0">
      <w:lvlJc w:val="left"/>
      <w:lvlText w:val="%1."/>
      <w:numFmt w:val="decimal"/>
      <w:start w:val="17"/>
    </w:lvl>
  </w:abstractNum>
  <w:abstractNum w:abstractNumId="115">
    <w:nsid w:val="519E3149"/>
    <w:multiLevelType w:val="hybridMultilevel"/>
    <w:lvl w:ilvl="0">
      <w:lvlJc w:val="left"/>
      <w:lvlText w:val="%1."/>
      <w:numFmt w:val="decimal"/>
      <w:start w:val="18"/>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lowerRoman"/>
      <w:start w:val="1"/>
    </w:lvl>
  </w:abstractNum>
  <w:abstractNum w:abstractNumId="118">
    <w:nsid w:val="4DF72E4E"/>
    <w:multiLevelType w:val="hybridMultilevel"/>
    <w:lvl w:ilvl="0">
      <w:lvlJc w:val="left"/>
      <w:lvlText w:val="%1."/>
      <w:numFmt w:val="decimal"/>
      <w:start w:val="1"/>
    </w:lvl>
  </w:abstractNum>
  <w:abstractNum w:abstractNumId="119">
    <w:nsid w:val="5046B5A9"/>
    <w:multiLevelType w:val="hybridMultilevel"/>
    <w:lvl w:ilvl="0">
      <w:lvlJc w:val="left"/>
      <w:lvlText w:val="%1."/>
      <w:numFmt w:val="decimal"/>
      <w:start w:val="2"/>
    </w:lvl>
  </w:abstractNum>
  <w:abstractNum w:abstractNumId="120">
    <w:nsid w:val="5D888A08"/>
    <w:multiLevelType w:val="hybridMultilevel"/>
    <w:lvl w:ilvl="0">
      <w:lvlJc w:val="left"/>
      <w:lvlText w:val="(%1)"/>
      <w:numFmt w:val="lowerLetter"/>
      <w:start w:val="1"/>
    </w:lvl>
  </w:abstractNum>
  <w:abstractNum w:abstractNumId="121">
    <w:nsid w:val="2A082C70"/>
    <w:multiLevelType w:val="hybridMultilevel"/>
    <w:lvl w:ilvl="0">
      <w:lvlJc w:val="left"/>
      <w:lvlText w:val="(%1)"/>
      <w:numFmt w:val="lowerLetter"/>
      <w:start w:val="9"/>
    </w:lvl>
  </w:abstractNum>
  <w:abstractNum w:abstractNumId="122">
    <w:nsid w:val="5EC6AFD4"/>
    <w:multiLevelType w:val="hybridMultilevel"/>
    <w:lvl w:ilvl="0">
      <w:lvlJc w:val="left"/>
      <w:lvlText w:val="%1"/>
      <w:numFmt w:val="decimal"/>
      <w:start w:val="1"/>
    </w:lvl>
    <w:lvl w:ilvl="1">
      <w:lvlJc w:val="left"/>
      <w:lvlText w:val="%2."/>
      <w:numFmt w:val="decimal"/>
      <w:start w:val="3"/>
    </w:lvl>
  </w:abstractNum>
  <w:abstractNum w:abstractNumId="123">
    <w:nsid w:val="19E21BB2"/>
    <w:multiLevelType w:val="hybridMultilevel"/>
    <w:lvl w:ilvl="0">
      <w:lvlJc w:val="left"/>
      <w:lvlText w:val="(%1)"/>
      <w:numFmt w:val="decimal"/>
      <w:start w:val="5"/>
    </w:lvl>
    <w:lvl w:ilvl="1">
      <w:lvlJc w:val="left"/>
      <w:lvlText w:val="%2"/>
      <w:numFmt w:val="decimal"/>
      <w:start w:val="1"/>
    </w:lvl>
  </w:abstractNum>
  <w:abstractNum w:abstractNumId="124">
    <w:nsid w:val="75E0858A"/>
    <w:multiLevelType w:val="hybridMultilevel"/>
    <w:lvl w:ilvl="0">
      <w:lvlJc w:val="left"/>
      <w:lvlText w:val="%1."/>
      <w:numFmt w:val="decimal"/>
      <w:start w:val="4"/>
    </w:lvl>
  </w:abstractNum>
  <w:abstractNum w:abstractNumId="125">
    <w:nsid w:val="57A61A29"/>
    <w:multiLevelType w:val="hybridMultilevel"/>
    <w:lvl w:ilvl="0">
      <w:lvlJc w:val="left"/>
      <w:lvlText w:val="%1."/>
      <w:numFmt w:val="decimal"/>
      <w:start w:val="5"/>
    </w:lvl>
  </w:abstractNum>
  <w:abstractNum w:abstractNumId="126">
    <w:nsid w:val="5399C654"/>
    <w:multiLevelType w:val="hybridMultilevel"/>
    <w:lvl w:ilvl="0">
      <w:lvlJc w:val="left"/>
      <w:lvlText w:val="(%1)"/>
      <w:numFmt w:val="lowerLetter"/>
      <w:start w:val="1"/>
    </w:lvl>
  </w:abstractNum>
  <w:abstractNum w:abstractNumId="127">
    <w:nsid w:val="20EE1348"/>
    <w:multiLevelType w:val="hybridMultilevel"/>
    <w:lvl w:ilvl="0">
      <w:lvlJc w:val="left"/>
      <w:lvlText w:val="%1."/>
      <w:numFmt w:val="decimal"/>
      <w:start w:val="6"/>
    </w:lvl>
  </w:abstractNum>
  <w:abstractNum w:abstractNumId="128">
    <w:nsid w:val="4427069A"/>
    <w:multiLevelType w:val="hybridMultilevel"/>
    <w:lvl w:ilvl="0">
      <w:lvlJc w:val="left"/>
      <w:lvlText w:val="%1."/>
      <w:numFmt w:val="decimal"/>
      <w:start w:val="7"/>
    </w:lvl>
  </w:abstractNum>
  <w:abstractNum w:abstractNumId="129">
    <w:nsid w:val="B37E80A"/>
    <w:multiLevelType w:val="hybridMultilevel"/>
    <w:lvl w:ilvl="0">
      <w:lvlJc w:val="left"/>
      <w:lvlText w:val="%1."/>
      <w:numFmt w:val="decimal"/>
      <w:start w:val="8"/>
    </w:lvl>
  </w:abstractNum>
  <w:abstractNum w:abstractNumId="130">
    <w:nsid w:val="2157F6BC"/>
    <w:multiLevelType w:val="hybridMultilevel"/>
    <w:lvl w:ilvl="0">
      <w:lvlJc w:val="left"/>
      <w:lvlText w:val="%1."/>
      <w:numFmt w:val="decimal"/>
      <w:start w:val="11"/>
    </w:lvl>
  </w:abstractNum>
  <w:abstractNum w:abstractNumId="131">
    <w:nsid w:val="704E1DD5"/>
    <w:multiLevelType w:val="hybridMultilevel"/>
    <w:lvl w:ilvl="0">
      <w:lvlJc w:val="left"/>
      <w:lvlText w:val="%1."/>
      <w:numFmt w:val="decimal"/>
      <w:start w:val="12"/>
    </w:lvl>
  </w:abstractNum>
  <w:abstractNum w:abstractNumId="132">
    <w:nsid w:val="57D2F10E"/>
    <w:multiLevelType w:val="hybridMultilevel"/>
    <w:lvl w:ilvl="0">
      <w:lvlJc w:val="left"/>
      <w:lvlText w:val="%1."/>
      <w:numFmt w:val="decimal"/>
      <w:start w:val="13"/>
    </w:lvl>
  </w:abstractNum>
  <w:abstractNum w:abstractNumId="133">
    <w:nsid w:val="BFFAE18"/>
    <w:multiLevelType w:val="hybridMultilevel"/>
    <w:lvl w:ilvl="0">
      <w:lvlJc w:val="left"/>
      <w:lvlText w:val="%1."/>
      <w:numFmt w:val="decimal"/>
      <w:start w:val="14"/>
    </w:lvl>
    <w:lvl w:ilvl="1">
      <w:lvlJc w:val="left"/>
      <w:lvlText w:val="(%2)"/>
      <w:numFmt w:val="lowerLetter"/>
      <w:start w:val="1"/>
    </w:lvl>
  </w:abstractNum>
  <w:abstractNum w:abstractNumId="134">
    <w:nsid w:val="E3E47A8"/>
    <w:multiLevelType w:val="hybridMultilevel"/>
    <w:lvl w:ilvl="0">
      <w:lvlJc w:val="left"/>
      <w:lvlText w:val="%1."/>
      <w:numFmt w:val="decimal"/>
      <w:start w:val="16"/>
    </w:lvl>
  </w:abstractNum>
  <w:abstractNum w:abstractNumId="135">
    <w:nsid w:val="2E48F044"/>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2026-03-23T05:19:50Z</dcterms:created>
  <dcterms:modified xsi:type="dcterms:W3CDTF">2026-03-23T05:19:50Z</dcterms:modified>
</cp:coreProperties>
</file>