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CAGGIA ANDREW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08/11/2014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260" w:type="dxa"/>
            <w:vAlign w:val="bottom"/>
          </w:tcPr>
          <w:p>
            <w:pPr>
              <w:ind w:left="240"/>
              <w:spacing w:after="0"/>
              <w:rPr>
                <w:sz w:val="20"/>
                <w:szCs w:val="20"/>
                <w:color w:val="auto"/>
              </w:rPr>
            </w:pPr>
            <w:r>
              <w:rPr>
                <w:rFonts w:ascii="Arial" w:cs="Arial" w:eastAsia="Arial" w:hAnsi="Arial"/>
                <w:sz w:val="14"/>
                <w:szCs w:val="14"/>
                <w:color w:val="auto"/>
              </w:rPr>
              <w:t>(First)</w:t>
            </w:r>
          </w:p>
        </w:tc>
        <w:tc>
          <w:tcPr>
            <w:tcW w:w="1100" w:type="dxa"/>
            <w:vAlign w:val="bottom"/>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0000FF"/>
                <w:w w:val="93"/>
              </w:rPr>
              <w:t>12367 CROSTHWAITE CIR</w:t>
            </w:r>
          </w:p>
        </w:tc>
        <w:tc>
          <w:tcPr>
            <w:tcW w:w="11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POWAY</w:t>
            </w:r>
          </w:p>
        </w:tc>
        <w:tc>
          <w:tcPr>
            <w:tcW w:w="1260" w:type="dxa"/>
            <w:vAlign w:val="bottom"/>
          </w:tcPr>
          <w:p>
            <w:pPr>
              <w:ind w:left="240"/>
              <w:spacing w:after="0"/>
              <w:rPr>
                <w:sz w:val="20"/>
                <w:szCs w:val="20"/>
                <w:color w:val="auto"/>
              </w:rPr>
            </w:pPr>
            <w:r>
              <w:rPr>
                <w:rFonts w:ascii="Arial" w:cs="Arial" w:eastAsia="Arial" w:hAnsi="Arial"/>
                <w:sz w:val="18"/>
                <w:szCs w:val="18"/>
                <w:color w:val="0000FF"/>
              </w:rPr>
              <w:t>CA</w:t>
            </w:r>
          </w:p>
        </w:tc>
        <w:tc>
          <w:tcPr>
            <w:tcW w:w="1100" w:type="dxa"/>
            <w:vAlign w:val="bottom"/>
          </w:tcPr>
          <w:p>
            <w:pPr>
              <w:ind w:left="60"/>
              <w:spacing w:after="0"/>
              <w:rPr>
                <w:sz w:val="20"/>
                <w:szCs w:val="20"/>
                <w:color w:val="auto"/>
              </w:rPr>
            </w:pPr>
            <w:r>
              <w:rPr>
                <w:rFonts w:ascii="Arial" w:cs="Arial" w:eastAsia="Arial" w:hAnsi="Arial"/>
                <w:sz w:val="18"/>
                <w:szCs w:val="18"/>
                <w:color w:val="0000FF"/>
              </w:rPr>
              <w:t>92064-6817</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(City)</w:t>
            </w:r>
          </w:p>
        </w:tc>
        <w:tc>
          <w:tcPr>
            <w:tcW w:w="1260" w:type="dxa"/>
            <w:vAlign w:val="bottom"/>
          </w:tcPr>
          <w:p>
            <w:pPr>
              <w:ind w:left="240"/>
              <w:spacing w:after="0"/>
              <w:rPr>
                <w:sz w:val="20"/>
                <w:szCs w:val="20"/>
                <w:color w:val="auto"/>
              </w:rPr>
            </w:pPr>
            <w:r>
              <w:rPr>
                <w:rFonts w:ascii="Arial" w:cs="Arial" w:eastAsia="Arial" w:hAnsi="Arial"/>
                <w:sz w:val="14"/>
                <w:szCs w:val="14"/>
                <w:color w:val="auto"/>
              </w:rPr>
              <w:t>(State)</w:t>
            </w:r>
          </w:p>
        </w:tc>
        <w:tc>
          <w:tcPr>
            <w:tcW w:w="1100" w:type="dxa"/>
            <w:vAlign w:val="bottom"/>
          </w:tcPr>
          <w:p>
            <w:pPr>
              <w:ind w:left="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60" w:type="dxa"/>
            <w:vAlign w:val="bottom"/>
          </w:tcPr>
          <w:p>
            <w:pPr>
              <w:ind w:left="60"/>
              <w:spacing w:after="0"/>
              <w:rPr>
                <w:sz w:val="20"/>
                <w:szCs w:val="20"/>
                <w:color w:val="auto"/>
              </w:rPr>
            </w:pPr>
            <w:r>
              <w:rPr>
                <w:rFonts w:ascii="Arial" w:cs="Arial" w:eastAsia="Arial" w:hAnsi="Arial"/>
                <w:sz w:val="18"/>
                <w:szCs w:val="18"/>
                <w:color w:val="0000FF"/>
              </w:rPr>
              <w:t>No securities are beneficially owned</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00" w:type="dxa"/>
            <w:vAlign w:val="bottom"/>
            <w:gridSpan w:val="6"/>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Jeffrey D. Jones -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69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3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16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1689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5"/>
          <w:szCs w:val="15"/>
          <w:color w:val="0000FF"/>
        </w:rPr>
        <w:t>08/11/2014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JAMES A. DONAHUE and JEFFREY D. JONES,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Cohu, Inc. (the "Company"), Forms 3, 4, and 5</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579" w:firstLine="843"/>
        <w:spacing w:after="0" w:line="271"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18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nor is the Company assuming, any of the undersigned's responsibilities to comply with Section 16 of the Securities Exchange Act of 1934.</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6th day of August,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Andrew M. Caggia</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M. Caggia</w:t>
      </w:r>
    </w:p>
    <w:p>
      <w:pPr>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07464" TargetMode="External"/><Relationship Id="rId12"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2019-12-18T05:03:03Z</dcterms:created>
  <dcterms:modified xsi:type="dcterms:W3CDTF">2019-12-18T05:03:03Z</dcterms:modified>
</cp:coreProperties>
</file>