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von Fellenberg 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8"/>
          <w:szCs w:val="18"/>
          <w:color w:val="0000FF"/>
        </w:rPr>
        <w:t>VP &amp; GM Analog Test Handlers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9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Restricted Stock Units</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03/20/2018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7,249</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7"/>
              </w:rPr>
              <w:t>71,768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Stock Units</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03/20/2018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7,249</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79,017</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2"/>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Units (RSUs) to cover tax obligations in a transaction exempt under Rule 16(b)-3.</w:t>
      </w:r>
    </w:p>
    <w:p>
      <w:pPr>
        <w:spacing w:after="0" w:line="41" w:lineRule="exact"/>
        <w:rPr>
          <w:rFonts w:ascii="Arial" w:cs="Arial" w:eastAsia="Arial" w:hAnsi="Arial"/>
          <w:sz w:val="14"/>
          <w:szCs w:val="14"/>
          <w:color w:val="008000"/>
        </w:rPr>
      </w:pPr>
    </w:p>
    <w:p>
      <w:pPr>
        <w:ind w:left="40" w:right="1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performance units (also referred to as RSUs) that will be converted on a one-for-one basis into shares of Cohu, Inc. Common Stock upon vesting. These performance units will vest only after the achievement of specified performance goals (total shareholder return). Provided such goals are achieved and subject to continued employment through the vesting date, vesting is scheduled to occur in full on the third anniversary of the date of grant (March 20, 2021). The number of shares shown is the target award level. The actual number of shares that may vest ranges from 25% to 200% of the target amount, depending on achievement of specified performance goals.</w:t>
      </w:r>
    </w:p>
    <w:p>
      <w:pPr>
        <w:spacing w:after="0" w:line="31" w:lineRule="exact"/>
        <w:rPr>
          <w:rFonts w:ascii="Arial" w:cs="Arial" w:eastAsia="Arial" w:hAnsi="Arial"/>
          <w:sz w:val="14"/>
          <w:szCs w:val="14"/>
          <w:color w:val="008000"/>
        </w:rPr>
      </w:pPr>
    </w:p>
    <w:p>
      <w:pPr>
        <w:ind w:left="40" w:right="3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60,857 RSUs (excluding the impact of shares that will be withheld to cover tax obligations) previously reported that in the future will be converted on a one-for-one basis into shares of Cohu, Inc. Common Stock immediately upon the vesting dates (assuming continued employment and achievement of specified performance goals).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03/22/2018</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1396"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2019-12-24T03:58:11Z</dcterms:created>
  <dcterms:modified xsi:type="dcterms:W3CDTF">2019-12-24T03:58:11Z</dcterms:modified>
</cp:coreProperties>
</file>