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75" w:lineRule="exact"/>
        <w:rPr>
          <w:sz w:val="24"/>
          <w:szCs w:val="24"/>
          <w:color w:val="auto"/>
        </w:rPr>
      </w:pPr>
    </w:p>
    <w:p>
      <w:pPr>
        <w:ind w:left="1340" w:right="1460" w:hanging="994"/>
        <w:spacing w:after="0" w:line="438" w:lineRule="auto"/>
        <w:tabs>
          <w:tab w:leader="none" w:pos="137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27, 2014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2" w:lineRule="exact"/>
        <w:rPr>
          <w:sz w:val="24"/>
          <w:szCs w:val="24"/>
          <w:color w:val="auto"/>
        </w:rPr>
      </w:pPr>
    </w:p>
    <w:p>
      <w:pPr>
        <w:jc w:val="center"/>
        <w:ind w:left="4520" w:right="1100" w:hanging="4174"/>
        <w:spacing w:after="0" w:line="418" w:lineRule="auto"/>
        <w:tabs>
          <w:tab w:leader="none" w:pos="137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1-4298</w:t>
      </w: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COHU, INC</w:t>
      </w:r>
      <w:r>
        <w:rPr>
          <w:rFonts w:ascii="Times New Roman" w:cs="Times New Roman" w:eastAsia="Times New Roman" w:hAnsi="Times New Roman"/>
          <w:sz w:val="43"/>
          <w:szCs w:val="43"/>
          <w:color w:val="auto"/>
        </w:rPr>
        <w:t>.</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90"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960" w:type="dxa"/>
            <w:vAlign w:val="bottom"/>
          </w:tcPr>
          <w:p>
            <w:pPr>
              <w:spacing w:after="0"/>
              <w:rPr>
                <w:sz w:val="18"/>
                <w:szCs w:val="18"/>
                <w:color w:val="auto"/>
              </w:rPr>
            </w:pPr>
          </w:p>
        </w:tc>
        <w:tc>
          <w:tcPr>
            <w:tcW w:w="3660" w:type="dxa"/>
            <w:vAlign w:val="bottom"/>
            <w:gridSpan w:val="2"/>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4320" w:type="dxa"/>
            <w:vAlign w:val="bottom"/>
            <w:gridSpan w:val="2"/>
          </w:tcPr>
          <w:p>
            <w:pPr>
              <w:jc w:val="center"/>
              <w:ind w:left="1232"/>
              <w:spacing w:after="0"/>
              <w:rPr>
                <w:sz w:val="20"/>
                <w:szCs w:val="20"/>
                <w:color w:val="auto"/>
              </w:rPr>
            </w:pPr>
            <w:r>
              <w:rPr>
                <w:rFonts w:ascii="Times New Roman" w:cs="Times New Roman" w:eastAsia="Times New Roman" w:hAnsi="Times New Roman"/>
                <w:sz w:val="18"/>
                <w:szCs w:val="18"/>
                <w:b w:val="1"/>
                <w:bCs w:val="1"/>
                <w:color w:val="auto"/>
                <w:w w:val="96"/>
              </w:rPr>
              <w:t>95-1934119</w:t>
            </w:r>
          </w:p>
        </w:tc>
      </w:tr>
      <w:tr>
        <w:trPr>
          <w:trHeight w:val="149"/>
        </w:trPr>
        <w:tc>
          <w:tcPr>
            <w:tcW w:w="4620" w:type="dxa"/>
            <w:vAlign w:val="bottom"/>
            <w:gridSpan w:val="3"/>
          </w:tcPr>
          <w:p>
            <w:pPr>
              <w:jc w:val="center"/>
              <w:ind w:right="1280"/>
              <w:spacing w:after="0" w:line="149" w:lineRule="exact"/>
              <w:rPr>
                <w:sz w:val="20"/>
                <w:szCs w:val="20"/>
                <w:color w:val="auto"/>
              </w:rPr>
            </w:pPr>
            <w:r>
              <w:rPr>
                <w:rFonts w:ascii="Times New Roman" w:cs="Times New Roman" w:eastAsia="Times New Roman" w:hAnsi="Times New Roman"/>
                <w:sz w:val="14"/>
                <w:szCs w:val="14"/>
                <w:i w:val="1"/>
                <w:iCs w:val="1"/>
                <w:color w:val="auto"/>
                <w:w w:val="96"/>
              </w:rPr>
              <w:t>(State or other jurisdiction of</w:t>
            </w:r>
          </w:p>
        </w:tc>
        <w:tc>
          <w:tcPr>
            <w:tcW w:w="1300" w:type="dxa"/>
            <w:vAlign w:val="bottom"/>
          </w:tcPr>
          <w:p>
            <w:pPr>
              <w:spacing w:after="0"/>
              <w:rPr>
                <w:sz w:val="12"/>
                <w:szCs w:val="12"/>
                <w:color w:val="auto"/>
              </w:rPr>
            </w:pPr>
          </w:p>
        </w:tc>
        <w:tc>
          <w:tcPr>
            <w:tcW w:w="3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w w:val="96"/>
              </w:rPr>
              <w:t>(I.R.S. Employer Identification No.)</w:t>
            </w:r>
          </w:p>
        </w:tc>
      </w:tr>
      <w:tr>
        <w:trPr>
          <w:trHeight w:val="176"/>
        </w:trPr>
        <w:tc>
          <w:tcPr>
            <w:tcW w:w="462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i w:val="1"/>
                <w:iCs w:val="1"/>
                <w:color w:val="auto"/>
                <w:w w:val="95"/>
              </w:rPr>
              <w:t>Incorporation or Organization)</w:t>
            </w:r>
          </w:p>
        </w:tc>
        <w:tc>
          <w:tcPr>
            <w:tcW w:w="130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418"/>
        </w:trPr>
        <w:tc>
          <w:tcPr>
            <w:tcW w:w="462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7"/>
              </w:rPr>
              <w:t>12367 Crosthwaite Circle, Poway, California</w:t>
            </w:r>
          </w:p>
        </w:tc>
        <w:tc>
          <w:tcPr>
            <w:tcW w:w="4320" w:type="dxa"/>
            <w:vAlign w:val="bottom"/>
            <w:gridSpan w:val="2"/>
          </w:tcPr>
          <w:p>
            <w:pPr>
              <w:jc w:val="center"/>
              <w:ind w:left="1212"/>
              <w:spacing w:after="0"/>
              <w:rPr>
                <w:sz w:val="20"/>
                <w:szCs w:val="20"/>
                <w:color w:val="auto"/>
              </w:rPr>
            </w:pPr>
            <w:r>
              <w:rPr>
                <w:rFonts w:ascii="Times New Roman" w:cs="Times New Roman" w:eastAsia="Times New Roman" w:hAnsi="Times New Roman"/>
                <w:sz w:val="18"/>
                <w:szCs w:val="18"/>
                <w:b w:val="1"/>
                <w:bCs w:val="1"/>
                <w:color w:val="auto"/>
                <w:w w:val="98"/>
              </w:rPr>
              <w:t>92064-6817</w:t>
            </w:r>
          </w:p>
        </w:tc>
      </w:tr>
      <w:tr>
        <w:trPr>
          <w:trHeight w:val="176"/>
        </w:trPr>
        <w:tc>
          <w:tcPr>
            <w:tcW w:w="462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i w:val="1"/>
                <w:iCs w:val="1"/>
                <w:color w:val="auto"/>
                <w:w w:val="95"/>
              </w:rPr>
              <w:t>(Address of principal executive offices)</w:t>
            </w:r>
          </w:p>
        </w:tc>
        <w:tc>
          <w:tcPr>
            <w:tcW w:w="1300" w:type="dxa"/>
            <w:vAlign w:val="bottom"/>
          </w:tcPr>
          <w:p>
            <w:pPr>
              <w:spacing w:after="0"/>
              <w:rPr>
                <w:sz w:val="15"/>
                <w:szCs w:val="15"/>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w w:val="94"/>
              </w:rPr>
              <w:t>(Zip Code)</w:t>
            </w:r>
          </w:p>
        </w:tc>
      </w:tr>
      <w:tr>
        <w:trPr>
          <w:trHeight w:val="363"/>
        </w:trPr>
        <w:tc>
          <w:tcPr>
            <w:tcW w:w="960" w:type="dxa"/>
            <w:vAlign w:val="bottom"/>
          </w:tcPr>
          <w:p>
            <w:pPr>
              <w:spacing w:after="0"/>
              <w:rPr>
                <w:sz w:val="24"/>
                <w:szCs w:val="24"/>
                <w:color w:val="auto"/>
              </w:rPr>
            </w:pPr>
          </w:p>
        </w:tc>
        <w:tc>
          <w:tcPr>
            <w:tcW w:w="7980" w:type="dxa"/>
            <w:vAlign w:val="bottom"/>
            <w:gridSpan w:val="4"/>
          </w:tcPr>
          <w:p>
            <w:pPr>
              <w:jc w:val="center"/>
              <w:ind w:right="828"/>
              <w:spacing w:after="0"/>
              <w:rPr>
                <w:sz w:val="20"/>
                <w:szCs w:val="20"/>
                <w:color w:val="auto"/>
              </w:rPr>
            </w:pPr>
            <w:r>
              <w:rPr>
                <w:rFonts w:ascii="Times New Roman" w:cs="Times New Roman" w:eastAsia="Times New Roman" w:hAnsi="Times New Roman"/>
                <w:sz w:val="18"/>
                <w:szCs w:val="18"/>
                <w:b w:val="1"/>
                <w:bCs w:val="1"/>
                <w:color w:val="auto"/>
                <w:w w:val="96"/>
              </w:rPr>
              <w:t>Registrant’s telephone number, including area code: (858) 848-8100</w:t>
            </w:r>
          </w:p>
        </w:tc>
      </w:tr>
      <w:tr>
        <w:trPr>
          <w:trHeight w:val="378"/>
        </w:trPr>
        <w:tc>
          <w:tcPr>
            <w:tcW w:w="960" w:type="dxa"/>
            <w:vAlign w:val="bottom"/>
          </w:tcPr>
          <w:p>
            <w:pPr>
              <w:spacing w:after="0"/>
              <w:rPr>
                <w:sz w:val="24"/>
                <w:szCs w:val="24"/>
                <w:color w:val="auto"/>
              </w:rPr>
            </w:pPr>
          </w:p>
        </w:tc>
        <w:tc>
          <w:tcPr>
            <w:tcW w:w="7980" w:type="dxa"/>
            <w:vAlign w:val="bottom"/>
            <w:gridSpan w:val="4"/>
          </w:tcPr>
          <w:p>
            <w:pPr>
              <w:jc w:val="center"/>
              <w:ind w:right="848"/>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r>
      <w:tr>
        <w:trPr>
          <w:trHeight w:val="380"/>
        </w:trPr>
        <w:tc>
          <w:tcPr>
            <w:tcW w:w="96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Exchange on Which Registered</w:t>
            </w:r>
          </w:p>
        </w:tc>
      </w:tr>
      <w:tr>
        <w:trPr>
          <w:trHeight w:val="152"/>
        </w:trPr>
        <w:tc>
          <w:tcPr>
            <w:tcW w:w="4620" w:type="dxa"/>
            <w:vAlign w:val="bottom"/>
            <w:gridSpan w:val="3"/>
          </w:tcPr>
          <w:p>
            <w:pPr>
              <w:jc w:val="center"/>
              <w:ind w:right="1260"/>
              <w:spacing w:after="0" w:line="153" w:lineRule="exact"/>
              <w:rPr>
                <w:sz w:val="20"/>
                <w:szCs w:val="20"/>
                <w:color w:val="auto"/>
              </w:rPr>
            </w:pPr>
            <w:r>
              <w:rPr>
                <w:rFonts w:ascii="Times New Roman" w:cs="Times New Roman" w:eastAsia="Times New Roman" w:hAnsi="Times New Roman"/>
                <w:sz w:val="14"/>
                <w:szCs w:val="14"/>
                <w:b w:val="1"/>
                <w:bCs w:val="1"/>
                <w:color w:val="auto"/>
                <w:w w:val="96"/>
              </w:rPr>
              <w:t>Common Stock, $1.00 par value</w:t>
            </w:r>
          </w:p>
        </w:tc>
        <w:tc>
          <w:tcPr>
            <w:tcW w:w="1300" w:type="dxa"/>
            <w:vAlign w:val="bottom"/>
          </w:tcPr>
          <w:p>
            <w:pPr>
              <w:spacing w:after="0"/>
              <w:rPr>
                <w:sz w:val="13"/>
                <w:szCs w:val="13"/>
                <w:color w:val="auto"/>
              </w:rPr>
            </w:pPr>
          </w:p>
        </w:tc>
        <w:tc>
          <w:tcPr>
            <w:tcW w:w="3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The NASDAQ Stock Market LLC</w:t>
            </w:r>
          </w:p>
        </w:tc>
      </w:tr>
      <w:tr>
        <w:trPr>
          <w:trHeight w:val="178"/>
        </w:trPr>
        <w:tc>
          <w:tcPr>
            <w:tcW w:w="462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6"/>
              </w:rPr>
              <w:t>Preferred Share Purchase Rights, $1.00 par value</w:t>
            </w:r>
          </w:p>
        </w:tc>
        <w:tc>
          <w:tcPr>
            <w:tcW w:w="1300" w:type="dxa"/>
            <w:vAlign w:val="bottom"/>
          </w:tcPr>
          <w:p>
            <w:pPr>
              <w:spacing w:after="0"/>
              <w:rPr>
                <w:sz w:val="15"/>
                <w:szCs w:val="15"/>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The NASDAQ Stock Market LLC</w:t>
            </w:r>
          </w:p>
        </w:tc>
      </w:tr>
    </w:tbl>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171"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47"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40" w:firstLine="17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firstLine="17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0" w:firstLine="17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right="480" w:firstLine="176"/>
        <w:spacing w:after="0" w:line="33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00"/>
          </w:cols>
          <w:pgMar w:left="240" w:top="226" w:right="259" w:bottom="0" w:gutter="0" w:footer="0" w:header="0"/>
        </w:sectPr>
      </w:pPr>
    </w:p>
    <w:p>
      <w:pPr>
        <w:spacing w:after="0" w:line="48" w:lineRule="exact"/>
        <w:rPr>
          <w:sz w:val="24"/>
          <w:szCs w:val="24"/>
          <w:color w:val="auto"/>
        </w:rPr>
      </w:pPr>
    </w:p>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right="2140" w:firstLine="657"/>
        <w:spacing w:after="0" w:line="236"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pacing w:after="0" w:line="123" w:lineRule="exact"/>
        <w:rPr>
          <w:sz w:val="24"/>
          <w:szCs w:val="24"/>
          <w:color w:val="auto"/>
        </w:rPr>
      </w:pPr>
    </w:p>
    <w:p>
      <w:pPr>
        <w:sectPr>
          <w:pgSz w:w="11900" w:h="16838" w:orient="portrait"/>
          <w:cols w:equalWidth="0" w:num="3">
            <w:col w:w="1960" w:space="700"/>
            <w:col w:w="1380" w:space="40"/>
            <w:col w:w="7320"/>
          </w:cols>
          <w:pgMar w:left="240" w:top="226" w:right="259" w:bottom="0" w:gutter="0" w:footer="0" w:header="0"/>
          <w:type w:val="continuous"/>
        </w:sect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ind w:firstLine="172"/>
        <w:spacing w:after="0" w:line="258"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was approximately $147,000,000 based on the closing stock price as reported by the NASDAQ Stock Market LLC as of June 27, 2014.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February 18, 2015 the Registrant had 25,702,989 shares of its $1.00 par value common stock outstanding.</w:t>
      </w:r>
    </w:p>
    <w:p>
      <w:pPr>
        <w:spacing w:after="0" w:line="16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3" w:lineRule="exact"/>
        <w:rPr>
          <w:sz w:val="24"/>
          <w:szCs w:val="24"/>
          <w:color w:val="auto"/>
        </w:rPr>
      </w:pPr>
    </w:p>
    <w:p>
      <w:pPr>
        <w:ind w:right="20" w:firstLine="176"/>
        <w:spacing w:after="0" w:line="275" w:lineRule="auto"/>
        <w:rPr>
          <w:sz w:val="20"/>
          <w:szCs w:val="20"/>
          <w:color w:val="auto"/>
        </w:rPr>
      </w:pPr>
      <w:r>
        <w:rPr>
          <w:rFonts w:ascii="Times New Roman" w:cs="Times New Roman" w:eastAsia="Times New Roman" w:hAnsi="Times New Roman"/>
          <w:sz w:val="18"/>
          <w:szCs w:val="18"/>
          <w:color w:val="auto"/>
        </w:rPr>
        <w:t>Portions of the Proxy Statement for Cohu, Inc.’s 2015 Annual Meeting of Stockholders to be held on May 13, 2015, and to be filed pursuant to Regulation 14A within 120 days after registrant’s fiscal year ended December 27, 2014,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40" w:type="dxa"/>
            <w:vAlign w:val="bottom"/>
            <w:gridSpan w:val="7"/>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w w:val="97"/>
              </w:rPr>
              <w:t>COHU, INC.</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40" w:type="dxa"/>
            <w:vAlign w:val="bottom"/>
            <w:gridSpan w:val="11"/>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7"/>
              </w:rPr>
              <w:t>FORM 10-K FOR THE FISCAL YEAR ENDED DECEMBER 27, 2014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80" w:type="dxa"/>
            <w:vAlign w:val="bottom"/>
            <w:gridSpan w:val="8"/>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80" w:type="dxa"/>
            <w:vAlign w:val="bottom"/>
            <w:vMerge w:val="restart"/>
          </w:tcPr>
          <w:p>
            <w:pPr>
              <w:spacing w:after="0"/>
              <w:rPr>
                <w:rFonts w:ascii="Times New Roman" w:cs="Times New Roman" w:eastAsia="Times New Roman" w:hAnsi="Times New Roman"/>
                <w:sz w:val="18"/>
                <w:szCs w:val="18"/>
                <w:b w:val="1"/>
                <w:bCs w:val="1"/>
                <w:color w:val="0000EE"/>
                <w:w w:val="92"/>
              </w:rPr>
            </w:pPr>
            <w:hyperlink w:anchor="page3">
              <w:r>
                <w:rPr>
                  <w:rFonts w:ascii="Times New Roman" w:cs="Times New Roman" w:eastAsia="Times New Roman" w:hAnsi="Times New Roman"/>
                  <w:sz w:val="18"/>
                  <w:szCs w:val="18"/>
                  <w:b w:val="1"/>
                  <w:bCs w:val="1"/>
                  <w:color w:val="0000EE"/>
                  <w:w w:val="92"/>
                </w:rPr>
                <w:t>PART I</w:t>
              </w:r>
            </w:hyperlink>
          </w:p>
        </w:tc>
        <w:tc>
          <w:tcPr>
            <w:tcW w:w="42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42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940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Risk Factors</w:t>
              </w:r>
            </w:hyperlink>
          </w:p>
        </w:tc>
        <w:tc>
          <w:tcPr>
            <w:tcW w:w="91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10040" w:type="dxa"/>
            <w:vAlign w:val="bottom"/>
            <w:gridSpan w:val="19"/>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Unresolved Staff Comments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17">
              <w:r>
                <w:rPr>
                  <w:rFonts w:ascii="Times New Roman" w:cs="Times New Roman" w:eastAsia="Times New Roman" w:hAnsi="Times New Roman"/>
                  <w:sz w:val="18"/>
                  <w:szCs w:val="18"/>
                  <w:color w:val="0000EE"/>
                  <w:w w:val="95"/>
                </w:rPr>
                <w:t>Properties</w:t>
              </w:r>
            </w:hyperlink>
          </w:p>
        </w:tc>
        <w:tc>
          <w:tcPr>
            <w:tcW w:w="1280" w:type="dxa"/>
            <w:vAlign w:val="bottom"/>
            <w:tcBorders>
              <w:top w:val="single" w:sz="8" w:color="0000EE"/>
            </w:tcBorders>
            <w:gridSpan w:val="6"/>
          </w:tcPr>
          <w:p>
            <w:pPr>
              <w:spacing w:after="0"/>
              <w:rPr>
                <w:sz w:val="24"/>
                <w:szCs w:val="24"/>
                <w:color w:val="auto"/>
              </w:rPr>
            </w:pPr>
          </w:p>
        </w:tc>
        <w:tc>
          <w:tcPr>
            <w:tcW w:w="80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10040" w:type="dxa"/>
            <w:vAlign w:val="bottom"/>
            <w:gridSpan w:val="19"/>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Legal Proceedings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10040" w:type="dxa"/>
            <w:vAlign w:val="bottom"/>
            <w:gridSpan w:val="19"/>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Mine Safety Disclosures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360" w:type="dxa"/>
            <w:vAlign w:val="bottom"/>
            <w:gridSpan w:val="3"/>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Selected Financial Data</w:t>
              </w:r>
            </w:hyperlink>
          </w:p>
        </w:tc>
        <w:tc>
          <w:tcPr>
            <w:tcW w:w="6200" w:type="dxa"/>
            <w:vAlign w:val="bottom"/>
            <w:tcBorders>
              <w:top w:val="single" w:sz="8" w:color="0000EE"/>
            </w:tcBorders>
            <w:gridSpan w:val="13"/>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10040" w:type="dxa"/>
            <w:vAlign w:val="bottom"/>
            <w:gridSpan w:val="19"/>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42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Financial Statements and Supplementary Data</w:t>
              </w:r>
            </w:hyperlink>
          </w:p>
        </w:tc>
        <w:tc>
          <w:tcPr>
            <w:tcW w:w="6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10040" w:type="dxa"/>
            <w:vAlign w:val="bottom"/>
            <w:gridSpan w:val="19"/>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Controls and Procedures</w:t>
              </w:r>
            </w:hyperlink>
          </w:p>
        </w:tc>
        <w:tc>
          <w:tcPr>
            <w:tcW w:w="4580" w:type="dxa"/>
            <w:vAlign w:val="bottom"/>
            <w:tcBorders>
              <w:top w:val="single" w:sz="8" w:color="0000EE"/>
            </w:tcBorders>
            <w:gridSpan w:val="10"/>
          </w:tcPr>
          <w:p>
            <w:pPr>
              <w:spacing w:after="0"/>
              <w:rPr>
                <w:sz w:val="24"/>
                <w:szCs w:val="24"/>
                <w:color w:val="auto"/>
              </w:rPr>
            </w:pPr>
          </w:p>
        </w:tc>
        <w:tc>
          <w:tcPr>
            <w:tcW w:w="37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0040" w:type="dxa"/>
            <w:vAlign w:val="bottom"/>
            <w:gridSpan w:val="19"/>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Other Information</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3"/>
              </w:rPr>
            </w:pPr>
            <w:hyperlink w:anchor="page31">
              <w:r>
                <w:rPr>
                  <w:rFonts w:ascii="Times New Roman" w:cs="Times New Roman" w:eastAsia="Times New Roman" w:hAnsi="Times New Roman"/>
                  <w:sz w:val="18"/>
                  <w:szCs w:val="18"/>
                  <w:b w:val="1"/>
                  <w:bCs w:val="1"/>
                  <w:color w:val="0000EE"/>
                  <w:w w:val="93"/>
                </w:rPr>
                <w:t>PART III</w:t>
              </w:r>
            </w:hyperlink>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10040" w:type="dxa"/>
            <w:vAlign w:val="bottom"/>
            <w:gridSpan w:val="19"/>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400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Executive Compensation</w:t>
              </w:r>
            </w:hyperlink>
          </w:p>
        </w:tc>
        <w:tc>
          <w:tcPr>
            <w:tcW w:w="60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10040" w:type="dxa"/>
            <w:vAlign w:val="bottom"/>
            <w:gridSpan w:val="19"/>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12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Certain Relationships and Related Transactions, and Director Independence</w:t>
              </w:r>
            </w:hyperlink>
          </w:p>
        </w:tc>
        <w:tc>
          <w:tcPr>
            <w:tcW w:w="2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32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Principal Accounting Fees and Services</w:t>
              </w:r>
            </w:hyperlink>
          </w:p>
        </w:tc>
        <w:tc>
          <w:tcPr>
            <w:tcW w:w="47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300" w:type="dxa"/>
            <w:vAlign w:val="bottom"/>
            <w:gridSpan w:val="2"/>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Exhibits, Financial Statement Schedules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industries.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2"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June 2014, we completed the sale of substantially all the assets of our video camera segment, Cohu Electronics Division (“Cohu Electronics”). Our decision to sell Cohu Electronics resulted from management’s determination that this industry segment was no longer a strategic fit within our organization. As a result of the sale, the operating results of Cohu Electronics have been presented as discontinued operations and all prior period amounts have been reclassified accordingly. Unless otherwise noted all amounts presented are from continuing operations.</w:t>
      </w:r>
    </w:p>
    <w:p>
      <w:pPr>
        <w:spacing w:after="0" w:line="5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Subsequent to the sale of Cohu Electronics, we have two reportable segments, semiconductor equipment and mobile microwave communications systems. Our semiconductor equipment segment, Cohu’s Semiconductor Equipment Group (“SEG”), encompasses Cohu’s wholly owned subsidiaries Delta Design, Inc. (“Delta”), Rasco GmbH (“Rasco”) and Ismeca Semiconductor Holding SA (“Ismeca”). Delta develops, manufactures and sells pick-and-place semiconductor test handling equipment and thermal sub-systems to semiconductor manufacturers and test subcontractors throughout the world. Rasco develops, manufactures and sells gravity-feed and test-in-strip semiconductor test handling equipment and micro-electro-mechanical systems (“MEMS”) test modules used in final test operations by semiconductor manufacturers and test subcontractors. Ismeca, designs, manufactures and sells turret-based test handling and “back-end” finishing equipment for integrated circuits (“IC”), light emitting diodes (“LED”) and discrete components used by semiconductor manufacturers and test subcontractors throughout the world in assembly and packaging of devices.</w:t>
      </w:r>
    </w:p>
    <w:p>
      <w:pPr>
        <w:spacing w:after="0" w:line="5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Our microwave communications systems segment is comprised of our wholly owned subsidiary Broadcast Microwave Services, Inc. (“BMS”). BMS develops, manufactures and sells mobile microwave communications equipment to government agencies, law enforcement and public safety organizations, unmanned aerial vehicle program contractors, television broadcasters, entertainment companies, professional sports teams and other commercial entities.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by reportable segment, expressed as a percentage of total consolidated net sales, for the last three years were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62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5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 equipment</w:t>
            </w:r>
          </w:p>
        </w:tc>
        <w:tc>
          <w:tcPr>
            <w:tcW w:w="4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Microwave communications</w:t>
            </w:r>
          </w:p>
        </w:tc>
        <w:tc>
          <w:tcPr>
            <w:tcW w:w="47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740" w:type="dxa"/>
            <w:vAlign w:val="bottom"/>
            <w:vMerge w:val="restart"/>
          </w:tcPr>
          <w:p>
            <w:pPr>
              <w:jc w:val="right"/>
              <w:ind w:right="2972"/>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Additional financial information on our reportable segments for each of the last three years is included in Note 8, “Segment and Related Information” in Part IV, Item 15(a) of this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Semiconductor Equipment</w:t>
      </w:r>
    </w:p>
    <w:p>
      <w:pPr>
        <w:spacing w:after="0" w:line="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 worldwide supplier of semiconductor test handling and back-end finishing systems, MEMS test modules, and thermal sub-systems. Our semiconductor equipment companies develop, manufacture, sell and service a broad line of equipment capable of handling a wide range of integrated circuit and LED packages. Test handlers are electromechanical systems used to automate testing of integrated circuits and LEDs in the “back-end” of the semiconductor manufacturing process. Testing determines the quality and performance of the semiconductor device prior to shipment to customers. Testers are designed to verify the performance of semiconductor devices, such as microprocessors, logic, analog, memory or mixed signal devices. Handlers are automated systems engineered to thermally condition and present for testing the packaged semiconductor devices. The majority of test handlers use either pick-and-place, gravity-feed, turret or test-in-strip technologies. The type of packaged device, test parallelism, thermal requirements and signal interface requirements normally determines the appropriate handling approach.</w:t>
      </w:r>
    </w:p>
    <w:p>
      <w:pPr>
        <w:spacing w:after="0" w:line="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Pick-and-place handling is the predominant solution for devices with leads on all four sides, such as the quad flat pack, or with balls or pads on the bottom or top of the package, such as ball grid array packages, and quad flat no-lead packages as well as certain low profile devices with leads on two sides, such as the thin small outline package, and wafer-level packages. Pick-and-place handlers use robotic mechanisms to move devices from JEDEC (Joint Electron Device Engineering Council) standard trays and place them in precision transport boats or carriers for processing through the system. After testing, devices are sorted and reloaded into designated trays, based on test results.</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Gravity-feed handling is the predominant solution for temperature testing of high performance small outline leaded and non-leaded packages, as well as for large packages with leads on only one or two sides as is common in high power devices. In gravity-feed handlers, devices are unloaded from plastic tubes, metal magazines or a bowl at the top of the machine and flow through the system, from top to bottom, propelled by the force of gravity. After testing, devices are sorted and reloaded into tubes, magazines, bulk or tape for additional process steps or final shipment.</w:t>
      </w:r>
    </w:p>
    <w:p>
      <w:pPr>
        <w:spacing w:after="0" w:line="5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Turret handlers are ideally suited for high-volume and low-mix testing of smaller integrated circuit and LED devices. In turret handlers, devices are unloaded from tubes, a bowl, trays or film frame. Turret-based handlers use a rotating “turret” mechanism that provides very high device throughput and efficient integration of multiple back-end finishing operations.</w:t>
      </w:r>
    </w:p>
    <w:p>
      <w:pPr>
        <w:spacing w:after="0" w:line="51"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Test-in-strip handlers accommodate devices in strips or panels prior to the final singulation step in the semiconductor manufacturing process flow and are typically used for high-parallel testing applications.</w:t>
      </w:r>
    </w:p>
    <w:p>
      <w:pPr>
        <w:spacing w:after="0" w:line="39" w:lineRule="exact"/>
        <w:rPr>
          <w:sz w:val="20"/>
          <w:szCs w:val="20"/>
          <w:color w:val="auto"/>
        </w:rPr>
      </w:pPr>
    </w:p>
    <w:p>
      <w:pPr>
        <w:jc w:val="both"/>
        <w:ind w:right="560"/>
        <w:spacing w:after="0" w:line="262" w:lineRule="auto"/>
        <w:rPr>
          <w:sz w:val="20"/>
          <w:szCs w:val="20"/>
          <w:color w:val="auto"/>
        </w:rPr>
      </w:pPr>
      <w:r>
        <w:rPr>
          <w:rFonts w:ascii="Times New Roman" w:cs="Times New Roman" w:eastAsia="Times New Roman" w:hAnsi="Times New Roman"/>
          <w:sz w:val="18"/>
          <w:szCs w:val="18"/>
          <w:color w:val="auto"/>
        </w:rPr>
        <w:t>MEMS test modules are independent physical stimuli units for testing sensor integrated circuits typically used in the automotive and consumer electronics industries. These MEMS test modules can be integrated to our gravity-feed, pick-and-place, turret or test-in-strip handlers for testing a variety of sensors, including pressure, acoustic, magnetic field hall effect, optical and others.</w:t>
      </w:r>
    </w:p>
    <w:p>
      <w:pPr>
        <w:spacing w:after="0" w:line="5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To ensure quality, semiconductors are typically tested at hot and/or cold temperatures, which can simulate the final operating environment. Our test handler products are designed to provide a precisely controlled test environment, often over the range of -60 degrees Celsius to +175 degrees Celsius. As the speed and power of certain integrated circuits, such as microprocessors and mobile processors, have increased so has the need to actively manage the self-generated heat during the test process to maximize yield.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handling speed, flexibility, parallel test capability, alignment to the test contactors, system size, reliability and cost.</w:t>
      </w:r>
    </w:p>
    <w:p>
      <w:pPr>
        <w:spacing w:after="0" w:line="3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Thermal sub-systems are used in advanced burn-in and system-level test applications to maintain and control the temperature of integrated circuits during the testing process. Burn-in stresses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impact its performance. System-level testing is required for functional testing of high-end microprocessors as well as mobile processors combined with memory. This is typically the last test operation of complex, expensive integrated circuits prior to the final electronic integration process.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products are complex electromechanical systems that are used in high-volume production environments and many are in service twenty-four hours per day, seven days a week. Customers continuously strive to increase the utilization of their production test equipment and expect high reliability from test handlers, MEMS test modules and thermal subsystems used in burn-in and system-level test. The availability of trained technical support personnel is an important competitive factor in the marketplace. Our semiconductor equipment companies deploy service engineers worldwide, often within customers’ production facilities, who work with customer personnel to maintain, repair and continuously improve the performance of our equipment.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Semiconductor Equipment Products</w:t>
      </w:r>
    </w:p>
    <w:p>
      <w:pPr>
        <w:spacing w:after="0" w:line="92"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We offer products for the pick-and-place, gravity-feed, test-in-strip and turret handling, MEMS, burn-in and system-level test markets. We currently sell the following products in the semiconductor equipment market: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Pick-and-place</w:t>
      </w:r>
    </w:p>
    <w:p>
      <w:pPr>
        <w:spacing w:after="0" w:line="90"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EDGE</w:t>
      </w:r>
      <w:r>
        <w:rPr>
          <w:rFonts w:ascii="Times New Roman" w:cs="Times New Roman" w:eastAsia="Times New Roman" w:hAnsi="Times New Roman"/>
          <w:sz w:val="18"/>
          <w:szCs w:val="18"/>
          <w:color w:val="auto"/>
        </w:rPr>
        <w:t xml:space="preserve"> is a pick-and-place handler that combines an economical design with a small footprint and fast index time (processing speed of the contactor placement mechanism). The </w:t>
      </w:r>
      <w:r>
        <w:rPr>
          <w:rFonts w:ascii="Times New Roman" w:cs="Times New Roman" w:eastAsia="Times New Roman" w:hAnsi="Times New Roman"/>
          <w:sz w:val="18"/>
          <w:szCs w:val="18"/>
          <w:b w:val="1"/>
          <w:bCs w:val="1"/>
          <w:i w:val="1"/>
          <w:iCs w:val="1"/>
          <w:color w:val="auto"/>
        </w:rPr>
        <w:t>EDGE</w:t>
      </w:r>
      <w:r>
        <w:rPr>
          <w:rFonts w:ascii="Times New Roman" w:cs="Times New Roman" w:eastAsia="Times New Roman" w:hAnsi="Times New Roman"/>
          <w:sz w:val="18"/>
          <w:szCs w:val="18"/>
          <w:color w:val="auto"/>
        </w:rPr>
        <w:t xml:space="preserve"> handler is designed to meet the needs of integrated circuit manufacturers and subcontractors who test at ambient and hot temperatures.</w:t>
      </w:r>
    </w:p>
    <w:p>
      <w:pPr>
        <w:spacing w:after="0" w:line="46"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MATRiX</w:t>
      </w:r>
      <w:r>
        <w:rPr>
          <w:rFonts w:ascii="Times New Roman" w:cs="Times New Roman" w:eastAsia="Times New Roman" w:hAnsi="Times New Roman"/>
          <w:sz w:val="18"/>
          <w:szCs w:val="18"/>
          <w:color w:val="auto"/>
        </w:rPr>
        <w:t xml:space="preserve"> is a high performance pick-and-place handler capable of thermally conditioning devices from -60 degrees Celsius to +175 degrees Celsius. It provides increased productivity in several dimensions of performance: high throughput and test parallelism, scalability and active thermal control per test site. With an adjustable test site configuration, customers can reuse existing load-boards, including those made for competitor equipment and gravity handlers. The system also provides flexibility with field upgradeable options including a chamberless tri-temperature test site and auto contactor cleaning.</w:t>
      </w:r>
    </w:p>
    <w:p>
      <w:pPr>
        <w:spacing w:after="0" w:line="5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Pyramid</w:t>
      </w:r>
      <w:r>
        <w:rPr>
          <w:rFonts w:ascii="Times New Roman" w:cs="Times New Roman" w:eastAsia="Times New Roman" w:hAnsi="Times New Roman"/>
          <w:sz w:val="18"/>
          <w:szCs w:val="18"/>
          <w:color w:val="auto"/>
        </w:rPr>
        <w:t xml:space="preserve"> is a high performance thermal handler for microprocessors, graphics processors and other high power integrated circuits. The Pyramid incorporates our proprietary </w:t>
      </w:r>
      <w:r>
        <w:rPr>
          <w:rFonts w:ascii="Times New Roman" w:cs="Times New Roman" w:eastAsia="Times New Roman" w:hAnsi="Times New Roman"/>
          <w:sz w:val="18"/>
          <w:szCs w:val="18"/>
          <w:b w:val="1"/>
          <w:bCs w:val="1"/>
          <w:color w:val="auto"/>
        </w:rPr>
        <w:t>T-Core</w:t>
      </w:r>
      <w:r>
        <w:rPr>
          <w:rFonts w:ascii="Times New Roman" w:cs="Times New Roman" w:eastAsia="Times New Roman" w:hAnsi="Times New Roman"/>
          <w:sz w:val="18"/>
          <w:szCs w:val="18"/>
          <w:color w:val="auto"/>
        </w:rPr>
        <w:t xml:space="preserve"> thermal control technology that optimizes test yield of power dissipative integrated circuits.</w:t>
      </w:r>
    </w:p>
    <w:p>
      <w:pPr>
        <w:spacing w:after="0" w:line="3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Summit</w:t>
      </w:r>
      <w:r>
        <w:rPr>
          <w:rFonts w:ascii="Times New Roman" w:cs="Times New Roman" w:eastAsia="Times New Roman" w:hAnsi="Times New Roman"/>
          <w:sz w:val="18"/>
          <w:szCs w:val="18"/>
          <w:color w:val="auto"/>
        </w:rPr>
        <w:t xml:space="preserve"> series of pick-and-place thermal handlers incorporate our proprietary thermal control technology. The Summit PTC, or Passive Thermal Control, and ATC, or Active Thermal Control, models dissipate the heat generated during test enabling the integrated circuit to be tested successfully at its maximum speed and performance.</w:t>
      </w:r>
    </w:p>
    <w:p>
      <w:pPr>
        <w:spacing w:after="0" w:line="4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LinX </w:t>
      </w:r>
      <w:r>
        <w:rPr>
          <w:rFonts w:ascii="Times New Roman" w:cs="Times New Roman" w:eastAsia="Times New Roman" w:hAnsi="Times New Roman"/>
          <w:sz w:val="18"/>
          <w:szCs w:val="18"/>
          <w:color w:val="auto"/>
        </w:rPr>
        <w:t>is our platform serving assembly automation. Back-end semiconductor assembly is the major process step prior to device testing and validation. The LinX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line offers advanced JEDEC handing automation that efficiently links various assembly test processes.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Gravity-Feed</w:t>
      </w:r>
    </w:p>
    <w:p>
      <w:pPr>
        <w:spacing w:after="0" w:line="9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SO1000</w:t>
      </w:r>
      <w:r>
        <w:rPr>
          <w:rFonts w:ascii="Times New Roman" w:cs="Times New Roman" w:eastAsia="Times New Roman" w:hAnsi="Times New Roman"/>
          <w:sz w:val="18"/>
          <w:szCs w:val="18"/>
          <w:color w:val="auto"/>
        </w:rPr>
        <w:t xml:space="preserve"> is a high throughput gravity-feed platform that provides an economical solution for testing up to 4 devices in parallel. This handler can be configured for tube-to-tube or metal magazine input and output, ambient-hot or tri-temperature testing and is easily kit-able for a wide range of integrated circuit packages.</w:t>
      </w:r>
    </w:p>
    <w:p>
      <w:pPr>
        <w:spacing w:after="0" w:line="4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SO2000</w:t>
      </w:r>
      <w:r>
        <w:rPr>
          <w:rFonts w:ascii="Times New Roman" w:cs="Times New Roman" w:eastAsia="Times New Roman" w:hAnsi="Times New Roman"/>
          <w:sz w:val="18"/>
          <w:szCs w:val="18"/>
          <w:color w:val="auto"/>
        </w:rPr>
        <w:t xml:space="preserve"> is a modular platform that offers a reliable solution for testing small integrated circuit packages up to 4 devices in parallel. The base platform can be configured with various input and output modules: tube, metal magazine, bowl, bulk, tape and reel, and an optional laser marking unit. This handler can be configured for ambient-hot or tri-temperature testing.</w:t>
      </w:r>
    </w:p>
    <w:p>
      <w:pPr>
        <w:spacing w:after="0" w:line="4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Saturn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Jupiter </w:t>
      </w:r>
      <w:r>
        <w:rPr>
          <w:rFonts w:ascii="Times New Roman" w:cs="Times New Roman" w:eastAsia="Times New Roman" w:hAnsi="Times New Roman"/>
          <w:sz w:val="18"/>
          <w:szCs w:val="18"/>
          <w:color w:val="auto"/>
        </w:rPr>
        <w:t>are our next generation gravity handlers delivering a fast index time capability with up to 8 devices tested in parallel at cold and/or hot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temperature. Saturn has a configuration that covers testing of very small to medium size packaged integrated circuits, and Jupiter is a version that enables testing of medium to very large packaged integrated circuits typically serving the power management device market.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Test-in-strip</w:t>
      </w:r>
    </w:p>
    <w:p>
      <w:pPr>
        <w:spacing w:after="0" w:line="9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Jaguar</w:t>
      </w:r>
      <w:r>
        <w:rPr>
          <w:rFonts w:ascii="Times New Roman" w:cs="Times New Roman" w:eastAsia="Times New Roman" w:hAnsi="Times New Roman"/>
          <w:sz w:val="18"/>
          <w:szCs w:val="18"/>
          <w:color w:val="auto"/>
        </w:rPr>
        <w:t xml:space="preserve"> (formerly called </w:t>
      </w:r>
      <w:r>
        <w:rPr>
          <w:rFonts w:ascii="Times New Roman" w:cs="Times New Roman" w:eastAsia="Times New Roman" w:hAnsi="Times New Roman"/>
          <w:sz w:val="18"/>
          <w:szCs w:val="18"/>
          <w:b w:val="1"/>
          <w:bCs w:val="1"/>
          <w:color w:val="auto"/>
        </w:rPr>
        <w:t>SO3000)</w:t>
      </w:r>
      <w:r>
        <w:rPr>
          <w:rFonts w:ascii="Times New Roman" w:cs="Times New Roman" w:eastAsia="Times New Roman" w:hAnsi="Times New Roman"/>
          <w:sz w:val="18"/>
          <w:szCs w:val="18"/>
          <w:color w:val="auto"/>
        </w:rPr>
        <w:t xml:space="preserve"> test-in-strip handler can process an entire strip at once or index the strip for single/multiple device testing. The system has tri-temperature capability, accommodates either stacked or slotted input/output media and is configured with automated vision alignment. The Jaguar is also a solution for in-process testing of next generation multi-stacked packages.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455" w:right="2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Turret</w:t>
      </w:r>
    </w:p>
    <w:p>
      <w:pPr>
        <w:spacing w:after="0" w:line="9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NX32 </w:t>
      </w:r>
      <w:r>
        <w:rPr>
          <w:rFonts w:ascii="Times New Roman" w:cs="Times New Roman" w:eastAsia="Times New Roman" w:hAnsi="Times New Roman"/>
          <w:sz w:val="18"/>
          <w:szCs w:val="18"/>
          <w:color w:val="auto"/>
        </w:rPr>
        <w:t>is a scalable, 32-position turret handler used for testing and inspection of integrated circuits, LEDs, and discrete devices. There are many configurations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NX32 turret handler: handling wafers in film-frame for input and/or output that is common for LEDs and wafer level package (WLP) devices; tray and tube input and/or output used for integrated circuits and discrete devices; and bowl feeding, tape and de-taping, alignment, laser marking, inspection and test modules. The NX32 is capable of testing devices at ambient and hot temperature.</w:t>
      </w:r>
    </w:p>
    <w:p>
      <w:pPr>
        <w:spacing w:after="0" w:line="5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NY20 </w:t>
      </w:r>
      <w:r>
        <w:rPr>
          <w:rFonts w:ascii="Times New Roman" w:cs="Times New Roman" w:eastAsia="Times New Roman" w:hAnsi="Times New Roman"/>
          <w:sz w:val="18"/>
          <w:szCs w:val="18"/>
          <w:color w:val="auto"/>
        </w:rPr>
        <w:t>is our next generation turret handler platform that delivers higher throughput combined with fast device change-over time for both high-volume and high-mix testing and inspection of integrated circuits, LEDs and discrete devices. The new 20-position turret offers many of the functional modules and capabilities available on the NX32 platform in a smaller footprint, higher throughput handler.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Micro-Electro-Mechanical Systems (“MEMS”)</w:t>
      </w:r>
    </w:p>
    <w:p>
      <w:pPr>
        <w:spacing w:after="0" w:line="9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MEMS modules generate a physical stimuli for testing of sensor integrated circuits typically used in the automotive (e.g. tire pressure, airbag sensors) and consumer electronics (e.g. tilt, motion, microphone and light sensors) industries. The MEMS modules are stand-alone units that can be integrated into our pick-and-place, turret, test-in-strip, or gravity-feed handlers.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Thermal Sub-Systems</w:t>
      </w:r>
    </w:p>
    <w:p>
      <w:pPr>
        <w:spacing w:after="0" w:line="9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 xml:space="preserve">We have adapted our proprietary thermal control technology for use by integrated circuit manufacturers in high performance burn-in and system level test. The </w:t>
      </w:r>
      <w:r>
        <w:rPr>
          <w:rFonts w:ascii="Times New Roman" w:cs="Times New Roman" w:eastAsia="Times New Roman" w:hAnsi="Times New Roman"/>
          <w:sz w:val="18"/>
          <w:szCs w:val="18"/>
          <w:b w:val="1"/>
          <w:bCs w:val="1"/>
          <w:color w:val="auto"/>
        </w:rPr>
        <w:t xml:space="preserve">T-Core </w:t>
      </w:r>
      <w:r>
        <w:rPr>
          <w:rFonts w:ascii="Times New Roman" w:cs="Times New Roman" w:eastAsia="Times New Roman" w:hAnsi="Times New Roman"/>
          <w:sz w:val="18"/>
          <w:szCs w:val="18"/>
          <w:color w:val="auto"/>
        </w:rPr>
        <w:t>thermal sub-systems provide fast and accurate temperature control of the integrated circuit during the testing process using the same technology available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Pyramid handler. T-Core is also used in engineering device characterization applications.</w:t>
      </w:r>
    </w:p>
    <w:p>
      <w:pPr>
        <w:spacing w:after="0" w:line="4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Fusion HD </w:t>
      </w:r>
      <w:r>
        <w:rPr>
          <w:rFonts w:ascii="Times New Roman" w:cs="Times New Roman" w:eastAsia="Times New Roman" w:hAnsi="Times New Roman"/>
          <w:sz w:val="18"/>
          <w:szCs w:val="18"/>
          <w:color w:val="auto"/>
        </w:rPr>
        <w:t>is the next generation tri-temperature thermal sub-system leveraging our advanced T-Core technology for testing mobile processors. The Fusion HD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thermal sub-system can test greater than 450 devices in parallel while thermally conditioning and accurately controlling each device temperature through stringent, power dissipative test scripts.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Contactors</w:t>
      </w:r>
    </w:p>
    <w:p>
      <w:pPr>
        <w:spacing w:after="0" w:line="9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It is becoming increasingly important to supply an integrated solution for power semiconductor testing in automotive, industrial and LED markets. SEG designs, manufactures, sells and supports various lines of test contactor solutions. These are consumable, electro-mechanical assemblies that connect the device under test, inside our test handlers, and the automated test equipment.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Spares</w:t>
      </w:r>
    </w:p>
    <w:p>
      <w:pPr>
        <w:spacing w:after="0" w:line="94"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SEG provides consumable and non-consumable items that are used to maintain, sustain or otherwise enable customer’s equipment to meet its performance, availability and production requirements.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Tooling (kits)</w:t>
      </w:r>
    </w:p>
    <w:p>
      <w:pPr>
        <w:spacing w:after="0" w:line="94" w:lineRule="exact"/>
        <w:rPr>
          <w:sz w:val="20"/>
          <w:szCs w:val="20"/>
          <w:color w:val="auto"/>
        </w:rPr>
      </w:pPr>
    </w:p>
    <w:p>
      <w:pPr>
        <w:ind w:right="400"/>
        <w:spacing w:after="0" w:line="339" w:lineRule="auto"/>
        <w:rPr>
          <w:sz w:val="20"/>
          <w:szCs w:val="20"/>
          <w:color w:val="auto"/>
        </w:rPr>
      </w:pPr>
      <w:r>
        <w:rPr>
          <w:rFonts w:ascii="Times New Roman" w:cs="Times New Roman" w:eastAsia="Times New Roman" w:hAnsi="Times New Roman"/>
          <w:sz w:val="16"/>
          <w:szCs w:val="16"/>
          <w:color w:val="auto"/>
        </w:rPr>
        <w:t>SEG designs and manufactures a wide range of device dedication kits that enable handlers to process different semiconductor packages. Our Philippines and China operations design and manufacture the majority of our handler kits and provide applications support to customers in the southeast Asia region.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by Product Line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last three years, sales of our semiconductor equipment products were distributed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36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 test handler systems</w:t>
            </w:r>
          </w:p>
        </w:tc>
        <w:tc>
          <w:tcPr>
            <w:tcW w:w="29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shd w:val="clear" w:color="auto" w:fill="CCEEFF"/>
          </w:tcPr>
          <w:p>
            <w:pPr>
              <w:spacing w:after="0"/>
              <w:rPr>
                <w:sz w:val="18"/>
                <w:szCs w:val="18"/>
                <w:color w:val="auto"/>
              </w:rPr>
            </w:pPr>
          </w:p>
        </w:tc>
        <w:tc>
          <w:tcPr>
            <w:tcW w:w="29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vMerge w:val="continue"/>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Thermal sub-systems</w:t>
            </w:r>
          </w:p>
        </w:tc>
        <w:tc>
          <w:tcPr>
            <w:tcW w:w="3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Spares, tooling (kits) and service</w:t>
            </w:r>
          </w:p>
        </w:tc>
        <w:tc>
          <w:tcPr>
            <w:tcW w:w="3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Microwave Communications</w:t>
      </w:r>
    </w:p>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BMS develops, manufactures and sells mobile microwave communications equipment, antenna systems and associated equipment. These products are used in the transmission of video, audio and telemetry data. Applications for these microwave data-links include unmanned aerial vehicles (UAVs), law enforcement, security and surveillance, electronic news gathering and live broadcast communications.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Semiconductor Equipment</w:t>
      </w:r>
    </w:p>
    <w:p>
      <w:pPr>
        <w:spacing w:after="0" w:line="94"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Our customers include semiconductor integrated device manufacturers and test subcontractors. Repeat sales to existing customers represent a significant portion of our sales. During the last three years, a single customer from our semiconductor equipment segment comprised 10% or greater of our consolidated net sales:</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3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36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w:t>
            </w:r>
          </w:p>
        </w:tc>
        <w:tc>
          <w:tcPr>
            <w:tcW w:w="40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shd w:val="clear" w:color="auto" w:fill="CCEEFF"/>
          </w:tcPr>
          <w:p>
            <w:pPr>
              <w:spacing w:after="0"/>
              <w:rPr>
                <w:sz w:val="18"/>
                <w:szCs w:val="18"/>
                <w:color w:val="auto"/>
              </w:rPr>
            </w:pPr>
          </w:p>
        </w:tc>
        <w:tc>
          <w:tcPr>
            <w:tcW w:w="40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vMerge w:val="continue"/>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The loss of, or a significant reduction in, orders by this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5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Additional financial information on revenues from external customers by geographic area for each of the last three years is included in Note 8, “Segment and Related Information” in Part IV, Item 15(a) of this Form 10-K.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Microwave Communications</w:t>
      </w:r>
    </w:p>
    <w:p>
      <w:pPr>
        <w:spacing w:after="0" w:line="94" w:lineRule="exact"/>
        <w:rPr>
          <w:sz w:val="20"/>
          <w:szCs w:val="20"/>
          <w:color w:val="auto"/>
        </w:rPr>
      </w:pPr>
    </w:p>
    <w:p>
      <w:pPr>
        <w:ind w:right="300"/>
        <w:spacing w:after="0" w:line="310" w:lineRule="auto"/>
        <w:rPr>
          <w:sz w:val="20"/>
          <w:szCs w:val="20"/>
          <w:color w:val="auto"/>
        </w:rPr>
      </w:pPr>
      <w:r>
        <w:rPr>
          <w:rFonts w:ascii="Times New Roman" w:cs="Times New Roman" w:eastAsia="Times New Roman" w:hAnsi="Times New Roman"/>
          <w:sz w:val="16"/>
          <w:szCs w:val="16"/>
          <w:color w:val="auto"/>
        </w:rPr>
        <w:t>Our customer base for microwave communications equipment is diverse and includes government agencies, law enforcement and public safety organizations, unmanned aerial vehicle program contractors, television broadcasters, entertainment companies, professional sports teams and other commercial entities throughout the world. No single customer of this segment accounted for 10% or more of our consolidated net sales in 2014, 2013 or 2012.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market our products worldwide through a combination of a direct sales force and independent sales representatives. In geographic areas where we believe there is sufficient sales potential, we generally employ our own personnel. The U.S. sales office for our semiconductor equipment businesses is located in Poway, California. The Europe sales office is located in Kolbermoor, Germany. We operate in Asia with headquarters in Singapore and branch offices in Taiwan, China, Thailand, Korea and Malaysia. Sales in Japan are made primarily through independent sales representatives.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Semiconductor Equipment</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The Japanese and Korean markets for test handling equipment are large and represent a significant percentage of the worldwide market. During each of the last three years our sales to Japanese and Korean customers, who have historically purchased test handling equipment from Asian suppliers, have represented less than 10% of our total sales. Some of our current and potential competitors are part of larger corporations that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Microwave Communications Equipment</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products in the microwave communications equipment segment are sold in highly competitive markets throughout the world, where we compete on the basis of product performance and integration with customer requirements, service, product quality, reliability and price.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backlog of unfilled orders for products, by segment at December 27, 2014 and December 28, 2013, were as follows: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83"/>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5000" w:type="dxa"/>
            <w:vAlign w:val="bottom"/>
          </w:tcPr>
          <w:p>
            <w:pPr>
              <w:spacing w:after="0"/>
              <w:rPr>
                <w:sz w:val="15"/>
                <w:szCs w:val="15"/>
                <w:color w:val="auto"/>
              </w:rPr>
            </w:pP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60" w:type="dxa"/>
            <w:vAlign w:val="bottom"/>
          </w:tcPr>
          <w:p>
            <w:pPr>
              <w:spacing w:after="0"/>
              <w:rPr>
                <w:sz w:val="15"/>
                <w:szCs w:val="15"/>
                <w:color w:val="auto"/>
              </w:rPr>
            </w:pPr>
          </w:p>
        </w:tc>
      </w:tr>
      <w:tr>
        <w:trPr>
          <w:trHeight w:val="203"/>
        </w:trPr>
        <w:tc>
          <w:tcPr>
            <w:tcW w:w="5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Semiconductor equipment</w:t>
            </w:r>
          </w:p>
        </w:tc>
        <w:tc>
          <w:tcPr>
            <w:tcW w:w="35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$66.8</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$75.4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Microwave communications</w:t>
            </w:r>
          </w:p>
        </w:tc>
        <w:tc>
          <w:tcPr>
            <w:tcW w:w="3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7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consolidated backlog</w:t>
            </w:r>
          </w:p>
        </w:tc>
        <w:tc>
          <w:tcPr>
            <w:tcW w:w="4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75.4</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85.5</w:t>
            </w:r>
          </w:p>
        </w:tc>
      </w:tr>
      <w:tr>
        <w:trPr>
          <w:trHeight w:val="20"/>
        </w:trPr>
        <w:tc>
          <w:tcPr>
            <w:tcW w:w="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resulting in the inability to recognize revenue under accounting requirements. Furthermore, many orders are subject to cancellation or rescheduling by the customer with limited or no penalty. A reduction in backlog during any particular period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w:t>
      </w:r>
    </w:p>
    <w:p>
      <w:pPr>
        <w:spacing w:after="0" w:line="9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Our principal manufacturing operations are currently located in Poway, California (Delta and BMS); Laguna, Philippines (Delta-kits); Kolbermoor, Germany (Rasco); Malacca, Malaysia (Delta and Ismeca); and Suzhou, China (Ismeca-kits).</w:t>
      </w:r>
    </w:p>
    <w:p>
      <w:pPr>
        <w:spacing w:after="0" w:line="3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Many of the components and subassemblies we utilize are standard products, although some items are made to our specifications. Certain components, particularly in our semiconductor equipment businesses,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9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Our technology is protected by various intellectual property laws including patents, licenses, trademarks, copyrights and trade secrets. In addition, we believe that, due to the rapid pace of technological change in the semiconductor equipment industry and mobile microwave communications market,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Research and development activities are carried on in our various subsidiaries and are directed toward development of new products and equipment, as well as enhancements to existing products and equipment. Our total research and development expense was $40.6 million in 2014, $46.5 million in 2013 (both 2014 and 2013 include Ismeca, acquired on December 31, 2012), and $33.6 million in 2012.</w:t>
      </w:r>
    </w:p>
    <w:p>
      <w:pPr>
        <w:spacing w:after="0" w:line="5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Laws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 with foreign, federal, state and local laws that have been enacted or adopted regulating the discharge of materials into the environment or otherwise relating to the protection of the environment and the prevention of climate change have not had a material effect and are not expected to have a material effect upon our capital expenditures, results of operations or our competitive position. However, future changes in regulations may require expenditures that could adversely impact earnings in future years.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9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following sets forth the names, ages, positions and offices held by all executive officers of Cohu as of February 18, 2015. Executive Officers serve at the discretion of the Board of Directors, until their successors are appointed.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67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Cohu:</w:t>
            </w:r>
          </w:p>
        </w:tc>
        <w:tc>
          <w:tcPr>
            <w:tcW w:w="4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tcBorders>
              <w:top w:val="single" w:sz="8" w:color="auto"/>
            </w:tcBorders>
          </w:tcPr>
          <w:p>
            <w:pPr>
              <w:spacing w:after="0"/>
              <w:rPr>
                <w:sz w:val="16"/>
                <w:szCs w:val="16"/>
                <w:color w:val="auto"/>
              </w:rPr>
            </w:pP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A. Donahue</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6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Luis A. Müller</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6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D. Jones</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6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r>
      <w:tr>
        <w:trPr>
          <w:trHeight w:val="228"/>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H. Allen</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6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Vice President, Administration</w:t>
            </w:r>
          </w:p>
        </w:tc>
      </w:tr>
      <w:tr>
        <w:trPr>
          <w:trHeight w:val="420"/>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Cohu wholly owned subsidiaries: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Hock W. Chiang</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6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Vice President Global Sales &amp; Service – SEG</w:t>
            </w:r>
          </w:p>
        </w:tc>
      </w:tr>
      <w:tr>
        <w:trPr>
          <w:trHeight w:val="228"/>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Portmann</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6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Vice President Global Operations – SEG</w:t>
            </w:r>
          </w:p>
        </w:tc>
      </w:tr>
    </w:tbl>
    <w:p>
      <w:pPr>
        <w:spacing w:after="0" w:line="15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Mr. Donahue has been employed by Delta since 1978 and was President of Delta from May 1983 until December 2010. In October 1999, Mr. Donahue was named President and Chief Operating Officer of Cohu and was appointed to Cohu’s Board of Directors. In June 2000, Mr. Donahue was promoted to Chief Executive Officer and was appointed Chairman of the Board in March 2010. Effective December 28, 2014 Mr. Donahue retired as Cohu’s President and Chief Executive Officer and became Executive Chairman of Cohu’s Board of Directors.</w:t>
      </w:r>
    </w:p>
    <w:p>
      <w:pPr>
        <w:spacing w:after="0" w:line="5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Mr. Müller joined Delta in 2005 as Director of Engineering. In July 2008, Mr. Müller was promoted to the position of Vice President of the High Speed Handling Group for Delta and in January 2009 he was named Managing Director of Rasco. In January 2011, Mr. Müller was appointed President of Cohu’s Semiconductor Equipment Group. Effective December 28, 2014 Mr. Müller was promoted to President and Chief Executive Officer of Cohu and was appointed to Cohu’s Board of Directors.</w:t>
      </w:r>
    </w:p>
    <w:p>
      <w:pPr>
        <w:spacing w:after="0" w:line="5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Mr. Jones joined Delta in 2005 as Vice President Finance. In November 2007, Mr. Jones was named Vice President, Finance and Chief Financial Officer of Cohu. Prior to joining Delta, Mr. Jones, was a consultant from 2004 to 2005 and Vice President and General Manager of the Systems Group at SBS Technologies, Inc., a designer and manufacturer of embedded computer products, from 1998 to 2003.</w:t>
      </w:r>
    </w:p>
    <w:p>
      <w:pPr>
        <w:spacing w:after="0" w:line="5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Mr. Allen has been employed by Cohu since June 1995. He was Director of Finance until September 1995, became Vice President, Finance in September 1995, and was appointed Chief Financial Officer in October 1995. In November 2007, Mr. Allen was made Vice President, Administration. Prior to joining Cohu, Mr. Allen held various positions with Ernst &amp; Young LLP from 1976 until June 1995 and had been a partner with that firm since 1987.</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Mr. Chiang has been employed by Cohu since October 2012 as Vice President, Global Sales &amp; Service for Cohu’s Semiconductor Equipment Group. Prior to joining Cohu, Mr. Chiang served as a Director for AXElite Technology Corporation. Additionally, from 1995 through 2011, Mr. Chiang held a variety of positions at Teradyne, Inc. (“Teradyne”) including Director – Asia SOC Marketing &amp; New Business Development, Managing Director of Teradyne’s Singapore and China operations and Director of Worldwide Field Total Quality Management.</w:t>
      </w:r>
    </w:p>
    <w:p>
      <w:pPr>
        <w:spacing w:after="0" w:line="5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Mr. Portmann began his employment with Cohu with the acquisition of Ismeca on December 31, 2012 and was named Vice President Global Operations for Cohu’s Semiconductor Equipment Group in January 2013. Immediately prior to joining Cohu, Mr. Portman served as the Vice President and Global Operations Manager of Ismeca for seven years. Additionally, from 1994 through 2001, Mr. Portmann held a variety of leadership positions at Ismeca including General Manager of Ismeca Malaysia and Vice President of the Semiconductor Division.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December 27, 2014, we had approximately 1,600 employees. Our employee headcount has fluctuated in the last five years primarily due to the volatile business conditions in the semiconductor equipment industry and the acquisitions of Rasco and Ismeca. Our employees in the United States and most locations in Asia are not covered by collective bargaining agreements, however, certain employees at Rasco’s facility in Kolbermoor, Germany, are represented by a works council, employees at Ismeca’s facility La Chaux-de-Fonds, Switzerland are members of the micro-technology and Swiss watch trade union and certain employees in Ismeca’s China operation belong to local trade unions. We have not experienced any work stoppages and consider our relations with our employees to be good.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web 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is also posted on our web site at www.cohu.com/investors/corporategovernance. Information contained on our web site is not deemed part of this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acquisitions, investments and divestitures.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made, and may in the future make, acquisitions of, or significant investments in, businesses with complementary products, services and/or technologies.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investments involve numerous risks, including, but not limited to:</w:t>
      </w:r>
    </w:p>
    <w:p>
      <w:pPr>
        <w:spacing w:after="0" w:line="78" w:lineRule="exact"/>
        <w:rPr>
          <w:sz w:val="20"/>
          <w:szCs w:val="20"/>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costs in connection with integration of the personnel, operations, technologies and products of acquired businesses;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business;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operational matters;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or customers of Cohu or acquired businesses;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synergy, or the inability to realize expected synergies, resulting from the acquisition;</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commercialize purchased technology;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acquired intangible assets and goodwill that could result in significant charges to operating results in future periods.</w:t>
      </w:r>
    </w:p>
    <w:p>
      <w:pPr>
        <w:spacing w:after="0" w:line="9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We may be required to finance future acquisitions and investments through a combination of borrowings, proceeds from equity or debt offerings and the use of cash, cash equivalents and short-term investments.</w:t>
      </w:r>
    </w:p>
    <w:p>
      <w:pPr>
        <w:spacing w:after="0" w:line="3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With respect to divestitures, we may divest businesses that do not meet our strategic objectives, or do not meet our growth or profitability targets and may not be able to complete proposed divestitures on terms commercially favorable to us.</w:t>
      </w:r>
    </w:p>
    <w:p>
      <w:pPr>
        <w:spacing w:after="0" w:line="3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Mergers, acquisitions and investments are inherently risky and the inability to effectively manage these risks could materially and adversely affect our business, financial condition and results of operations. At December 27, 2014 we had goodwill and net purchased intangible assets balances of $63.1 million and $33.1 million, respectively. In the fourth quarter of 2014 we determined that the carrying value of our microwave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equipment segment was higher than its current fair market value and, as a result, we recorded a non-cash, pre-tax impairment charge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Additional information can be found in Note 3, “Microwave Communications Equipment Segment Impairment and Restructuring” in Part IV,</w:t>
      </w:r>
    </w:p>
    <w:p>
      <w:pPr>
        <w:spacing w:after="0" w:line="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Item 15(a) of this Form 10-K. Subsequent to this write-off we still have goodwill within our semiconductor equipment reporting unit and we may incur additional goodwill impairment charges in the future, which will have a negative impact on our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risks of operating a global business.</w:t>
      </w:r>
    </w:p>
    <w:p>
      <w:pPr>
        <w:spacing w:after="0" w:line="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51" w:lineRule="exact"/>
        <w:rPr>
          <w:sz w:val="20"/>
          <w:szCs w:val="20"/>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 staffing and managing international operations;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and intellectual property rights;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political and economic conditions;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restrictions on repatriating earnings and the threat of “double taxation”;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can affect demand and increase our costs.</w:t>
      </w:r>
    </w:p>
    <w:p>
      <w:pPr>
        <w:spacing w:after="0" w:line="90"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28" w:lineRule="exact"/>
        <w:rPr>
          <w:sz w:val="20"/>
          <w:szCs w:val="20"/>
          <w:color w:val="auto"/>
        </w:rPr>
      </w:pPr>
    </w:p>
    <w:p>
      <w:pPr>
        <w:ind w:right="2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We are in the process of transitioning our manufacturing to Asia. Our inability to manage multiple manufacturing sites during this transition and secure raw materials meeting our quality, cost and other requirements, or failures by our suppliers to perform, could harm our sales, service levels and reputation.</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Therefore, if we should fail to effectively manage overseas manufacturing operations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If our overseas manufacturing locations are unable to meet our manufacturing requirements in a timely manner, our ability to ship products and to realize the related revenues when anticipated could be materially affected.</w:t>
      </w:r>
    </w:p>
    <w:p>
      <w:pPr>
        <w:spacing w:after="0" w:line="6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suppliers are subject to the fluctuations in general economic cycles, and the global economic conditions may impact their ability to operate their business. They may also be impacted by the increasing costs of raw materials, labor and distribution, resulting in demands for less attractive contract terms or an inability for them to meet our requirements or conduct their own businesses. The performance and financial condition of a supplier may cause us to alter our business terms or to cease doing business with a particular supplier, or change our sourcing practices generally, which could in turn adversely affect our own business and financial condition.</w:t>
      </w:r>
    </w:p>
    <w:p>
      <w:pPr>
        <w:spacing w:after="0" w:line="13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microwave communications equipment segment depends on governments for a significant portion of its sales, creating uncertainty in the timing of and funding for projected contracts.</w:t>
      </w:r>
    </w:p>
    <w:p>
      <w:pPr>
        <w:spacing w:after="0" w:line="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significant portion of the sales of BMS are made to federal, state, local and foreign government agencies as a prime or sub-contractor. Government spending has historically been cyclical. A decrease in government spending or changes in spending allocation could result in one or more of the programs being reduced, delayed or terminated. Reductions or delays in the funding process or changes in funding caused by automatic budget cuts (“sequestration”) or unforeseen world events can impact the timing of available funds or can lead to changes in program content or termination. The loss of anticipated funding or the termination of multiple or large programs could have an adverse effect on our future sales and earnings.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industry we serve is highly volatile and unpredictable.</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2014, 2013 and 2012, we recorded pre-tax inventory-related charges of approximately $3.9 million, $7.8 million, and $8.6 million, respectively, primarily as a result of changes in customer forecasts.</w:t>
      </w:r>
    </w:p>
    <w:p>
      <w:pPr>
        <w:spacing w:after="0" w:line="139"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3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3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We believe that our existing sources of liquidity, including cash resources and cash provided by operating activities will provide sufficient resources to meet our working capital and cash requirements for at least the next twelve months. In the event we are required, or elect, to raise additional funds, we may be unable to do so on favorable terms, or at all, and may incur expenses in raising the additional funds and future indebtedness could adversely affect our operating results and severely limit our ability to plan for, or react to, changes in our business or industry. We could also be limited by financial and other restrictive covenants in credit arrangements, including limitations on our borrowing of additional funds and issuing dividends. If we choose to issue new equity securities, existing stockholders may experience dilution, or the new equity securities may have rights, preferences or privileges senior to those of existing holders of common stock.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equipment industry in general and the test handler market in particular, is highly competitive.</w:t>
      </w:r>
    </w:p>
    <w:p>
      <w:pPr>
        <w:spacing w:after="0" w:line="9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331"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34"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Semiconductor equipment and processes are subject to rapid technological change. We believe that our future success will depend in part on our ability to enhance existing products and develop new products with improved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27, 2014. Future inventory write-offs and increased inventory reserve requirements could have a material adverse impact on our results of operations and financial condition.</w:t>
      </w:r>
    </w:p>
    <w:p>
      <w:pPr>
        <w:spacing w:after="0" w:line="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MEMS, system-level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have an impact on our business and financial condition in ways that we currently cannot predict.</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operations and financial results depend on worldwide economic conditions and their impact on levels of business spending, which have deteriorated significantly in many countries and regions and may remain depressed for the foreseeable future.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the economic slowdown or the timing or strength of a subsequent recovery.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limited number of customers account for a substantial percentage of our net sales.</w:t>
      </w:r>
    </w:p>
    <w:p>
      <w:pPr>
        <w:spacing w:after="0" w:line="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 small number of customers of our semiconductor equipment segment have been responsible for a significant portion of our net sales. During the past five years, the percentage of our sales derived from these significant customers has varied greatly. Such variations are due to changes in the customers’ business and their purchase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09"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3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cyclical nature of the semiconductor equipment industry places enormous demands on our employees, operations and infrastructure.</w:t>
      </w:r>
    </w:p>
    <w:p>
      <w:pPr>
        <w:spacing w:after="0" w:line="9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The semiconductor equipment industry is characterized by dramatic and sometimes volatile changes in demand for its products. A number of factors including the semiconductor industry’s continually changing and unpredictable capacity requirements and changes in integrated circuit design and packaging, result in changes in product demand. Sudden changes in demand for semiconductor equipment have a significant impact on our operations. 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adversely impact our business.</w:t>
      </w:r>
    </w:p>
    <w:p>
      <w:pPr>
        <w:spacing w:after="0" w:line="9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Kolbermoor, Germany and La Chaux-de-Fonds, Switzerland areas, where the majority of our development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critical suppliers to deliver sufficient quantities of parts in a timely and cost-effective manner could adversely impact our operations.</w:t>
      </w:r>
    </w:p>
    <w:p>
      <w:pPr>
        <w:spacing w:after="0" w:line="9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violate our proprietary rights or accuse us of infringing upon their proprietary rights.</w:t>
      </w:r>
    </w:p>
    <w:p>
      <w:pPr>
        <w:spacing w:after="0" w:line="9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04"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3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United States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or exposure to additional income tax liabilities could affect our profitability.</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income and other taxes in the U.S. and numerous foreign jurisdictions. Our tax liabilities are affected by, among other things, the amounts our affiliated entities charge each other for intercompany transactions. We may be subject to ongoing tax examinations in various jurisdictions. Tax authorities may disagree with our intercompany charges or other matters and assess additional taxes. While we regularly assess the likely outcomes of these examinations in order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regulations may impact sales to foreign customers and impose costs.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Certain products and services that we offer require compliance with U.S.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6"/>
          <w:szCs w:val="16"/>
          <w:color w:val="auto"/>
        </w:rPr>
        <w:t>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to government regulations regarding sale and export, we are subject to other regulations regarding our products. For example, the U.S. Securities and Exchange Commission has adopted disclosure rules for companies that use conflict minerals in their products, with substantial supply chain verification requirements in the event that the materials come from, or could have come from, the Democratic Republic of the Congo or adjoining countries. These new rules and verification requirements will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security breaches.</w:t>
      </w:r>
    </w:p>
    <w:p>
      <w:pPr>
        <w:spacing w:after="0" w:line="9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occurrence of natural disasters and geopolitical instability caused by terrorist attacks and other threats may adversely impact our operations and sales.</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Corporate headquarters is located in San Diego, California, our Asian sales and service headquarters is located in Singapore and the majority of our sales are made to destinations in Asia. In addition, we have manufacturing plants in the Philippines, Malaysia and China.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we have customers throughout the Middle East and terrorist attacks, protests or other threats in this region may cause geopolitical instability, which may have an adverse impact on our business, results of operations and financial condition.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and operating results may vary and may fall below analysts’ estimates, which may cause the price of our common stock to decline.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may fluctuate from quarter to quarter due to a variety of factors including, but not limited to:</w:t>
      </w:r>
    </w:p>
    <w:p>
      <w:pPr>
        <w:spacing w:after="0" w:line="90" w:lineRule="exact"/>
        <w:rPr>
          <w:sz w:val="20"/>
          <w:szCs w:val="20"/>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nature of the semiconductor equipment industry;</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orders from customers and shipments to customers;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revenue due to accounting requirements;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writedowns;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deliver solutions as expected by our customers;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and deferred tax asset writedowns.</w:t>
      </w:r>
    </w:p>
    <w:p>
      <w:pPr>
        <w:spacing w:after="0" w:line="90"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significant volatility in our stock price.</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$14.16 to $7.96. The price of our stock may be more volatile than the stock of other companies due to, among other factors, the unpredictable and cyclical nature of the semiconductor industry, our significant customer concentration, intense 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concerning our principal properties at December 27, 2014, identified by business segment is set forth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3"/>
                <w:szCs w:val="13"/>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7860" w:type="dxa"/>
            <w:vAlign w:val="bottom"/>
            <w:gridSpan w:val="2"/>
            <w:vMerge w:val="restart"/>
          </w:tcPr>
          <w:p>
            <w:pPr>
              <w:spacing w:after="0"/>
              <w:rPr>
                <w:sz w:val="13"/>
                <w:szCs w:val="13"/>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3"/>
              </w:rPr>
              <w:t>Approximate</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7860" w:type="dxa"/>
            <w:vAlign w:val="bottom"/>
            <w:gridSpan w:val="2"/>
            <w:vMerge w:val="continue"/>
          </w:tcPr>
          <w:p>
            <w:pPr>
              <w:spacing w:after="0"/>
              <w:rPr>
                <w:sz w:val="14"/>
                <w:szCs w:val="14"/>
                <w:color w:val="auto"/>
              </w:rPr>
            </w:pPr>
          </w:p>
        </w:tc>
        <w:tc>
          <w:tcPr>
            <w:tcW w:w="1360" w:type="dxa"/>
            <w:vAlign w:val="bottom"/>
            <w:gridSpan w:val="2"/>
          </w:tcPr>
          <w:p>
            <w:pPr>
              <w:jc w:val="right"/>
              <w:ind w:right="640"/>
              <w:spacing w:after="0" w:line="152" w:lineRule="exact"/>
              <w:rPr>
                <w:sz w:val="20"/>
                <w:szCs w:val="20"/>
                <w:color w:val="auto"/>
              </w:rPr>
            </w:pPr>
            <w:r>
              <w:rPr>
                <w:rFonts w:ascii="Times New Roman" w:cs="Times New Roman" w:eastAsia="Times New Roman" w:hAnsi="Times New Roman"/>
                <w:sz w:val="14"/>
                <w:szCs w:val="14"/>
                <w:b w:val="1"/>
                <w:bCs w:val="1"/>
                <w:color w:val="auto"/>
                <w:w w:val="99"/>
              </w:rPr>
              <w:t>Sq. Footage</w:t>
            </w:r>
          </w:p>
        </w:tc>
        <w:tc>
          <w:tcPr>
            <w:tcW w:w="740" w:type="dxa"/>
            <w:vAlign w:val="bottom"/>
            <w:gridSpan w:val="2"/>
          </w:tcPr>
          <w:p>
            <w:pPr>
              <w:jc w:val="right"/>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3"/>
              </w:rPr>
              <w:t>Ownership</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84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Poway, California (1) (2) (3)</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338,000</w:t>
            </w: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Owned</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Kolbermoor, Germany (1)</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Malacca, Malaysia (1)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50,000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Calamba City, Laguna, Philippines (1)</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51,000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 Chaux-de-Fonds, Switzerland (1)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34,000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Suzhou, China (1)</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177"/>
        </w:trPr>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120" w:hanging="437"/>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Equipment</w:t>
      </w:r>
    </w:p>
    <w:p>
      <w:pPr>
        <w:spacing w:after="0" w:line="9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Microwave Communications</w:t>
      </w:r>
    </w:p>
    <w:p>
      <w:pPr>
        <w:spacing w:after="0" w:line="9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Cohu Corporate offices</w:t>
      </w:r>
    </w:p>
    <w:p>
      <w:pPr>
        <w:spacing w:after="0" w:line="9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addition to the locations listed above, we lease other properties primarily for sales and service offices in various locations. We believe our facilities are suitable for their respective uses and are adequate for our present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From time-to-time we are involved in various legal proceedings, examinations by various tax authorities and claims that have arisen in the ordinary course of our businesses.</w:t>
      </w:r>
    </w:p>
    <w:p>
      <w:pPr>
        <w:spacing w:after="0" w:line="3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outcome of any litigations, examinations and claims is inherently uncertain. While there can be no assurance, we do not believe at the present time that the resolution of the matters described above will have a material adverse effect on our assets, financial position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90"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Information</w:t>
      </w:r>
    </w:p>
    <w:p>
      <w:pPr>
        <w:spacing w:after="0" w:line="92"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Cohu, Inc. stock is traded on the NASDAQ Global Select Market under the symbol “COHU”. The following table sets forth the high and low sales prices as reported on the NASDAQ Global Select Market during the last two years.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72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Fiscal 2014</w:t>
            </w:r>
          </w:p>
        </w:tc>
        <w:tc>
          <w:tcPr>
            <w:tcW w:w="130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Fiscal 2013</w:t>
            </w:r>
          </w:p>
        </w:tc>
      </w:tr>
      <w:tr>
        <w:trPr>
          <w:trHeight w:val="142"/>
        </w:trPr>
        <w:tc>
          <w:tcPr>
            <w:tcW w:w="7480" w:type="dxa"/>
            <w:vAlign w:val="bottom"/>
          </w:tcPr>
          <w:p>
            <w:pPr>
              <w:spacing w:after="0"/>
              <w:rPr>
                <w:sz w:val="12"/>
                <w:szCs w:val="12"/>
                <w:color w:val="auto"/>
              </w:rPr>
            </w:pPr>
          </w:p>
        </w:tc>
        <w:tc>
          <w:tcPr>
            <w:tcW w:w="860" w:type="dxa"/>
            <w:vAlign w:val="bottom"/>
            <w:tcBorders>
              <w:top w:val="single" w:sz="8" w:color="auto"/>
            </w:tcBorders>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color w:val="auto"/>
                <w:w w:val="99"/>
              </w:rPr>
              <w:t>High</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Low</w:t>
            </w:r>
          </w:p>
        </w:tc>
        <w:tc>
          <w:tcPr>
            <w:tcW w:w="36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High</w:t>
            </w: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3"/>
              </w:rPr>
              <w:t>Low</w:t>
            </w:r>
          </w:p>
        </w:tc>
        <w:tc>
          <w:tcPr>
            <w:tcW w:w="60" w:type="dxa"/>
            <w:vAlign w:val="bottom"/>
          </w:tcPr>
          <w:p>
            <w:pPr>
              <w:spacing w:after="0"/>
              <w:rPr>
                <w:sz w:val="12"/>
                <w:szCs w:val="12"/>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$ 11.36</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$ 11.49</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$ 11.35</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$12.93</w:t>
            </w:r>
          </w:p>
        </w:tc>
        <w:tc>
          <w:tcPr>
            <w:tcW w:w="8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8"/>
              </w:rPr>
              <w:t>$8.63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10.12</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$13.40</w:t>
            </w:r>
          </w:p>
        </w:tc>
        <w:tc>
          <w:tcPr>
            <w:tcW w:w="800" w:type="dxa"/>
            <w:vAlign w:val="bottom"/>
            <w:gridSpan w:val="3"/>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$9.82</w:t>
            </w:r>
          </w:p>
        </w:tc>
      </w:tr>
      <w:tr>
        <w:trPr>
          <w:trHeight w:val="228"/>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$12.46</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$ 11.19</w:t>
            </w:r>
          </w:p>
        </w:tc>
        <w:tc>
          <w:tcPr>
            <w:tcW w:w="8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8"/>
              </w:rPr>
              <w:t>$9.01</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18, 2015, Cohu had 499 stockholders of record.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paid consecutive quarterly dividends since 1977 and, as discussed below, expect to continue doing so. Cash dividends, per share, declared in 2014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5"/>
              </w:rPr>
              <w:t>Fiscal 2014</w:t>
            </w:r>
          </w:p>
        </w:tc>
        <w:tc>
          <w:tcPr>
            <w:tcW w:w="64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2"/>
              </w:rPr>
              <w:t>Fiscal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4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4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research and development, investments and acquisitions, legal risks and stock repurchases.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 xml:space="preserve">The following table summarizes information with respect to equity awards under Cohu’s equity compensation plans at December 27, 2014 </w:t>
      </w:r>
      <w:r>
        <w:rPr>
          <w:rFonts w:ascii="Times New Roman" w:cs="Times New Roman" w:eastAsia="Times New Roman" w:hAnsi="Times New Roman"/>
          <w:sz w:val="18"/>
          <w:szCs w:val="18"/>
          <w:i w:val="1"/>
          <w:iCs w:val="1"/>
          <w:color w:val="auto"/>
        </w:rPr>
        <w:t>(in thousands, except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 share amounts)</w:t>
      </w:r>
      <w:r>
        <w:rPr>
          <w:rFonts w:ascii="Times New Roman" w:cs="Times New Roman" w:eastAsia="Times New Roman" w:hAnsi="Times New Roman"/>
          <w:sz w:val="18"/>
          <w:szCs w:val="18"/>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 of securities</w:t>
            </w:r>
          </w:p>
        </w:tc>
        <w:tc>
          <w:tcPr>
            <w:tcW w:w="252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Weighted average</w:t>
            </w: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 be issued upon</w:t>
            </w:r>
          </w:p>
        </w:tc>
        <w:tc>
          <w:tcPr>
            <w:tcW w:w="2520" w:type="dxa"/>
            <w:vAlign w:val="bottom"/>
            <w:gridSpan w:val="4"/>
          </w:tcPr>
          <w:p>
            <w:pPr>
              <w:ind w:left="460"/>
              <w:spacing w:after="0" w:line="149" w:lineRule="exact"/>
              <w:rPr>
                <w:sz w:val="20"/>
                <w:szCs w:val="20"/>
                <w:color w:val="auto"/>
              </w:rPr>
            </w:pPr>
            <w:r>
              <w:rPr>
                <w:rFonts w:ascii="Times New Roman" w:cs="Times New Roman" w:eastAsia="Times New Roman" w:hAnsi="Times New Roman"/>
                <w:sz w:val="14"/>
                <w:szCs w:val="14"/>
                <w:color w:val="auto"/>
              </w:rPr>
              <w:t>exercise price of</w:t>
            </w:r>
          </w:p>
        </w:tc>
        <w:tc>
          <w:tcPr>
            <w:tcW w:w="1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available for future issuance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outstanding</w:t>
            </w:r>
          </w:p>
        </w:tc>
        <w:tc>
          <w:tcPr>
            <w:tcW w:w="2520" w:type="dxa"/>
            <w:vAlign w:val="bottom"/>
            <w:gridSpan w:val="4"/>
          </w:tcPr>
          <w:p>
            <w:pPr>
              <w:ind w:left="460"/>
              <w:spacing w:after="0" w:line="149" w:lineRule="exact"/>
              <w:rPr>
                <w:sz w:val="20"/>
                <w:szCs w:val="20"/>
                <w:color w:val="auto"/>
              </w:rPr>
            </w:pPr>
            <w:r>
              <w:rPr>
                <w:rFonts w:ascii="Times New Roman" w:cs="Times New Roman" w:eastAsia="Times New Roman" w:hAnsi="Times New Roman"/>
                <w:sz w:val="14"/>
                <w:szCs w:val="14"/>
                <w:color w:val="auto"/>
              </w:rPr>
              <w:t>outstanding options,</w:t>
            </w:r>
          </w:p>
        </w:tc>
        <w:tc>
          <w:tcPr>
            <w:tcW w:w="1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under equity compensation</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Plan category</w:t>
            </w:r>
          </w:p>
        </w:tc>
        <w:tc>
          <w:tcPr>
            <w:tcW w:w="4680" w:type="dxa"/>
            <w:vAlign w:val="bottom"/>
            <w:gridSpan w:val="2"/>
            <w:vMerge w:val="restart"/>
          </w:tcPr>
          <w:p>
            <w:pPr>
              <w:spacing w:after="0"/>
              <w:rPr>
                <w:sz w:val="12"/>
                <w:szCs w:val="12"/>
                <w:color w:val="auto"/>
              </w:rPr>
            </w:pPr>
          </w:p>
        </w:tc>
        <w:tc>
          <w:tcPr>
            <w:tcW w:w="1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options, warrants and</w:t>
            </w:r>
          </w:p>
        </w:tc>
        <w:tc>
          <w:tcPr>
            <w:tcW w:w="2520" w:type="dxa"/>
            <w:vAlign w:val="bottom"/>
            <w:gridSpan w:val="4"/>
          </w:tcPr>
          <w:p>
            <w:pPr>
              <w:ind w:left="460"/>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1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plans (excluding securities</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4680" w:type="dxa"/>
            <w:vAlign w:val="bottom"/>
            <w:gridSpan w:val="2"/>
            <w:vMerge w:val="continue"/>
          </w:tcPr>
          <w:p>
            <w:pPr>
              <w:spacing w:after="0"/>
              <w:rPr>
                <w:sz w:val="14"/>
                <w:szCs w:val="14"/>
                <w:color w:val="auto"/>
              </w:rPr>
            </w:pPr>
          </w:p>
        </w:tc>
        <w:tc>
          <w:tcPr>
            <w:tcW w:w="172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rights (a) (1)</w:t>
            </w:r>
          </w:p>
        </w:tc>
        <w:tc>
          <w:tcPr>
            <w:tcW w:w="1000" w:type="dxa"/>
            <w:vAlign w:val="bottom"/>
            <w:gridSpan w:val="2"/>
          </w:tcPr>
          <w:p>
            <w:pPr>
              <w:ind w:left="460"/>
              <w:spacing w:after="0" w:line="148" w:lineRule="exact"/>
              <w:rPr>
                <w:sz w:val="20"/>
                <w:szCs w:val="20"/>
                <w:color w:val="auto"/>
              </w:rPr>
            </w:pPr>
            <w:r>
              <w:rPr>
                <w:rFonts w:ascii="Times New Roman" w:cs="Times New Roman" w:eastAsia="Times New Roman" w:hAnsi="Times New Roman"/>
                <w:sz w:val="14"/>
                <w:szCs w:val="14"/>
                <w:color w:val="auto"/>
              </w:rPr>
              <w:t>(b) (2)</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reflected in column (a))(c) (3)</w:t>
            </w: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3,795</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11.67</w:t>
            </w:r>
          </w:p>
        </w:tc>
        <w:tc>
          <w:tcPr>
            <w:tcW w:w="9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3,795</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11.67</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line="275"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restricted stock units (“RSUs”) and performance stock units (“PSUs”) outstanding under Cohu’s equity incentive plans. No stock warrants or other rights were outstanding as of December 27, 2014.</w:t>
      </w:r>
    </w:p>
    <w:p>
      <w:pPr>
        <w:spacing w:after="0" w:line="38"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of outstanding options, warrants and rights does not take RSUs and PSUs into account as RSUs and PSUs have a de minimus purchase price.</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183,591 shares of common stock reserved for future issuance under the Cohu 1997 Employee Stock Purchase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details regarding Cohu’s equity compensation plans, see Note 6, “Employee Benefit Plans”, included in Part IV, Item 15(a) of this Form 10-K.</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 Graph</w:t>
      </w:r>
    </w:p>
    <w:p>
      <w:pPr>
        <w:spacing w:after="0" w:line="9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the common stock of Cohu for the last five fiscal years with the cumulative total return on a Peer Group Index, Custom Group Index and a NASDAQ Market Index over the same period (assuming the investment of $100 in Cohu’s common stock, Peer Group Index, Custom Group Index and NASDAQ Market Index on December 26, 2009 and reinvestment of all dividends). The Peer Group Index set forth on the Performance Graph is the Morningstar Semiconductor Equipment and Materials Index. The Morningstar Semiconductor Equipment and Materials Index is comprised of approximately 40 publicly-held semiconductor equipment and other related companies. In the current year we also selected the Custom Group Index that is comprised of the peer group companies associated with our performance stock units issued under our equity incentive plan. In 2014 the Custom Group Index was comprised of Advanced Energy Industries Inc., Advantest Corp., ASM Pacific Technology Ltd., Axcelis Technologies Inc., BE Semiconductor Industries N.V., Brooks Automation Inc., Cabot Microelectronics Corp., Cascade Microtech Inc., Electro Scientific Industries Inc., FormFactor Inc., Kulicke and Soffa Industries Inc., Mattson Technology Inc., MKS Instruments Inc., Nanometrics Inc., Newport Corp., Photronics Inc., Rudolph Technologies Inc., Teradyne Inc., Tessera Technologies Inc., Ultra Clean Holdings Inc., Ultratech Inc., and Xcerra Corp. Historical stock price performance is not necessarily indicative of future stock price performance.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Among Cohu Inc., the NASDAQ Composite Index,</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Peer Group, and Custom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135890</wp:posOffset>
            </wp:positionV>
            <wp:extent cx="4776470" cy="2701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7647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2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2010</w:t>
            </w:r>
          </w:p>
        </w:tc>
        <w:tc>
          <w:tcPr>
            <w:tcW w:w="2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2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60" w:type="dxa"/>
            <w:vAlign w:val="bottom"/>
          </w:tcPr>
          <w:p>
            <w:pPr>
              <w:spacing w:after="0"/>
              <w:rPr>
                <w:sz w:val="14"/>
                <w:szCs w:val="14"/>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Cohu, Inc.</w:t>
            </w:r>
          </w:p>
        </w:tc>
        <w:tc>
          <w:tcPr>
            <w:tcW w:w="3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$100</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$ 117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NASDAQ Index</w:t>
            </w:r>
          </w:p>
        </w:tc>
        <w:tc>
          <w:tcPr>
            <w:tcW w:w="3800" w:type="dxa"/>
            <w:vAlign w:val="bottom"/>
            <w:gridSpan w:val="3"/>
          </w:tcPr>
          <w:p>
            <w:pPr>
              <w:ind w:left="318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$ 118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119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224</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 Group</w:t>
            </w:r>
          </w:p>
        </w:tc>
        <w:tc>
          <w:tcPr>
            <w:tcW w:w="3800" w:type="dxa"/>
            <w:vAlign w:val="bottom"/>
            <w:gridSpan w:val="3"/>
            <w:shd w:val="clear" w:color="auto" w:fill="CCEEFF"/>
          </w:tcPr>
          <w:p>
            <w:pPr>
              <w:ind w:left="318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$ 111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162</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Custom Group</w:t>
            </w:r>
          </w:p>
        </w:tc>
        <w:tc>
          <w:tcPr>
            <w:tcW w:w="3800" w:type="dxa"/>
            <w:vAlign w:val="bottom"/>
            <w:gridSpan w:val="3"/>
          </w:tcPr>
          <w:p>
            <w:pPr>
              <w:ind w:left="318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130</w:t>
            </w:r>
          </w:p>
        </w:tc>
      </w:tr>
      <w:tr>
        <w:trPr>
          <w:trHeight w:val="350"/>
        </w:trPr>
        <w:tc>
          <w:tcPr>
            <w:tcW w:w="2940" w:type="dxa"/>
            <w:vAlign w:val="bottom"/>
          </w:tcPr>
          <w:p>
            <w:pPr>
              <w:spacing w:after="0"/>
              <w:rPr>
                <w:sz w:val="24"/>
                <w:szCs w:val="24"/>
                <w:color w:val="auto"/>
              </w:rPr>
            </w:pPr>
          </w:p>
        </w:tc>
        <w:tc>
          <w:tcPr>
            <w:tcW w:w="3180" w:type="dxa"/>
            <w:vAlign w:val="bottom"/>
          </w:tcPr>
          <w:p>
            <w:pPr>
              <w:jc w:val="right"/>
              <w:ind w:right="1156"/>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92" w:lineRule="exact"/>
        <w:rPr>
          <w:sz w:val="20"/>
          <w:szCs w:val="20"/>
          <w:color w:val="auto"/>
        </w:rPr>
      </w:pPr>
    </w:p>
    <w:p>
      <w:pPr>
        <w:ind w:right="440"/>
        <w:spacing w:after="0" w:line="296" w:lineRule="auto"/>
        <w:rPr>
          <w:sz w:val="20"/>
          <w:szCs w:val="20"/>
          <w:color w:val="auto"/>
        </w:rPr>
      </w:pPr>
      <w:r>
        <w:rPr>
          <w:rFonts w:ascii="Times New Roman" w:cs="Times New Roman" w:eastAsia="Times New Roman" w:hAnsi="Times New Roman"/>
          <w:sz w:val="16"/>
          <w:szCs w:val="16"/>
          <w:color w:val="auto"/>
        </w:rPr>
        <w:t>The following selected financial data should be read in conjunction with Cohu’s consolidated financial statements and notes thereto included in Part IV, Item 15(a) and with management’s discussion and analysis of financial condition and results of operations, included in Part II, Item 7. In June 2014, we completed the sale of Cohu Electronics and as a result we are presenting Cohu Electronics as a discontinued operation for all periods presented. Additional information related to the sale of Cohu Electronics is included in Note 2, “Disposal of Video Camera Segment” in Part IV, Item 15(a) of this Form 10-K. On December 31, 2012, we purchased Ismeca and the results of its operations have been included in our consolidated financial statements since that date.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Dec. 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78"/>
              <w:spacing w:after="0"/>
              <w:rPr>
                <w:sz w:val="20"/>
                <w:szCs w:val="20"/>
                <w:color w:val="auto"/>
              </w:rPr>
            </w:pPr>
            <w:r>
              <w:rPr>
                <w:rFonts w:ascii="Times New Roman" w:cs="Times New Roman" w:eastAsia="Times New Roman" w:hAnsi="Times New Roman"/>
                <w:sz w:val="14"/>
                <w:szCs w:val="14"/>
                <w:color w:val="auto"/>
              </w:rPr>
              <w:t>Dec. 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78"/>
              <w:spacing w:after="0"/>
              <w:rPr>
                <w:sz w:val="20"/>
                <w:szCs w:val="20"/>
                <w:color w:val="auto"/>
              </w:rPr>
            </w:pPr>
            <w:r>
              <w:rPr>
                <w:rFonts w:ascii="Times New Roman" w:cs="Times New Roman" w:eastAsia="Times New Roman" w:hAnsi="Times New Roman"/>
                <w:sz w:val="14"/>
                <w:szCs w:val="14"/>
                <w:color w:val="auto"/>
                <w:w w:val="96"/>
              </w:rPr>
              <w:t>Dec. 29</w:t>
            </w:r>
          </w:p>
        </w:tc>
        <w:tc>
          <w:tcPr>
            <w:tcW w:w="8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Dec.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Dec. 25</w:t>
            </w:r>
          </w:p>
        </w:tc>
        <w:tc>
          <w:tcPr>
            <w:tcW w:w="0" w:type="dxa"/>
            <w:vAlign w:val="bottom"/>
          </w:tcPr>
          <w:p>
            <w:pPr>
              <w:spacing w:after="0"/>
              <w:rPr>
                <w:sz w:val="1"/>
                <w:szCs w:val="1"/>
                <w:color w:val="auto"/>
              </w:rPr>
            </w:pPr>
          </w:p>
        </w:tc>
      </w:tr>
      <w:tr>
        <w:trPr>
          <w:trHeight w:val="149"/>
        </w:trPr>
        <w:tc>
          <w:tcPr>
            <w:tcW w:w="72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0" w:type="dxa"/>
            <w:vAlign w:val="bottom"/>
          </w:tcPr>
          <w:p>
            <w:pPr>
              <w:spacing w:after="0"/>
              <w:rPr>
                <w:sz w:val="12"/>
                <w:szCs w:val="12"/>
                <w:color w:val="auto"/>
              </w:rPr>
            </w:pPr>
          </w:p>
        </w:tc>
        <w:tc>
          <w:tcPr>
            <w:tcW w:w="5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0"/>
                <w:szCs w:val="10"/>
                <w:color w:val="auto"/>
              </w:rPr>
              <w:t xml:space="preserve">2014 </w:t>
            </w:r>
            <w:r>
              <w:rPr>
                <w:rFonts w:ascii="Times New Roman" w:cs="Times New Roman" w:eastAsia="Times New Roman" w:hAnsi="Times New Roman"/>
                <w:sz w:val="14"/>
                <w:szCs w:val="14"/>
                <w:color w:val="auto"/>
                <w:vertAlign w:val="superscript"/>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29" w:lineRule="exact"/>
              <w:rPr>
                <w:sz w:val="20"/>
                <w:szCs w:val="20"/>
                <w:color w:val="auto"/>
              </w:rPr>
            </w:pPr>
            <w:r>
              <w:rPr>
                <w:rFonts w:ascii="Times New Roman" w:cs="Times New Roman" w:eastAsia="Times New Roman" w:hAnsi="Times New Roman"/>
                <w:sz w:val="14"/>
                <w:szCs w:val="14"/>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29" w:lineRule="exact"/>
              <w:rPr>
                <w:sz w:val="20"/>
                <w:szCs w:val="20"/>
                <w:color w:val="auto"/>
              </w:rPr>
            </w:pPr>
            <w:r>
              <w:rPr>
                <w:rFonts w:ascii="Times New Roman" w:cs="Times New Roman" w:eastAsia="Times New Roman" w:hAnsi="Times New Roman"/>
                <w:sz w:val="14"/>
                <w:szCs w:val="14"/>
                <w:color w:val="auto"/>
              </w:rPr>
              <w:t>2012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0"/>
                <w:szCs w:val="10"/>
                <w:color w:val="auto"/>
              </w:rPr>
              <w:t xml:space="preserve">2011 </w:t>
            </w:r>
            <w:r>
              <w:rPr>
                <w:rFonts w:ascii="Times New Roman" w:cs="Times New Roman" w:eastAsia="Times New Roman" w:hAnsi="Times New Roman"/>
                <w:sz w:val="14"/>
                <w:szCs w:val="14"/>
                <w:color w:val="auto"/>
                <w:vertAlign w:val="superscript"/>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29" w:lineRule="exact"/>
              <w:rPr>
                <w:sz w:val="20"/>
                <w:szCs w:val="20"/>
                <w:color w:val="auto"/>
              </w:rPr>
            </w:pPr>
            <w:r>
              <w:rPr>
                <w:rFonts w:ascii="Times New Roman" w:cs="Times New Roman" w:eastAsia="Times New Roman" w:hAnsi="Times New Roman"/>
                <w:sz w:val="14"/>
                <w:szCs w:val="14"/>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auto"/>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Consolidated Statement of Operations Data:</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333,323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w w:val="95"/>
              </w:rPr>
              <w:t>231,574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206,312</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290,615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305,271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(12,122)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24,285</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 - 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 -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 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Net income (loss) -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per share, paid quarterly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Consolidated Balance Sheet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Consolidated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348,818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5"/>
              </w:rPr>
              <w:t>345,423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334,873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350,010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354,951</w:t>
            </w:r>
          </w:p>
        </w:tc>
        <w:tc>
          <w:tcPr>
            <w:tcW w:w="0" w:type="dxa"/>
            <w:vAlign w:val="bottom"/>
          </w:tcPr>
          <w:p>
            <w:pPr>
              <w:spacing w:after="0"/>
              <w:rPr>
                <w:sz w:val="1"/>
                <w:szCs w:val="1"/>
                <w:color w:val="auto"/>
              </w:rPr>
            </w:pPr>
          </w:p>
        </w:tc>
      </w:tr>
      <w:tr>
        <w:trPr>
          <w:trHeight w:val="228"/>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Working Capital</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145,264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w w:val="95"/>
              </w:rPr>
              <w:t>125,837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184,703</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183,283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160,336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240" w:hanging="452"/>
        <w:spacing w:after="0" w:line="275"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continuing operations for the year ended December 27, 2014 includes an impairment charge of $5.0 million. Additional information can be found in Note 3, “Microwave Communications Equipment Segment Impairment and Restructuring” in Part IV, Item 15(a) of this Form 10-K.</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2011 consists of 53 weeks. All other years are comprised of 52 weeks.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Cohu operates in two business segments. Our primary business is the development, manufacture, sale and servicing of test handling, thermal sub-systems and MEMS test solutions for the global semiconductor industry through our wholly-owned subsidiaries, Delta Design, Inc., Rasco GmbH and Ismeca Semiconductor Holding SA. Our primary business is significantly dependent on capital expenditures by semiconductor manufacturers and test subcontractors, which in turn is dependent on the current and anticipated market demand for semiconductors that is subject to cyclical trends and, as a result, our results can vary significantly year-over-year, as well as quarter-over-quarter. We expect that the semiconductor equipment industry will continue to be cyclical and volatile in part because consumer electronics, the principal end market for integrated circuits, is a highly dynamic industry and demand is difficult to accurately predict as it is ultimately driven by end-user demand for electronic products.</w:t>
      </w:r>
    </w:p>
    <w:p>
      <w:pPr>
        <w:spacing w:after="0" w:line="6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Average orders for back-end semiconductor equipment, as reported by Semiconductor Equipment and Materials International (SEMI), increased steadily through the first half of the year reaching a peak in June and have decreased during the second half of 2014. Consistent with the broader market, the order momentum within our semiconductor equipment segment that started toward the end of fiscal 2013 maintained an upward trend through the first half of 2014 and then declined in the second half of 2014 with orders generated by our semiconductor equipment segment decreasing approximately 32% sequentially in the fourth quarter of 2014 as customers digest the significant capacity additions from recent quarters and a large customer order was delayed into the first quarter of 2015. Additionally, we see a seasonal trend to the order demand for certain markets such as automotive and industrial integrated circuits that slow down during the winter months.</w:t>
      </w:r>
    </w:p>
    <w:p>
      <w:pPr>
        <w:spacing w:after="0" w:line="6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Despite the drop in order activity, we continue to experience broad demand across our product lines and customer base with our pick and place and gravity handlers benefiting in particular from continued demand from the automotive and industrial segments. Demand for our thermal subsystems is being driven by the continuing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popularity of consumer products, including tablets and smartphones and the sustained improvement in the results within our turret business are being driven largely by the consumer, mobility and solid state lighting markets. We continue to be optimistic about the long-term prospects for the semiconductor equipment industry due to the increasing technological functionality of mobile devices, growing integrated circuit content in automotive, consumer and industrial applications, and the projected adoption of high brightness LEDs in general lighting.</w:t>
      </w:r>
    </w:p>
    <w:p>
      <w:pPr>
        <w:spacing w:after="0" w:line="5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Our microwave communications equipment segment comprised approximately 8% of our consolidated revenues during the three-year period ended December 27, 2014 and were approximately 5% for the year ended December 27, 2014. Our microwave communications equipment segment develops, manufactures and sells mobile microwave communications equipment, antenna systems and associated equipment. These products are used in the transmission of video, audio and telemetry data. Applications for these microwave data-links include unmanned aerial vehicles (“UAVs”), public safety, security, surveillance, electronic news gathering and live broadcast television. Customers for these products are government agencies, public safety organizations, UAV program contractors, television broadcasters and other commercial entities. During the fourth quarter of 2014, we determined that the fair market value of our microwave communications reporting unit goodwill was lower than its carrying value and, as a result, we recorded a non-cash, pre-tax impairment charge of $5.0 million, comprised of</w:t>
      </w:r>
    </w:p>
    <w:p>
      <w:pPr>
        <w:spacing w:after="0" w:line="1"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$3.1 million of goodwill, and $1.9 million other assets. Additional information is included in Note 3, “Microwave Communications Equipment Segment Impairment and Restructuring” in Part IV, Item 15(a) of this 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 and Policies</w:t>
      </w:r>
    </w:p>
    <w:p>
      <w:pPr>
        <w:spacing w:after="0" w:line="9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an investor’s understanding of our financial results and condition and require complex management judgment include:</w:t>
      </w:r>
    </w:p>
    <w:p>
      <w:pPr>
        <w:spacing w:after="0" w:line="31" w:lineRule="exact"/>
        <w:rPr>
          <w:sz w:val="20"/>
          <w:szCs w:val="20"/>
          <w:color w:val="auto"/>
        </w:rPr>
      </w:pPr>
    </w:p>
    <w:p>
      <w:pPr>
        <w:ind w:left="440" w:hanging="324"/>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the deferral of revenue on sales to customers, which impacts our results of operations;</w:t>
      </w:r>
    </w:p>
    <w:p>
      <w:pPr>
        <w:spacing w:after="0" w:line="90" w:lineRule="exact"/>
        <w:rPr>
          <w:rFonts w:ascii="Times New Roman" w:cs="Times New Roman" w:eastAsia="Times New Roman" w:hAnsi="Times New Roman"/>
          <w:sz w:val="18"/>
          <w:szCs w:val="18"/>
          <w:color w:val="auto"/>
        </w:rPr>
      </w:pPr>
    </w:p>
    <w:p>
      <w:pPr>
        <w:ind w:left="440" w:right="360" w:hanging="324"/>
        <w:spacing w:after="0" w:line="275"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estimation of valuation allowances and accrued liabilities, specifically product warranty, inventory reserves and allowance for bad debts, which impact gross margin or operating expenses;</w:t>
      </w:r>
    </w:p>
    <w:p>
      <w:pPr>
        <w:spacing w:after="0" w:line="38" w:lineRule="exact"/>
        <w:rPr>
          <w:rFonts w:ascii="Times New Roman" w:cs="Times New Roman" w:eastAsia="Times New Roman" w:hAnsi="Times New Roman"/>
          <w:sz w:val="18"/>
          <w:szCs w:val="18"/>
          <w:color w:val="auto"/>
        </w:rPr>
      </w:pPr>
    </w:p>
    <w:p>
      <w:pPr>
        <w:ind w:left="440" w:right="580" w:hanging="324"/>
        <w:spacing w:after="0" w:line="275"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and measurement of current and deferred income tax assets and liabilities, unrecognized tax benefits and the valuation allowance on deferred tax assets, which impact our tax provision;</w:t>
      </w:r>
    </w:p>
    <w:p>
      <w:pPr>
        <w:spacing w:after="0" w:line="38" w:lineRule="exact"/>
        <w:rPr>
          <w:rFonts w:ascii="Times New Roman" w:cs="Times New Roman" w:eastAsia="Times New Roman" w:hAnsi="Times New Roman"/>
          <w:sz w:val="18"/>
          <w:szCs w:val="18"/>
          <w:color w:val="auto"/>
        </w:rPr>
      </w:pPr>
    </w:p>
    <w:p>
      <w:pPr>
        <w:ind w:left="440" w:right="380" w:hanging="324"/>
        <w:spacing w:after="0" w:line="275"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and</w:t>
      </w:r>
    </w:p>
    <w:p>
      <w:pPr>
        <w:spacing w:after="0" w:line="38" w:lineRule="exact"/>
        <w:rPr>
          <w:rFonts w:ascii="Times New Roman" w:cs="Times New Roman" w:eastAsia="Times New Roman" w:hAnsi="Times New Roman"/>
          <w:sz w:val="18"/>
          <w:szCs w:val="18"/>
          <w:color w:val="auto"/>
        </w:rPr>
      </w:pPr>
    </w:p>
    <w:p>
      <w:pPr>
        <w:ind w:left="440" w:right="480" w:hanging="324"/>
        <w:spacing w:after="0" w:line="275"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and recognition of share-based compensation, which impacts gross margin, research and development expense, and selling, general and administrative expense.</w:t>
      </w:r>
    </w:p>
    <w:p>
      <w:pPr>
        <w:spacing w:after="0" w:line="3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generally recognize revenue upon shipment and title passage for established products (i.e., those that have previously satisfied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In certain instances, customer payment terms may provide that a minority portion (e.g. 20%) of the equipment purchase price be paid only upon customer acceptance. In those situations, the majority portion (e.g. 80%) of revenue where payment is tied to shipment and the entire product cost of sale are recognized upon shipment and passage of title and the minority portion of the purchase price related to customer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acceptance is deferred and recognized upon receipt of customer acceptance.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 On shipments where sales are not recognized, gross profit is generally recorded as deferred profit in our consolidated balance sheet representing the difference between the receivable recorded and the inventory shipped.</w:t>
      </w:r>
    </w:p>
    <w:p>
      <w:pPr>
        <w:spacing w:after="0" w:line="54"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We maintain an allowance for doubtful accounts for estimated losses resulting from the inability of our customers to make required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If the financial condition of our customers deteriorates, resulting in an impairment of their ability to make payments, additional allowances may be required.</w:t>
      </w:r>
    </w:p>
    <w:p>
      <w:pPr>
        <w:spacing w:after="0" w:line="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We provide for the estimated costs of product warranties in the period sales are recognized. Our warranty obligation estimates are affected by historical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The valuation of inventory requires us to estimate obsolete or excess inventory as well as inventory that is not of saleable quality. The determination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estimate our liability for income taxes based on the various jurisdictions where we conduct business. This requires us to estimate our</w:t>
      </w:r>
    </w:p>
    <w:p>
      <w:pPr>
        <w:spacing w:after="0" w:line="25" w:lineRule="exact"/>
        <w:rPr>
          <w:sz w:val="20"/>
          <w:szCs w:val="20"/>
          <w:color w:val="auto"/>
        </w:rPr>
      </w:pPr>
    </w:p>
    <w:p>
      <w:pPr>
        <w:ind w:firstLine="8"/>
        <w:spacing w:after="0" w:line="252" w:lineRule="auto"/>
        <w:tabs>
          <w:tab w:leader="none" w:pos="2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27, 2014 was approximately $44.2 million, with a valuation allowance of approximately $37.0 million. Our deferred tax assets consist primarily of reserves and accruals that are not yet deductible for tax and tax credit and net operating loss carry-forwards.</w:t>
      </w:r>
    </w:p>
    <w:p>
      <w:pPr>
        <w:spacing w:after="0" w:line="55"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Goodwill, Purchased Intangible Assets and Other Long-lived Assets: </w:t>
      </w:r>
      <w:r>
        <w:rPr>
          <w:rFonts w:ascii="Times New Roman" w:cs="Times New Roman" w:eastAsia="Times New Roman" w:hAnsi="Times New Roman"/>
          <w:sz w:val="16"/>
          <w:szCs w:val="16"/>
          <w:color w:val="auto"/>
        </w:rPr>
        <w:t>We evaluate goodwill for impairment annually and when an event occurs or circumstances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3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conduct our annual goodwill impairment test as of October 1st of each year. As of October 1, 2014, we concluded there was no impairment as the estimated fair values of our semiconductor equipment and microwave communications reporting units exceeded their carrying values by approximately 35% and 17%, respectively. Subsequent to our annual goodwill impairment test, in the fourth quarter of 2014, we determined an interim analysis was required and as of December 27, 2014 concluded that the fair market value of our microwave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communications reporting unit goodwill was lower than its carrying value. As a result, we recorded a non-cash, pre-tax impairment charge in the fourth quarter of 2014. Additional information is included in Note 3, “Microwave Communications Equipment Segment Impairment and Restructuring” in Part IV, Item 15(a) of this Form 10-K.</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54"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We are subject to certain contingencies that arise in the ordinary course of our businesses which require us to assess the likelihood that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44"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Share-based compensation expense related to stock options is recorded based on the fair value of the award on its grant date,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w:t>
      </w:r>
    </w:p>
    <w:p>
      <w:pPr>
        <w:spacing w:after="0" w:line="53" w:lineRule="exact"/>
        <w:rPr>
          <w:sz w:val="20"/>
          <w:szCs w:val="20"/>
          <w:color w:val="auto"/>
        </w:rPr>
      </w:pPr>
    </w:p>
    <w:p>
      <w:pPr>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Recent Accounting Pronouncements: </w:t>
      </w:r>
      <w:r>
        <w:rPr>
          <w:rFonts w:ascii="Times New Roman" w:cs="Times New Roman" w:eastAsia="Times New Roman" w:hAnsi="Times New Roman"/>
          <w:sz w:val="16"/>
          <w:szCs w:val="16"/>
          <w:color w:val="auto"/>
        </w:rPr>
        <w:t>For a description of accounting changes and recent accounting pronouncements, including the expected dates of adoption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estimated effects, if any, on our consolidated financial statements, see Note 1, “Recent Accounting Pronouncements” in Part IV, Item 15(a) of this Form 10-K.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right="160"/>
        <w:spacing w:after="0" w:line="310" w:lineRule="auto"/>
        <w:rPr>
          <w:sz w:val="20"/>
          <w:szCs w:val="20"/>
          <w:color w:val="auto"/>
        </w:rPr>
      </w:pPr>
      <w:r>
        <w:rPr>
          <w:rFonts w:ascii="Times New Roman" w:cs="Times New Roman" w:eastAsia="Times New Roman" w:hAnsi="Times New Roman"/>
          <w:sz w:val="16"/>
          <w:szCs w:val="16"/>
          <w:color w:val="auto"/>
        </w:rPr>
        <w:t>In June 2014, we sold our video camera segment, Cohu Electronics, and its operating results are being presented as discontinued operations. All prior period amounts have been reclassified and unless otherwise indicated the discussion below covers the comparative results from continuing operations. Additionally, on December 31, 2012, we purchased Ismeca and the results of its operations have been included in our consolidated financial statements since that date.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operating data as a percentage of net sales: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2012</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(66.3)%</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33.7%</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27.4%</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 and other assets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Compared to 2013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Cohu’s consolidated net sales increased 43.9% from $231.6 million in 2013 to $333.3 million in 2014. Our semiconductor equipment segment generated sales totaling $316.6 million and increased 47.6% from 2013. Semiconductor equipment sales represented 95.0% of consolidated net sales during 2014 versus 92.6% in the prior year. Sales in 2014 benefitted from higher spending on test equipment which resulted in increased shipments of our semiconductor equipment products used by automotive, mobile, consumer, discrete and industrial semiconductor customers.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Sales of microwave communications equipment were $16.7 million, which represents 5.0% of consolidated net sales in 2014 and decreased 2.2% compared to 2013.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Gross margin consists of net sales less cost of sales. Cost of sales consists primarily of the cost of materials, assembly and test labor and overhead from operations. Our gross margin can fluctuate due to a number of factors, including, but not limited to, the mix of products sold, product support costs, inventory reserve adjustments and utilization of manufacturing capacity. Our gross margin, as a percentage of net sales, increased to 33.7% in 2014 from 27.4% in 2013. Improvement in our gross margin, as compared to the prior year, was generated by our semiconductor equipment segment and resulted from better operating leverage as a result of increased business volume, the benefits from the transition of our supply chain and manufacturing activities to Asia, favorable product mix and lower charges to cost of sales related to excess, obsolete and lower of cost or market inventory adjustments. In addition, prior year gross margin was negatively impacted by $1.0 million of inventory step-up costs recorded during the year and a one-time impact that resulted from the adoption of Cohu’s revenue recognition policy.</w:t>
      </w:r>
    </w:p>
    <w:p>
      <w:pPr>
        <w:spacing w:after="0" w:line="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gross margin has been impacted by charges to cost of sales related to excess, obsolete and lower of cost or market inventory issues. We compute the majority of our excess and obsolete inventory reserve requirements using a one-year inventory usage forecast. During 2014 and 2013, we recorded net charges to cost of sales of approximately $3.9 million and $7.8 million, respectively, for excess and obsolete inventory. While we believe our reserves for excess and obsolete inventory and lower of cost or market concerns are adequate to cover known exposures at December 27, 2014, reductions in customer forecasts or continued modifications to products, as a result of our failure to meet specifications or other customer requirements, may result in additional charges to operations that could negatively impact our gross margin in future periods.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(“R&amp;D Expense”)</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2014 was $40.6 million or 12.2% of net sales decreasing from $46.5 million or 20.1% of net sales in 2013. The decrease in 2014 was a result of product development programs that have concluded or are nearing completion as planned, and cost control measures which were implemented throughout 2013 and 2014 within both our semiconductor and microwave communications equipment segments.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 (“SG&amp;A Expense)</w:t>
      </w:r>
    </w:p>
    <w:p>
      <w:pPr>
        <w:spacing w:after="0" w:line="94"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6"/>
          <w:szCs w:val="16"/>
          <w:color w:val="auto"/>
        </w:rPr>
        <w:t>SG&amp;A expense consists primarily of salaries and benefit costs of employees, commission expense for independent sales representatives, product promotion and costs of professional services. SG&amp;A expense as a percentage of net sales decreased to 17.3% in 2014, from 23.3% in 2013, increasing from $54.1 million in 2013 to $57.5 million in 2014. In 2014 SG&amp;A expense increased, in absolute dollars, as a result of increased business volume within our semiconductor equipment segment and a $1.0 million increase in employee share based compensation expense. In 2014, our SG&amp;A expense also benefitted from the strengthening of the U.S. dollar and we recorded $2.0 million in foreign currency translation gains. SG&amp;A expense in 2014 included $2.2 million of manufacturing transition and employee severance costs incurred in connection with the transitioning of some of our semiconductor equipment manufacturing to Asia and the geographic consolidation of mobile microwave communications equipment segment. SG&amp;A expense in 2013 included $1.7 million of manufacturing transition and severance costs and $0.4 million of acquisition related costs incurred in connection with completing the purchase of Ismeca.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Other Assets</w:t>
      </w:r>
    </w:p>
    <w:p>
      <w:pPr>
        <w:spacing w:after="0" w:line="94"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6"/>
          <w:szCs w:val="16"/>
          <w:color w:val="auto"/>
        </w:rPr>
        <w:t>Subsequent to the preparation of our annual impairment test as of October 1, 2014, as a result of changes to the estimated market value of our microwave communications equipment reporting unit that occurred during the fourth quarter, we determined it was necessary to evaluate the recoverability of the carrying value of this segment as of December 27, 2014. For this analysis we utilized the market approach as the primary valuation method and determined that the carrying value of our microwave communications equipment reporting unit exceeded its current fair market value. As a result, we recorded a non-cash, pre-tax impairment charge of $5.0 million or 1.5% of net sales. There were no similar charges recorded in any other period presented. Additional information can be found in Note 3, “Microwave Communications Equipment Segment Impairment and Restructuring” in Part IV, Item 15(a) of this Form 10-K.</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income tax provision expressed as a percentage of pre-tax income in 2014 was 36.1% and income tax benefit expressed as a percentage of pre-tax loss in 2013 was 7.6%. The income tax provision and benefit for the years ended December 27, 2014 and December 28, 2013 differs from the U.S. federal statutory rate primarily due to tax credits, changes in the valuation allowance on our deferred tax assets, foreign income taxed at different rates, non-deductible goodwill impairment charge and other factors.</w:t>
      </w:r>
    </w:p>
    <w:p>
      <w:pPr>
        <w:spacing w:after="0" w:line="5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6"/>
          <w:szCs w:val="16"/>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w:t>
      </w:r>
    </w:p>
    <w:p>
      <w:pPr>
        <w:spacing w:after="0" w:line="1" w:lineRule="exact"/>
        <w:rPr>
          <w:sz w:val="20"/>
          <w:szCs w:val="20"/>
          <w:color w:val="auto"/>
        </w:rPr>
      </w:pPr>
    </w:p>
    <w:p>
      <w:pPr>
        <w:ind w:right="380" w:firstLine="8"/>
        <w:spacing w:after="0" w:line="261"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if carryback is permitted under the tax law; (3) tax planning strategies and (4) future taxable income exclusive of reversing temporary differences and carryforwards.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2014.</w:t>
      </w:r>
    </w:p>
    <w:p>
      <w:pPr>
        <w:spacing w:after="0" w:line="5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result of our cumulative, three-year U.S. GAAP pretax loss from continuing operations of approximately $43.2 million at the end of 2014, and our U.S. loss in 2014, we were unable to conclude at December 27, 2014 that it was “more likely than not” that our U.S. DTAs would be realized. We will evaluate the realizability of our DTAs at the end of each quarterly reporting period in 2015 and should circumstances change it is possible the remaining valuation allowance, or a portion thereof, will be reversed in a future period.</w:t>
      </w:r>
    </w:p>
    <w:p>
      <w:pPr>
        <w:spacing w:after="0" w:line="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valuation allowance on DTAs at December 27, 2014 and December 28, 2013 was approximately $37.0 million and $36.1 million, respectively. The remaining gross DTAs for which a valuation allowance was not recorded are realizable primarily through future reversals of existing taxable temporary differences. As the realization of DTAs is determined by tax jurisdiction, the significant deferred tax liabilities recorded as part of the 2008 acquisition of Rasco, a German corporation, and the fiscal 2013 acquisition of Ismeca, a Swiss Corporation, were not a source of taxable income in assessing the realization of our DTAs in the U.S.</w:t>
      </w:r>
    </w:p>
    <w:p>
      <w:pPr>
        <w:spacing w:after="0" w:line="5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American Taxpayer Relief Act of 2012, which reinstated the United States federal research and development tax credit retroactively from January 1, 2012 through December 31, 2013, was not enacted into law until the first quarter of 2013. Therefore, the tax benefit from the credits for 2012 and 2013 are reflected in our 2013 income tax provision.</w:t>
      </w:r>
    </w:p>
    <w:p>
      <w:pPr>
        <w:spacing w:after="0" w:line="5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For a full reconciliation of our effective tax rate to the U.S. federal statutory rate and further explanation of our provision for income taxes, see Note 7, “Income Taxes”, included in Part IV, Item 15(a) of this Form 10-K, which is incorporated herein by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Continuing Operations and Net Income (loss)</w:t>
      </w:r>
    </w:p>
    <w:p>
      <w:pPr>
        <w:spacing w:after="0" w:line="9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As a result of the factors set forth above, our income from continuing operations was $5.8 million in 2014, compared to a loss of $34.3 million in 2013. Including the results of our discontinued video camera segment, our net income in 2014 was $8.7 million as compared to a net loss of $33.4 million in 2013.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Compared to 2012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Cohu’s consolidated net sales increased 12.3% from $206.3 million in 2012 to $231.6 million in 2013. Our semiconductor equipment segment generated sales totaling $214.5 million and increased 19.5% from 2012. Semiconductor equipment sales represented 92.6% of consolidated net sales during 2013 versus 87.0% in the prior year. Sales recorded by our semiconductor equipment segment during 2013 include twelve months of sales activity for Ismeca which were approximately $64.4 million. Semiconductor equipment sales in 2013 also benefitted from increased demand for gravity-feed equipment and MEMs modules which were offset by a decrease in customer orders for pick-and-place test handler systems.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Sales of microwave communications equipment were $17.1 million, which represents 7.4% of consolidated net sales in 2013 and decreased 36.5% compared to 2012. The decreased business volume within our microwave communications equipment segment during 2013 was a result of U.S. government sequestration and budget uncertainties which led to customer order delays and push outs for equipment to be used in security and surveillance infrastructure projects that rely on federal funding.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margin, as a percentage of net sales, decreased to 27.4% in 2013 from 29.9% in 2012. During 2013 our gross margin was negatively impacted by</w:t>
      </w:r>
    </w:p>
    <w:p>
      <w:pPr>
        <w:spacing w:after="0" w:line="21"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$0.3 million of manufacturing transition and severance costs incurred as a result of moving certain manufacturing activities to Asia as part of our efforts to reduce costs and streamline our operations. The acquisition of Ismeca also reduced 2013 gross margin due to $1.0 million of inventory step-up costs recorded during the year and a one-time impact that resulted from the adoption of Cohu’s revenue recognition policy. During 2013 and 2012, we recorded net charges to cost of sales of approximately $7.8 million and $8.6 million, respectively, for excess and obsolete inventory.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Expense</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R&amp;D expense in 2013 includes twelve months of costs for Ismeca. R&amp;D expense in 2013 was $46.5 million or 20.1% of net sales increasing from $33.6 million or 16.3% of net sales in 2012. The increase in 2013 was a result of $11.6 million in incremental R&amp;D expense generated by Ismeca, as well as product development expense incurred by our semiconductor equipment segment and $0.4 million of manufacturing transition and severance costs incurred by our semiconductor equipment and microwave communications equipment businesses.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w:t>
      </w:r>
    </w:p>
    <w:p>
      <w:pPr>
        <w:spacing w:after="0" w:line="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SG&amp;A expense as a percentage of net sales increased to 23.3% in 2013, from 20.4% in 2012, increasing from $42.1 million in 2012 to $54.1 million in 2013. SG&amp;A expense in 2013 included $12.6 million in incremental SG&amp;A expense generated by Ismeca and $1.7 million of manufacturing transition and severance costs. Also included in SG&amp;A are transaction costs totaling $0.4 million and $2.3 million in 2013 and 2012, respectively, incurred in connection with our acquisition of Ismeca.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The credit for income taxes expressed as a percentage of pre-tax loss was 7.6% in 2013 and 6.7% in 2012. The credit for income taxes for the years ended December 28, 2013 and December 29, 2012 differs from the U.S. federal statutory rate primarily due to tax credits, changes in the valuation allowance on our deferred tax assets, foreign income taxed at different rates and other factors.</w:t>
      </w:r>
    </w:p>
    <w:p>
      <w:pPr>
        <w:spacing w:after="0" w:line="51" w:lineRule="exact"/>
        <w:rPr>
          <w:sz w:val="20"/>
          <w:szCs w:val="20"/>
          <w:color w:val="auto"/>
        </w:rPr>
      </w:pPr>
    </w:p>
    <w:p>
      <w:pPr>
        <w:ind w:right="1080"/>
        <w:spacing w:after="0" w:line="391" w:lineRule="auto"/>
        <w:rPr>
          <w:sz w:val="20"/>
          <w:szCs w:val="20"/>
          <w:color w:val="auto"/>
        </w:rPr>
      </w:pPr>
      <w:r>
        <w:rPr>
          <w:rFonts w:ascii="Times New Roman" w:cs="Times New Roman" w:eastAsia="Times New Roman" w:hAnsi="Times New Roman"/>
          <w:sz w:val="18"/>
          <w:szCs w:val="18"/>
          <w:color w:val="auto"/>
        </w:rPr>
        <w:t xml:space="preserve">Our valuation allowance on DTAs at December 28, 2013 and December 29, 2012 was approximately $36.1 million and $24.9 million, respectively. </w:t>
      </w:r>
      <w:r>
        <w:rPr>
          <w:rFonts w:ascii="Times New Roman" w:cs="Times New Roman" w:eastAsia="Times New Roman" w:hAnsi="Times New Roman"/>
          <w:sz w:val="18"/>
          <w:szCs w:val="18"/>
          <w:b w:val="1"/>
          <w:bCs w:val="1"/>
          <w:i w:val="1"/>
          <w:iCs w:val="1"/>
          <w:color w:val="auto"/>
        </w:rPr>
        <w:t>Loss from Continuing Operations and Net Loss</w:t>
      </w:r>
    </w:p>
    <w:p>
      <w:pPr>
        <w:spacing w:after="0" w:line="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As a result of the factors set forth above, our loss from continuing operations in 2013 and 2012 was $34.3 million and $12.2 million, respectively. Including the results of our discontinued video segment, our net loss in 2013 and 2012 was $33.4 million and $12.1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Our business is dependent on capital expenditures by semiconductor manufacturers and test subcontractors that are, in turn, dependent on the current and anticipated market demand for semiconductors. The cyclical and volatile nature of demand for semiconductor equipment, our primary industry, makes estimates of future revenues, results of operations and net cash flows difficult.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our operations and we manage our businesses to maximize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cash flows as our primary source of liquidity. We use cash to fund growth in our operating assets and to fund new products and product enhancements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primarily through research and development. As of December 27, 2014, $47.4 million of our cash and cash equivalents was held by our foreign subsidiaries. If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funds are needed for our operations in the U.S., we may be required to accrue and pay U.S. taxes or foreign withholding taxes if we repatriate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funds. Our intent is to indefinitely reinvest these funds in our foreign operations and we have no current plans that would require us to repatriate these funds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88"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following summarizes our cash, cash equivalents, short-term investments and working capital at December 27, 2014 and December 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2013:</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right"/>
              <w:ind w:right="122"/>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161"/>
        </w:trPr>
        <w:tc>
          <w:tcPr>
            <w:tcW w:w="502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color w:val="auto"/>
              </w:rPr>
              <w:t>2014</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color w:val="auto"/>
              </w:rPr>
              <w:t>2013</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Increase</w:t>
            </w:r>
          </w:p>
        </w:tc>
        <w:tc>
          <w:tcPr>
            <w:tcW w:w="10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72,040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52,868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$19,172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95"/>
              </w:rPr>
              <w:t>145,264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w w:val="95"/>
              </w:rPr>
              <w:t>125,837</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$19,427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generated from operating activities consists of net income or loss adjusted for non-cash expenses and changes in operating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Non-cash items include depreciation and amortization, share-based compensation expense and deferred income taxes. Our net cash flows provided by operating activities in 2014 totaled $19.7 million compared to $3.4 million in 2013. The increase in cash provided by operating activities was primarily a result of our net income in the current year. Cash provided by operating activities also was impacted by changes in current assets and liabilities and, excluding the impact of the sale of Cohu Electronics, included increases in accounts receivable of $15.5 million; accrued compensation, warranty and other liabilities of $6.1 million; inventories of $1.9 million; deferred profit of $1.4 million; other current and non-current assets of $1.1 million and income taxes payable of $1.4 million. The increase in accounts receivable resulted from a sequential increase in product shipments made by our semiconductor equipment segment during the second half of 2014 and the timing of the resulting cash conversion cycle. Material purchases made by our semiconductor equipment segment to fulfill orders for semiconductor equipment led to an increase in our inventory balance and deferred profit increased due to revenue deferrals of semiconductor equipment shipments made in accordance with our revenue recognition policy. The increases in accrued compensation, warranty and other liabilities resulted from higher business volume, increased incentive compensation accruals, the timing of cash payments made to our employees and the accrual of employee severance by our microwave communication equipment segment related to its geographic consolidation plan. The increase in income taxes payable is a result of an increase in taxable income generated in fiscal 2014.</w:t>
      </w:r>
    </w:p>
    <w:p>
      <w:pPr>
        <w:spacing w:after="0" w:line="5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Investing cash flows consist primarily of cash used for capital expenditures in support of our businesses, proceeds from investment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maturities, asset disposal and divestitures, and cash used for purchases of investments and business acquisitions. Our net cash provided by investing activities in 2014 totaled $8.6 million and was primarily the result of the sale of Cohu Electronics for $10.3 million. The decision to sell Cohu Electronics resulted from Cohu management’s determination that this industry segment was no longer a strategic fit within our organization. Additions to property, plant and equipment 2014 were $1.7 million and were made to support the operating and development activities of our semiconductor equipment and microwave communication businesses.</w:t>
      </w:r>
    </w:p>
    <w:p>
      <w:pPr>
        <w:spacing w:after="0" w:line="23"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Cash used in financing activities consisted of amounts distributed to our stockholders in the form of cash dividends. During 2014, we paid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dividends totaling $6.1 million, or $0.24 per common share. On February 19, 2015 we announced a cash dividend of $0.06 per share on our common stock, payable on, April 17, 2015 to stockholders of record as of March 3, 2015. We intend to continue to pay quarterly dividends subject to capital availability and periodic determinations by our Board of Directors that cash dividends are in the best interests of our stockholders. Offsetting cash used in the payment of dividends were the net proceeds from the issuance of common stock under our equity incentive and employee stock purchase plans, which totaled $1.9 million during 2014. We issue stock options and maintain an employee stock purchase plan as components of our overall employee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92"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standby letters of credit. As of December 27, 2014, we had approximately $0.4 million of standby letters of credit outstanding. As a result of the acquisition of Ismeca, we have an agreement with Credit Suisse (the “Ismeca Facility”) under which it administers a line of credit on behalf of Ismeca. Total borrowings available under the Ismeca Facility is 0.5 million Swiss Francs and at December 27, 2014 no amounts were outstanding.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at December 27, 2014, and the effect such obligations are expected to have on our liquidity and cash flows in future periods. This table excludes amounts already recorded on our balance sheet as current liabilities at December 27, 2014. Amounts excluded include our liability for unrecognized tax benefits that totaled approximately $10.8 million at December 27, 2014. We are currently unable to provide a reasonably reliable estimate of the amount or period(s) the cash settlement of this liability may occur.</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8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(in thousands)</w:t>
            </w:r>
          </w:p>
        </w:tc>
        <w:tc>
          <w:tcPr>
            <w:tcW w:w="2880" w:type="dxa"/>
            <w:vAlign w:val="bottom"/>
          </w:tcPr>
          <w:p>
            <w:pPr>
              <w:spacing w:after="0"/>
              <w:rPr>
                <w:sz w:val="15"/>
                <w:szCs w:val="15"/>
                <w:color w:val="auto"/>
              </w:rPr>
            </w:pPr>
          </w:p>
        </w:tc>
        <w:tc>
          <w:tcPr>
            <w:tcW w:w="204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color w:val="auto"/>
              </w:rPr>
              <w:t>2015</w:t>
            </w:r>
          </w:p>
        </w:tc>
        <w:tc>
          <w:tcPr>
            <w:tcW w:w="84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color w:val="auto"/>
              </w:rPr>
              <w:t>2016</w:t>
            </w:r>
          </w:p>
        </w:tc>
        <w:tc>
          <w:tcPr>
            <w:tcW w:w="240" w:type="dxa"/>
            <w:vAlign w:val="bottom"/>
          </w:tcPr>
          <w:p>
            <w:pPr>
              <w:spacing w:after="0"/>
              <w:rPr>
                <w:sz w:val="15"/>
                <w:szCs w:val="15"/>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2017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26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5"/>
              </w:rPr>
              <w:t>Thereafter</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87"/>
              </w:rPr>
              <w:t>Total</w:t>
            </w: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Non-cancelable operating leases</w:t>
            </w:r>
          </w:p>
        </w:tc>
        <w:tc>
          <w:tcPr>
            <w:tcW w:w="1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$ 1,270</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$ 1,111</w:t>
            </w: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$ 958</w:t>
            </w: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$ 676</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$ 385</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1,155</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5,555</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48"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11, “Guarantees” in Part IV, Item 15(a) of this Form 10-K.</w:t>
      </w:r>
    </w:p>
    <w:p>
      <w:pPr>
        <w:spacing w:after="0" w:line="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to contract manufacturers and suppliers. </w:t>
      </w:r>
      <w:r>
        <w:rPr>
          <w:rFonts w:ascii="Times New Roman" w:cs="Times New Roman" w:eastAsia="Times New Roman" w:hAnsi="Times New Roman"/>
          <w:sz w:val="18"/>
          <w:szCs w:val="18"/>
          <w:color w:val="auto"/>
        </w:rPr>
        <w:t>From time to time, we enter into commitments with our suppliers to purchase inventory and contract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manufacturers to provide manufacturing services for our products at fixed prices or in guaranteed quantities. During the normal course of business, we issue purchase orders with estimates of our requirements several months ahead of the delivery dates. However, our agreements with these suppliers usually allow us the option to reschedule or adjust our requirements based on our business needs. Typically purchase orders outstanding with delivery dates within 30 days are non-cancelable. We are not able to determine the aggregate amount of such purchase orders that represent contractual obligations, as purchase orders may represent authorizations to purchase rather than binding agreements. We typically do not have significant agreements for the purchase of raw materials or other goods specifying minimum quantities or set prices that exceed our expected requirements for the next six to twelve months.</w:t>
      </w:r>
    </w:p>
    <w:p>
      <w:pPr>
        <w:spacing w:after="0" w:line="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During the ordinary course of business, we provide standby letters of credit instruments to certain parties as required.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27, 2014, the maximum potential amount of future payments that we could be required to make under these standby letters of credit was approximately $0.4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Interest Rate Risk.</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December 27, 2014, our investment portfolio included short-term, fixed-income investment securities with a fair value of approximately $1.2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27, 2014, we had no investments with loss positions.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and Philippine Peso. These fluctuations can impact our reported earnings.</w:t>
      </w:r>
    </w:p>
    <w:p>
      <w:pPr>
        <w:spacing w:after="0" w:line="5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expenses accounts are translated at an average exchange rate during the year which approximates the rates in effect at the transaction dates. The resulting translation adjustments are recorded in stockholders’ equity as a component of accumulated other comprehensive income. The U.S. dollar strengthened relative to many foreign currencies as of December 27, 2014 compared to December 28, 2013 and consequently, our stockholders’ equity decreased by $14.1 million as a result of the foreign currency translation.</w:t>
      </w:r>
    </w:p>
    <w:p>
      <w:pPr>
        <w:spacing w:after="0" w:line="58"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Based upon the current levels of net foreign assets, a hypothetical 10% devaluation of the U.S. dollar as compared to these currencies as of December 27, 2014 would result in an approximate $9.7 million positive translation adjustment recorded in other comprehensive income within stockholders’ equity. Conversely, a hypothetical 10% appreciation of the U.S. dollar as compared to these currencies as of December 27, 2014 would result in an approximate $9.7 million negative translation adjustment recorded in other comprehensive income within stockholders’ equity.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included in Part IV, Item 15(a).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0"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Conclusion Regarding the Effectiveness of Disclosure Controls and Procedures - </w:t>
      </w:r>
      <w:r>
        <w:rPr>
          <w:rFonts w:ascii="Times New Roman" w:cs="Times New Roman" w:eastAsia="Times New Roman" w:hAnsi="Times New Roman"/>
          <w:sz w:val="18"/>
          <w:szCs w:val="18"/>
          <w:color w:val="auto"/>
        </w:rPr>
        <w:t>Under the supervision and with the participation of our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27, 2014, the end of the period covered by this annual report.</w:t>
      </w:r>
    </w:p>
    <w:p>
      <w:pPr>
        <w:spacing w:after="0" w:line="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Management’s Annual Report on Internal Control Over Financial Reporting - </w:t>
      </w:r>
      <w:r>
        <w:rPr>
          <w:rFonts w:ascii="Times New Roman" w:cs="Times New Roman" w:eastAsia="Times New Roman" w:hAnsi="Times New Roman"/>
          <w:sz w:val="18"/>
          <w:szCs w:val="18"/>
          <w:color w:val="auto"/>
        </w:rPr>
        <w:t>Our management is responsible for establishing and maintaining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our evaluation under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December 27, 2014.</w:t>
      </w:r>
    </w:p>
    <w:p>
      <w:pPr>
        <w:spacing w:after="0" w:line="60"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27, 2014, as stated in their report which is included herein.</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Cohu, Inc.’s internal control over financial reporting as of December 27, 2014, based on criteria established in Internal Control—Integrated Framework issued by the Committee of Sponsoring Organizations of the Treadway Commission (2013 framework) (the COSO criteria). Cohu,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In our opinion, Cohu, Inc. maintained, in all material respects, effective internal control over financial reporting as of December 27, 2014, based on the COSO criteria.</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Cohu, Inc. as of December 27, 2014 and December 28, 2013, and the related consolidated statements of operations, comprehensive loss, stockholders’ equity, and cash flows for each of the three years in the period ended December 27, 2014 of Cohu, Inc. and our report dated February 24, 2015 expressed an unqualified opinion thereon.</w:t>
      </w:r>
    </w:p>
    <w:p>
      <w:pPr>
        <w:spacing w:after="0" w:line="1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2015</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 There have been no changes in our internal control over financial reporting that occurred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2014 that have materially affected, or are reasonably likely to materially affect, or internal control over financial reporting.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9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information under the heading “Executive Officers of the Registrant” in Part I, Item 1 of this Form 10-K is incorporated by reference in this section. The other information required by this item is hereby incorporated by reference to the Company’s definitive proxy statement, which will be filed with the Securities and Exchange Commission (“SEC”) within 120 days after the close of fiscal 2014.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Code of Ethics</w:t>
      </w:r>
    </w:p>
    <w:p>
      <w:pPr>
        <w:spacing w:after="0" w:line="94" w:lineRule="exact"/>
        <w:rPr>
          <w:sz w:val="20"/>
          <w:szCs w:val="20"/>
          <w:color w:val="auto"/>
        </w:rPr>
      </w:pPr>
    </w:p>
    <w:p>
      <w:pPr>
        <w:ind w:right="440"/>
        <w:spacing w:after="0" w:line="339" w:lineRule="auto"/>
        <w:rPr>
          <w:sz w:val="20"/>
          <w:szCs w:val="20"/>
          <w:color w:val="auto"/>
        </w:rPr>
      </w:pPr>
      <w:r>
        <w:rPr>
          <w:rFonts w:ascii="Times New Roman" w:cs="Times New Roman" w:eastAsia="Times New Roman" w:hAnsi="Times New Roman"/>
          <w:sz w:val="16"/>
          <w:szCs w:val="16"/>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 and Certain Committee Charters</w:t>
      </w:r>
    </w:p>
    <w:p>
      <w:pPr>
        <w:spacing w:after="0" w:line="94"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our website is not incorporated by reference in or considered to be a part of this Annual Report on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Information regarding Executive Compensation is hereby incorporated by reference to the Company’s definitive proxy statement, which will be filed with the SEC within 120 days after the close of fiscal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92"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is hereby incorporated by reference to the Company’s definitive proxy statement, which will be filed with the SEC within 120 days after the close of fiscal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Information regarding the Principal Accounting Fees and Services is hereby incorporated by reference to the Company’s definitive proxy statement, which will be filed with the SEC within 120 days after the close of fiscal 2014.</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92"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or incorporated by reference into, this Annual Report on Form 10-K.</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90" w:lineRule="exact"/>
        <w:rPr>
          <w:sz w:val="20"/>
          <w:szCs w:val="20"/>
          <w:color w:val="auto"/>
        </w:rPr>
      </w:pPr>
    </w:p>
    <w:p>
      <w:pPr>
        <w:ind w:left="460" w:right="220" w:firstLine="438"/>
        <w:spacing w:after="0" w:line="275" w:lineRule="auto"/>
        <w:rPr>
          <w:sz w:val="20"/>
          <w:szCs w:val="20"/>
          <w:color w:val="auto"/>
        </w:rPr>
      </w:pPr>
      <w:r>
        <w:rPr>
          <w:rFonts w:ascii="Times New Roman" w:cs="Times New Roman" w:eastAsia="Times New Roman" w:hAnsi="Times New Roman"/>
          <w:sz w:val="18"/>
          <w:szCs w:val="18"/>
          <w:color w:val="auto"/>
        </w:rPr>
        <w:t>The following Consolidated Financial Statements of Cohu, Inc., including the report thereon of Ernst &amp; Young LLP, are included in this Annual Report on Form 10-K beginning on page 31:</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6180" w:type="dxa"/>
            <w:vAlign w:val="bottom"/>
            <w:gridSpan w:val="5"/>
            <w:vMerge w:val="restart"/>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Form 10-K</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660" w:type="dxa"/>
            <w:vAlign w:val="bottom"/>
            <w:tcBorders>
              <w:bottom w:val="single" w:sz="8" w:color="auto"/>
            </w:tcBorders>
            <w:gridSpan w:val="3"/>
            <w:vMerge w:val="continue"/>
          </w:tcPr>
          <w:p>
            <w:pPr>
              <w:spacing w:after="0"/>
              <w:rPr>
                <w:sz w:val="14"/>
                <w:szCs w:val="14"/>
                <w:color w:val="auto"/>
              </w:rPr>
            </w:pPr>
          </w:p>
        </w:tc>
        <w:tc>
          <w:tcPr>
            <w:tcW w:w="618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w w:val="93"/>
              </w:rPr>
              <w:t>Page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840" w:type="dxa"/>
            <w:vAlign w:val="bottom"/>
            <w:gridSpan w:val="8"/>
          </w:tcPr>
          <w:p>
            <w:pPr>
              <w:spacing w:after="0" w:line="136" w:lineRule="exact"/>
              <w:rPr>
                <w:rFonts w:ascii="Times New Roman" w:cs="Times New Roman" w:eastAsia="Times New Roman" w:hAnsi="Times New Roman"/>
                <w:sz w:val="15"/>
                <w:szCs w:val="15"/>
                <w:color w:val="0000EE"/>
              </w:rPr>
            </w:pPr>
            <w:hyperlink w:anchor="page33">
              <w:r>
                <w:rPr>
                  <w:rFonts w:ascii="Times New Roman" w:cs="Times New Roman" w:eastAsia="Times New Roman" w:hAnsi="Times New Roman"/>
                  <w:sz w:val="15"/>
                  <w:szCs w:val="15"/>
                  <w:color w:val="0000EE"/>
                </w:rPr>
                <w:t>Consolidated Balance Sheets at December 27, 2014 and December 28, 2013</w:t>
              </w:r>
            </w:hyperlink>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0" w:type="dxa"/>
            <w:vAlign w:val="bottom"/>
          </w:tcPr>
          <w:p>
            <w:pPr>
              <w:spacing w:after="0"/>
              <w:rPr>
                <w:sz w:val="24"/>
                <w:szCs w:val="24"/>
                <w:color w:val="auto"/>
              </w:rPr>
            </w:pPr>
          </w:p>
        </w:tc>
        <w:tc>
          <w:tcPr>
            <w:tcW w:w="68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Consolidated Statements of Operations for each of the three years in the period ended December</w:t>
              </w:r>
            </w:hyperlink>
          </w:p>
        </w:tc>
        <w:tc>
          <w:tcPr>
            <w:tcW w:w="64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27, 2014</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77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Consolidated Statements of Comprehensive Loss for each of the three years in the period ended December 27,</w:t>
              </w:r>
            </w:hyperlink>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gridSpan w:val="2"/>
          </w:tcPr>
          <w:p>
            <w:pPr>
              <w:spacing w:after="0"/>
              <w:rPr>
                <w:sz w:val="17"/>
                <w:szCs w:val="17"/>
                <w:color w:val="auto"/>
              </w:rPr>
            </w:pPr>
          </w:p>
        </w:tc>
        <w:tc>
          <w:tcPr>
            <w:tcW w:w="36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94"/>
              </w:rPr>
            </w:pPr>
            <w:hyperlink w:anchor="page35">
              <w:r>
                <w:rPr>
                  <w:rFonts w:ascii="Times New Roman" w:cs="Times New Roman" w:eastAsia="Times New Roman" w:hAnsi="Times New Roman"/>
                  <w:sz w:val="18"/>
                  <w:szCs w:val="18"/>
                  <w:color w:val="0000EE"/>
                  <w:w w:val="94"/>
                </w:rPr>
                <w:t>2014</w:t>
              </w:r>
            </w:hyperlink>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8740" w:type="dxa"/>
            <w:vAlign w:val="bottom"/>
            <w:gridSpan w:val="12"/>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Consolidated Statements of Stockholders’ Equity for each of the three years in the period ended December 27,</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94"/>
              </w:rPr>
            </w:pPr>
            <w:hyperlink w:anchor="page36">
              <w:r>
                <w:rPr>
                  <w:rFonts w:ascii="Times New Roman" w:cs="Times New Roman" w:eastAsia="Times New Roman" w:hAnsi="Times New Roman"/>
                  <w:sz w:val="18"/>
                  <w:szCs w:val="18"/>
                  <w:color w:val="0000EE"/>
                  <w:w w:val="94"/>
                </w:rPr>
                <w:t>2014</w:t>
              </w:r>
            </w:hyperlink>
          </w:p>
        </w:tc>
        <w:tc>
          <w:tcPr>
            <w:tcW w:w="8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840" w:type="dxa"/>
            <w:vAlign w:val="bottom"/>
            <w:gridSpan w:val="8"/>
          </w:tcPr>
          <w:p>
            <w:pPr>
              <w:spacing w:after="0"/>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Consolidated Statements of Cash Flows for each of the threeyears in the period ended December</w:t>
              </w:r>
            </w:hyperlink>
          </w:p>
        </w:tc>
        <w:tc>
          <w:tcPr>
            <w:tcW w:w="920" w:type="dxa"/>
            <w:vAlign w:val="bottom"/>
            <w:gridSpan w:val="3"/>
          </w:tcPr>
          <w:p>
            <w:pPr>
              <w:jc w:val="right"/>
              <w:ind w:right="260"/>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27, 2014</w:t>
              </w:r>
            </w:hyperlink>
          </w:p>
        </w:tc>
        <w:tc>
          <w:tcPr>
            <w:tcW w:w="9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Notes to Consolidated Financial Statements</w:t>
              </w:r>
            </w:hyperlink>
          </w:p>
        </w:tc>
        <w:tc>
          <w:tcPr>
            <w:tcW w:w="3760" w:type="dxa"/>
            <w:vAlign w:val="bottom"/>
            <w:tcBorders>
              <w:top w:val="single" w:sz="8" w:color="0000EE"/>
            </w:tcBorders>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840" w:type="dxa"/>
            <w:vAlign w:val="bottom"/>
            <w:gridSpan w:val="8"/>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Report of Independent Registered Public Accounting Firm</w:t>
              </w:r>
            </w:hyperlink>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(2)   Financial Statement Schedule</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0" w:type="dxa"/>
            <w:vAlign w:val="bottom"/>
          </w:tcPr>
          <w:p>
            <w:pPr>
              <w:spacing w:after="0"/>
              <w:rPr>
                <w:sz w:val="22"/>
                <w:szCs w:val="22"/>
                <w:color w:val="auto"/>
              </w:rPr>
            </w:pPr>
          </w:p>
        </w:tc>
        <w:tc>
          <w:tcPr>
            <w:tcW w:w="6840" w:type="dxa"/>
            <w:vAlign w:val="bottom"/>
            <w:gridSpan w:val="8"/>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Schedule II – Valuation and Qualifying Accounts</w:t>
              </w:r>
            </w:hyperlink>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firstLine="438"/>
        <w:spacing w:after="0" w:line="339" w:lineRule="auto"/>
        <w:rPr>
          <w:sz w:val="20"/>
          <w:szCs w:val="20"/>
          <w:color w:val="auto"/>
        </w:rPr>
      </w:pPr>
      <w:r>
        <w:rPr>
          <w:rFonts w:ascii="Times New Roman" w:cs="Times New Roman" w:eastAsia="Times New Roman" w:hAnsi="Times New Roman"/>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15"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under Item 15(b) hereof are filed with, or incorporated by reference into, this Annual Report on Form 10-K.</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240" w:top="455" w:right="4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3"/>
                <w:szCs w:val="13"/>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27,</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28,</w:t>
            </w:r>
          </w:p>
        </w:tc>
      </w:tr>
      <w:tr>
        <w:trPr>
          <w:trHeight w:val="161"/>
        </w:trPr>
        <w:tc>
          <w:tcPr>
            <w:tcW w:w="9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51,668</w:t>
            </w: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9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58,164</w:t>
            </w: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27,668</w:t>
            </w:r>
          </w:p>
        </w:tc>
      </w:tr>
      <w:tr>
        <w:trPr>
          <w:trHeight w:val="216"/>
        </w:trPr>
        <w:tc>
          <w:tcPr>
            <w:tcW w:w="9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16,941</w:t>
            </w:r>
          </w:p>
        </w:tc>
      </w:tr>
      <w:tr>
        <w:trPr>
          <w:trHeight w:val="216"/>
        </w:trPr>
        <w:tc>
          <w:tcPr>
            <w:tcW w:w="9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10,800</w:t>
            </w:r>
          </w:p>
        </w:tc>
      </w:tr>
      <w:tr>
        <w:trPr>
          <w:trHeight w:val="223"/>
        </w:trPr>
        <w:tc>
          <w:tcPr>
            <w:tcW w:w="9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100" w:type="dxa"/>
            <w:vAlign w:val="bottom"/>
          </w:tcPr>
          <w:p>
            <w:pPr>
              <w:spacing w:after="0"/>
              <w:rPr>
                <w:sz w:val="19"/>
                <w:szCs w:val="19"/>
                <w:color w:val="auto"/>
              </w:rPr>
            </w:pPr>
          </w:p>
        </w:tc>
      </w:tr>
      <w:tr>
        <w:trPr>
          <w:trHeight w:val="217"/>
        </w:trPr>
        <w:tc>
          <w:tcPr>
            <w:tcW w:w="9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5,516</w:t>
            </w: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8,619</w:t>
            </w:r>
          </w:p>
        </w:tc>
      </w:tr>
      <w:tr>
        <w:trPr>
          <w:trHeight w:val="216"/>
        </w:trPr>
        <w:tc>
          <w:tcPr>
            <w:tcW w:w="9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assets of discontinued video camera segment (Note 2)</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6,272</w:t>
            </w:r>
          </w:p>
        </w:tc>
      </w:tr>
      <w:tr>
        <w:trPr>
          <w:trHeight w:val="222"/>
        </w:trPr>
        <w:tc>
          <w:tcPr>
            <w:tcW w:w="9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214,817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186,848</w:t>
            </w:r>
          </w:p>
        </w:tc>
        <w:tc>
          <w:tcPr>
            <w:tcW w:w="100" w:type="dxa"/>
            <w:vAlign w:val="bottom"/>
          </w:tcPr>
          <w:p>
            <w:pPr>
              <w:spacing w:after="0"/>
              <w:rPr>
                <w:sz w:val="19"/>
                <w:szCs w:val="19"/>
                <w:color w:val="auto"/>
              </w:rPr>
            </w:pPr>
          </w:p>
        </w:tc>
      </w:tr>
      <w:tr>
        <w:trPr>
          <w:trHeight w:val="217"/>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12,285</w:t>
            </w:r>
          </w:p>
        </w:tc>
      </w:tr>
      <w:tr>
        <w:trPr>
          <w:trHeight w:val="216"/>
        </w:trPr>
        <w:tc>
          <w:tcPr>
            <w:tcW w:w="9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31,731</w:t>
            </w: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42,352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42,105</w:t>
            </w:r>
          </w:p>
        </w:tc>
      </w:tr>
      <w:tr>
        <w:trPr>
          <w:trHeight w:val="27"/>
        </w:trPr>
        <w:tc>
          <w:tcPr>
            <w:tcW w:w="9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86,121</w:t>
            </w: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(53,383)</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(50,325)</w:t>
            </w:r>
          </w:p>
        </w:tc>
      </w:tr>
      <w:tr>
        <w:trPr>
          <w:trHeight w:val="27"/>
        </w:trPr>
        <w:tc>
          <w:tcPr>
            <w:tcW w:w="9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35,796</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63,132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71,313</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45,315</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5,720</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of discontinued video camera segment (Note 2)</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9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348,818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345,423</w:t>
            </w:r>
          </w:p>
        </w:tc>
        <w:tc>
          <w:tcPr>
            <w:tcW w:w="100" w:type="dxa"/>
            <w:vAlign w:val="bottom"/>
          </w:tcPr>
          <w:p>
            <w:pPr>
              <w:spacing w:after="0"/>
              <w:rPr>
                <w:sz w:val="19"/>
                <w:szCs w:val="19"/>
                <w:color w:val="auto"/>
              </w:rPr>
            </w:pPr>
          </w:p>
        </w:tc>
      </w:tr>
      <w:tr>
        <w:trPr>
          <w:trHeight w:val="20"/>
        </w:trPr>
        <w:tc>
          <w:tcPr>
            <w:tcW w:w="9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25,292</w:t>
            </w: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14,271</w:t>
            </w:r>
          </w:p>
        </w:tc>
      </w:tr>
      <w:tr>
        <w:trPr>
          <w:trHeight w:val="216"/>
        </w:trPr>
        <w:tc>
          <w:tcPr>
            <w:tcW w:w="9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warranty</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5,155</w:t>
            </w: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profit</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6,066</w:t>
            </w:r>
          </w:p>
        </w:tc>
      </w:tr>
      <w:tr>
        <w:trPr>
          <w:trHeight w:val="216"/>
        </w:trPr>
        <w:tc>
          <w:tcPr>
            <w:tcW w:w="9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7,675</w:t>
            </w:r>
          </w:p>
        </w:tc>
      </w:tr>
      <w:tr>
        <w:trPr>
          <w:trHeight w:val="216"/>
        </w:trPr>
        <w:tc>
          <w:tcPr>
            <w:tcW w:w="9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liabilities of discontinued video camera segment (Note 2)</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1,747</w:t>
            </w:r>
          </w:p>
        </w:tc>
      </w:tr>
      <w:tr>
        <w:trPr>
          <w:trHeight w:val="222"/>
        </w:trPr>
        <w:tc>
          <w:tcPr>
            <w:tcW w:w="9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100" w:type="dxa"/>
            <w:vAlign w:val="bottom"/>
          </w:tcPr>
          <w:p>
            <w:pPr>
              <w:spacing w:after="0"/>
              <w:rPr>
                <w:sz w:val="19"/>
                <w:szCs w:val="19"/>
                <w:color w:val="auto"/>
              </w:rPr>
            </w:pPr>
          </w:p>
        </w:tc>
      </w:tr>
      <w:tr>
        <w:trPr>
          <w:trHeight w:val="217"/>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10,841</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income tax liabilities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7,463</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12,948</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Preferred stock, $1 par value; 1,000 shares authorized, none issued</w:t>
            </w:r>
          </w:p>
        </w:tc>
        <w:tc>
          <w:tcPr>
            <w:tcW w:w="14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934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Common stock, $1 par value; 60,000 shares authorized, 25,692 shares issued and outstanding in 2014 and 25,080 shares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 2013</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25,080</w:t>
            </w: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Paid-in capital</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97,938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89,883</w:t>
            </w:r>
          </w:p>
        </w:tc>
      </w:tr>
      <w:tr>
        <w:trPr>
          <w:trHeight w:val="216"/>
        </w:trPr>
        <w:tc>
          <w:tcPr>
            <w:tcW w:w="9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131,546</w:t>
            </w:r>
          </w:p>
        </w:tc>
      </w:tr>
      <w:tr>
        <w:trPr>
          <w:trHeight w:val="216"/>
        </w:trPr>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(10,714)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6,651</w:t>
            </w:r>
          </w:p>
        </w:tc>
      </w:tr>
      <w:tr>
        <w:trPr>
          <w:trHeight w:val="27"/>
        </w:trPr>
        <w:tc>
          <w:tcPr>
            <w:tcW w:w="9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253,160</w:t>
            </w:r>
          </w:p>
        </w:tc>
      </w:tr>
      <w:tr>
        <w:trPr>
          <w:trHeight w:val="223"/>
        </w:trPr>
        <w:tc>
          <w:tcPr>
            <w:tcW w:w="9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348,818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345,423</w:t>
            </w:r>
          </w:p>
        </w:tc>
        <w:tc>
          <w:tcPr>
            <w:tcW w:w="100" w:type="dxa"/>
            <w:vAlign w:val="bottom"/>
          </w:tcPr>
          <w:p>
            <w:pPr>
              <w:spacing w:after="0"/>
              <w:rPr>
                <w:sz w:val="19"/>
                <w:szCs w:val="19"/>
                <w:color w:val="auto"/>
              </w:rPr>
            </w:pPr>
          </w:p>
        </w:tc>
      </w:tr>
      <w:tr>
        <w:trPr>
          <w:trHeight w:val="20"/>
        </w:trPr>
        <w:tc>
          <w:tcPr>
            <w:tcW w:w="9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11420"/>
          </w:cols>
          <w:pgMar w:left="240" w:top="455"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78"/>
              <w:spacing w:after="0"/>
              <w:rPr>
                <w:sz w:val="20"/>
                <w:szCs w:val="20"/>
                <w:color w:val="auto"/>
              </w:rPr>
            </w:pPr>
            <w:r>
              <w:rPr>
                <w:rFonts w:ascii="Times New Roman" w:cs="Times New Roman" w:eastAsia="Times New Roman" w:hAnsi="Times New Roman"/>
                <w:sz w:val="14"/>
                <w:szCs w:val="14"/>
                <w:color w:val="auto"/>
              </w:rPr>
              <w:t>Years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w w:val="94"/>
              </w:rPr>
              <w:t>December 27,</w:t>
            </w:r>
          </w:p>
        </w:tc>
        <w:tc>
          <w:tcPr>
            <w:tcW w:w="38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December 28,</w:t>
            </w:r>
          </w:p>
        </w:tc>
        <w:tc>
          <w:tcPr>
            <w:tcW w:w="7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w w:val="96"/>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0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2014</w:t>
            </w: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2013</w:t>
            </w: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333,323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231,574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221,088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168,186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144,590</w:t>
            </w: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46,452</w:t>
            </w:r>
          </w:p>
        </w:tc>
        <w:tc>
          <w:tcPr>
            <w:tcW w:w="14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33,564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54,053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42,121</w:t>
            </w: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Impairment of goodwill and other assets (Note 3)</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268,691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220,275</w:t>
            </w:r>
          </w:p>
        </w:tc>
        <w:tc>
          <w:tcPr>
            <w:tcW w:w="0" w:type="dxa"/>
            <w:vAlign w:val="bottom"/>
          </w:tcPr>
          <w:p>
            <w:pPr>
              <w:spacing w:after="0"/>
              <w:rPr>
                <w:sz w:val="1"/>
                <w:szCs w:val="1"/>
                <w:color w:val="auto"/>
              </w:rPr>
            </w:pPr>
          </w:p>
        </w:tc>
      </w:tr>
      <w:tr>
        <w:trPr>
          <w:trHeight w:val="222"/>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(37,117)</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from continuing operations, net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22"/>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taxes</w:t>
            </w:r>
          </w:p>
        </w:tc>
        <w:tc>
          <w:tcPr>
            <w:tcW w:w="1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(37,063)</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(2,803)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22"/>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(34,260)</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 (Note 2)</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(33,418</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65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income (loss)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65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income (loss)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income (loss) per share:</w:t>
            </w: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24,859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24,459</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26,006</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24,859</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Years ended</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December 27,</w:t>
            </w:r>
          </w:p>
        </w:tc>
        <w:tc>
          <w:tcPr>
            <w:tcW w:w="12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December 28,</w:t>
            </w:r>
          </w:p>
        </w:tc>
        <w:tc>
          <w:tcPr>
            <w:tcW w:w="7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w w:val="96"/>
              </w:rPr>
              <w:t>December 29,</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8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2014</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2013</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(33,418)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(14,107)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3,270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(3,258)</w:t>
            </w: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1,604</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(17,365)</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(8,657)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(28,550)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(10,448)</w:t>
            </w: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par value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ind w:right="98"/>
              <w:spacing w:after="0"/>
              <w:rPr>
                <w:sz w:val="20"/>
                <w:szCs w:val="20"/>
                <w:color w:val="auto"/>
              </w:rPr>
            </w:pPr>
            <w:r>
              <w:rPr>
                <w:rFonts w:ascii="Times New Roman" w:cs="Times New Roman" w:eastAsia="Times New Roman" w:hAnsi="Times New Roman"/>
                <w:sz w:val="14"/>
                <w:szCs w:val="14"/>
                <w:color w:val="auto"/>
                <w:w w:val="96"/>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w w:val="95"/>
              </w:rPr>
              <w:t>Common</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78"/>
              <w:spacing w:after="0" w:line="149" w:lineRule="exact"/>
              <w:rPr>
                <w:sz w:val="20"/>
                <w:szCs w:val="20"/>
                <w:color w:val="auto"/>
              </w:rPr>
            </w:pPr>
            <w:r>
              <w:rPr>
                <w:rFonts w:ascii="Times New Roman" w:cs="Times New Roman" w:eastAsia="Times New Roman" w:hAnsi="Times New Roman"/>
                <w:sz w:val="14"/>
                <w:szCs w:val="14"/>
                <w:color w:val="auto"/>
                <w:w w:val="97"/>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9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2"/>
                <w:szCs w:val="12"/>
                <w:color w:val="auto"/>
              </w:rPr>
            </w:pPr>
          </w:p>
        </w:tc>
        <w:tc>
          <w:tcPr>
            <w:tcW w:w="1020" w:type="dxa"/>
            <w:vAlign w:val="bottom"/>
            <w:gridSpan w:val="3"/>
          </w:tcPr>
          <w:p>
            <w:pPr>
              <w:jc w:val="center"/>
              <w:ind w:right="118"/>
              <w:spacing w:after="0" w:line="149" w:lineRule="exact"/>
              <w:rPr>
                <w:sz w:val="20"/>
                <w:szCs w:val="20"/>
                <w:color w:val="auto"/>
              </w:rPr>
            </w:pPr>
            <w:r>
              <w:rPr>
                <w:rFonts w:ascii="Times New Roman" w:cs="Times New Roman" w:eastAsia="Times New Roman" w:hAnsi="Times New Roman"/>
                <w:sz w:val="14"/>
                <w:szCs w:val="14"/>
                <w:color w:val="auto"/>
                <w:w w:val="96"/>
              </w:rPr>
              <w:t>comprehensive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 par value</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capital</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4"/>
                <w:szCs w:val="14"/>
                <w:color w:val="auto"/>
              </w:rPr>
            </w:pPr>
          </w:p>
        </w:tc>
        <w:tc>
          <w:tcPr>
            <w:tcW w:w="1020" w:type="dxa"/>
            <w:vAlign w:val="bottom"/>
            <w:gridSpan w:val="3"/>
          </w:tcPr>
          <w:p>
            <w:pPr>
              <w:jc w:val="center"/>
              <w:ind w:right="118"/>
              <w:spacing w:after="0"/>
              <w:rPr>
                <w:sz w:val="20"/>
                <w:szCs w:val="20"/>
                <w:color w:val="auto"/>
              </w:rPr>
            </w:pPr>
            <w:r>
              <w:rPr>
                <w:rFonts w:ascii="Times New Roman" w:cs="Times New Roman" w:eastAsia="Times New Roman" w:hAnsi="Times New Roman"/>
                <w:sz w:val="14"/>
                <w:szCs w:val="14"/>
                <w:color w:val="auto"/>
                <w:w w:val="97"/>
              </w:rPr>
              <w:t>income (loss)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6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2011</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24,330</w:t>
            </w:r>
          </w:p>
        </w:tc>
        <w:tc>
          <w:tcPr>
            <w:tcW w:w="2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$77,658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$189,055</w:t>
            </w:r>
          </w:p>
        </w:tc>
        <w:tc>
          <w:tcPr>
            <w:tcW w:w="300" w:type="dxa"/>
            <w:vAlign w:val="bottom"/>
            <w:gridSpan w:val="2"/>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related to postretirement benefits,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unrealized gains and losses on investments,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dividends - $0.24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536</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Shares issued for restricted stock units vested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4,621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29, 2012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83,547</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170,937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Adjustments related to postretirement benefits,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Changes in unrealized gains and losses on investments,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dividends - $0.24 per share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769</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Shares issued for restricted stock units vested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5,468</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28, 2013</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89,883</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(14,107)</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related to postretirement benefits,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(3,258)</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dividends - $0.24 per share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1,764</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Shares issued for restricted stock units vested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(1,133)</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6,776</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6,776</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27, 2014</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97,938</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134,152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247,068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color w:val="auto"/>
                <w:w w:val="97"/>
              </w:rPr>
              <w:t>Years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December 27,</w:t>
            </w:r>
          </w:p>
        </w:tc>
        <w:tc>
          <w:tcPr>
            <w:tcW w:w="18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December 28,</w:t>
            </w:r>
          </w:p>
        </w:tc>
        <w:tc>
          <w:tcPr>
            <w:tcW w:w="7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w w:val="96"/>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2014</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2013</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8,708</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(33,418)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Gain on disposal of video camera segment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Impairment of goodwill and other assets (Note 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Operating cash flows of discontinued operations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Gain on sale of facility</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(2,132)</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Accrued retiree benefits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Changes in current assets and liabilities, excluding effects from acquisitions, divestitures and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impairments: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(2,357)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Accrued compensation, warranty and other liabilities</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(1,583)</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Deferred profit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Income taxes payable, including excess stock option exercise benefits</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 excluding effects from acquisitions, divestitures and impairments: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received from sale of video camera segment, net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and maturities of short-term investments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(3,874)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for purchase of Ismeca, net of cash received</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(53,463)</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 for purchase of Duma Video, Inc.</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received from facility sale</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Investing cash flows of discontinued operations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(51,326)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dividends paid</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(4,468)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Issuance of stock, net</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(51,140)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102,808</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70,885</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102,808</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Cash paid (refunded) during the year for income taxes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Inventory capitalized as capital assets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1,301</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Dividends declared but not yet paid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1,539</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90" w:lineRule="exact"/>
        <w:rPr>
          <w:rFonts w:ascii="Times New Roman" w:cs="Times New Roman" w:eastAsia="Times New Roman" w:hAnsi="Times New Roman"/>
          <w:sz w:val="18"/>
          <w:szCs w:val="18"/>
          <w:b w:val="1"/>
          <w:bCs w:val="1"/>
          <w:color w:val="auto"/>
        </w:rPr>
      </w:pPr>
    </w:p>
    <w:p>
      <w:pPr>
        <w:ind w:left="460" w:right="4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Cohu, Inc. (“Cohu”, “we”, “our” and “us”), through our wholly owned subsidiaries, is a provider of semiconductor test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microwave communications systems. Our consolidated financial statements include the accounts of Cohu and our wholly owned subsidiaries. All significant intercompany balances and transactions have been eliminated in consolidation. 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55" w:lineRule="exact"/>
        <w:rPr>
          <w:rFonts w:ascii="Times New Roman" w:cs="Times New Roman" w:eastAsia="Times New Roman" w:hAnsi="Times New Roman"/>
          <w:sz w:val="18"/>
          <w:szCs w:val="18"/>
          <w:b w:val="1"/>
          <w:bCs w:val="1"/>
          <w:color w:val="auto"/>
        </w:rPr>
      </w:pPr>
    </w:p>
    <w:p>
      <w:pPr>
        <w:ind w:left="460" w:right="13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fiscal years are based on a 52- or 53-week period ending on the last Saturday in December. Our fiscal years ended on December 27, 2014, December 28, 2013 and December 29, 2012 each consisted of 52 weeks.</w:t>
      </w:r>
    </w:p>
    <w:p>
      <w:pPr>
        <w:spacing w:after="0" w:line="36" w:lineRule="exact"/>
        <w:rPr>
          <w:rFonts w:ascii="Times New Roman" w:cs="Times New Roman" w:eastAsia="Times New Roman" w:hAnsi="Times New Roman"/>
          <w:sz w:val="18"/>
          <w:szCs w:val="18"/>
          <w:b w:val="1"/>
          <w:bCs w:val="1"/>
          <w:color w:val="auto"/>
        </w:rPr>
      </w:pPr>
    </w:p>
    <w:p>
      <w:pPr>
        <w:jc w:val="both"/>
        <w:ind w:left="4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Risks and Uncertainties </w:t>
      </w:r>
      <w:r>
        <w:rPr>
          <w:rFonts w:ascii="Times New Roman" w:cs="Times New Roman" w:eastAsia="Times New Roman" w:hAnsi="Times New Roman"/>
          <w:sz w:val="18"/>
          <w:szCs w:val="18"/>
          <w:color w:val="auto"/>
        </w:rPr>
        <w:t>– We are subject to a number of risks and uncertainties that may significantly impact our future operating results. These risks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uncertainties are discussed under Part I, Item 1A. “Risk Factors” included in this Annual Report on Form 10-K. Understanding these risks and uncertainties is integral to the review of our consolidated financial statements.</w:t>
      </w:r>
    </w:p>
    <w:p>
      <w:pPr>
        <w:spacing w:after="0" w:line="46" w:lineRule="exact"/>
        <w:rPr>
          <w:rFonts w:ascii="Times New Roman" w:cs="Times New Roman" w:eastAsia="Times New Roman" w:hAnsi="Times New Roman"/>
          <w:sz w:val="18"/>
          <w:szCs w:val="18"/>
          <w:b w:val="1"/>
          <w:bCs w:val="1"/>
          <w:color w:val="auto"/>
        </w:rPr>
      </w:pPr>
    </w:p>
    <w:p>
      <w:pPr>
        <w:jc w:val="both"/>
        <w:ind w:left="460" w:right="12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Discontinued Operations </w:t>
      </w:r>
      <w:r>
        <w:rPr>
          <w:rFonts w:ascii="Times New Roman" w:cs="Times New Roman" w:eastAsia="Times New Roman" w:hAnsi="Times New Roman"/>
          <w:sz w:val="18"/>
          <w:szCs w:val="18"/>
          <w:color w:val="auto"/>
        </w:rPr>
        <w:t>– On June 6, 2014 we completed the sale of substantially all of the assets of our video camera segment, Cohu Electronics,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operating results are being presented as discontinued operations and all prior period amounts have been reclassified accordingly. See Note 2, “Disposal of Video Camera Segment” for additional information. Unless otherwise indicated, all amounts herein relate to continuing operations.</w:t>
      </w:r>
    </w:p>
    <w:p>
      <w:pPr>
        <w:spacing w:after="0" w:line="46" w:lineRule="exact"/>
        <w:rPr>
          <w:rFonts w:ascii="Times New Roman" w:cs="Times New Roman" w:eastAsia="Times New Roman" w:hAnsi="Times New Roman"/>
          <w:sz w:val="18"/>
          <w:szCs w:val="18"/>
          <w:b w:val="1"/>
          <w:bCs w:val="1"/>
          <w:color w:val="auto"/>
        </w:rPr>
      </w:pPr>
    </w:p>
    <w:p>
      <w:pPr>
        <w:ind w:left="460"/>
        <w:spacing w:after="0" w:line="29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b w:val="1"/>
          <w:bCs w:val="1"/>
          <w:color w:val="auto"/>
        </w:rPr>
        <w:t xml:space="preserve">Income (Loss) Per Share </w:t>
      </w:r>
      <w:r>
        <w:rPr>
          <w:rFonts w:ascii="Times New Roman" w:cs="Times New Roman" w:eastAsia="Times New Roman" w:hAnsi="Times New Roman"/>
          <w:sz w:val="16"/>
          <w:szCs w:val="16"/>
          <w:color w:val="auto"/>
        </w:rPr>
        <w:t>– Basic income (loss) per common share is computed by dividing net income (loss) by the weighted-average number of common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outstanding during the reporting period. Diluted income per share includes the dilutive effect of common shares potentially issuable upon the exercise of stock options, vesting of outstanding restricted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stock options with exercise prices that exceed the average fair market value of our common stock for the period are excluded. For the year ended December 27, 2014 approximately 1,771,000 shares of our common stock were excluded from the computation.</w:t>
      </w:r>
    </w:p>
    <w:p>
      <w:pPr>
        <w:spacing w:after="0" w:line="3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reconciles the denominators used in computing basic and diluted income (loss) per share:</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8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(in thousands)</w:t>
            </w:r>
          </w:p>
        </w:tc>
        <w:tc>
          <w:tcPr>
            <w:tcW w:w="624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2014</w:t>
            </w:r>
          </w:p>
        </w:tc>
        <w:tc>
          <w:tcPr>
            <w:tcW w:w="9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2013</w:t>
            </w:r>
          </w:p>
        </w:tc>
        <w:tc>
          <w:tcPr>
            <w:tcW w:w="4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2012</w:t>
            </w:r>
          </w:p>
        </w:tc>
        <w:tc>
          <w:tcPr>
            <w:tcW w:w="60" w:type="dxa"/>
            <w:vAlign w:val="bottom"/>
          </w:tcPr>
          <w:p>
            <w:pPr>
              <w:spacing w:after="0"/>
              <w:rPr>
                <w:sz w:val="15"/>
                <w:szCs w:val="15"/>
                <w:color w:val="auto"/>
              </w:rPr>
            </w:pPr>
          </w:p>
        </w:tc>
      </w:tr>
      <w:tr>
        <w:trPr>
          <w:trHeight w:val="203"/>
        </w:trPr>
        <w:tc>
          <w:tcPr>
            <w:tcW w:w="7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25,393</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24,859</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24,459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24,859</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24,459</w:t>
            </w:r>
          </w:p>
        </w:tc>
      </w:tr>
      <w:tr>
        <w:trPr>
          <w:trHeight w:val="20"/>
        </w:trPr>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Short-term Investments </w:t>
      </w:r>
      <w:r>
        <w:rPr>
          <w:rFonts w:ascii="Times New Roman" w:cs="Times New Roman" w:eastAsia="Times New Roman" w:hAnsi="Times New Roman"/>
          <w:sz w:val="18"/>
          <w:szCs w:val="18"/>
          <w:color w:val="auto"/>
        </w:rPr>
        <w:t>– Highly liquid investments with insignificant interest rate risk and original maturities of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or less are classified as cash and cash equivalents. Investments with maturities greater than three months are classified as short-term investments. All of our short-term investments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from December 27, 2014 have been classified as current assets in the accompanying consolidated balance sheets.</w:t>
      </w:r>
    </w:p>
    <w:p>
      <w:pPr>
        <w:spacing w:after="0" w:line="54" w:lineRule="exact"/>
        <w:rPr>
          <w:sz w:val="20"/>
          <w:szCs w:val="20"/>
          <w:color w:val="auto"/>
        </w:rPr>
      </w:pPr>
    </w:p>
    <w:p>
      <w:pPr>
        <w:ind w:left="460" w:right="200"/>
        <w:spacing w:after="0" w:line="334" w:lineRule="auto"/>
        <w:rPr>
          <w:sz w:val="20"/>
          <w:szCs w:val="20"/>
          <w:color w:val="auto"/>
        </w:rPr>
      </w:pPr>
      <w:r>
        <w:rPr>
          <w:rFonts w:ascii="Times New Roman" w:cs="Times New Roman" w:eastAsia="Times New Roman" w:hAnsi="Times New Roman"/>
          <w:sz w:val="16"/>
          <w:szCs w:val="16"/>
          <w:b w:val="1"/>
          <w:bCs w:val="1"/>
          <w:color w:val="auto"/>
        </w:rPr>
        <w:t xml:space="preserve">Fair Value of Financial Instruments </w:t>
      </w:r>
      <w:r>
        <w:rPr>
          <w:rFonts w:ascii="Times New Roman" w:cs="Times New Roman" w:eastAsia="Times New Roman" w:hAnsi="Times New Roman"/>
          <w:sz w:val="16"/>
          <w:szCs w:val="16"/>
          <w:color w:val="auto"/>
        </w:rPr>
        <w:t>– The carrying amounts of our financial instruments, including cash and cash equivalents, short-term investments,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accounts receivable, accounts payable and accrued expenses, approximate fair value due to the short maturities of these financial instruments.</w:t>
      </w:r>
    </w:p>
    <w:p>
      <w:pPr>
        <w:spacing w:after="0" w:line="1" w:lineRule="exact"/>
        <w:rPr>
          <w:sz w:val="20"/>
          <w:szCs w:val="20"/>
          <w:color w:val="auto"/>
        </w:rPr>
      </w:pPr>
    </w:p>
    <w:p>
      <w:pPr>
        <w:ind w:left="460" w:right="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Trade accounts receivable are presented net of allowance for doubtful accounts of $0.3 million at December 27, 2014 and $0.5 million at December 28,</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2013. Our customers include semiconductor manufacturers and semiconductor test subcontractors and other customers located throughout many areas of</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world. While we believe that our allowance for doubtful accounts is adequate and represents our best estimate of potential loss exposure 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December 27, 2014, we will continue to monitor customer liquidity and other economic conditions, which may result in changes to our estimates regarding</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collectability.</w:t>
      </w:r>
    </w:p>
    <w:p>
      <w:pPr>
        <w:spacing w:after="0" w:line="76" w:lineRule="exact"/>
        <w:rPr>
          <w:sz w:val="20"/>
          <w:szCs w:val="20"/>
          <w:color w:val="auto"/>
        </w:rPr>
      </w:pPr>
    </w:p>
    <w:p>
      <w:pPr>
        <w:ind w:left="4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are stated at the lower of cost, determined on a current average or first-in, first-out basis, or market. Cost includes labor,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market values are below our costs. Charges to cost of sales for excess and obsolete inventories aggregated $3.9 million, $7.8 million, and $8.6 million in 2014, 2013 and 2012, respectively.</w:t>
      </w:r>
    </w:p>
    <w:p>
      <w:pPr>
        <w:spacing w:after="0" w:line="53" w:lineRule="exact"/>
        <w:rPr>
          <w:sz w:val="20"/>
          <w:szCs w:val="20"/>
          <w:color w:val="auto"/>
        </w:rPr>
      </w:pPr>
    </w:p>
    <w:p>
      <w:pPr>
        <w:jc w:val="both"/>
        <w:ind w:left="460" w:right="2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 Depreciation and amortization of property, plant and equipment is calculated principally on the straight-line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estimated useful lives of thirty to forty years for buildings, five to fifteen years for building improvements and three to ten years for machinery, equipment and software.</w:t>
      </w:r>
    </w:p>
    <w:p>
      <w:pPr>
        <w:spacing w:after="0" w:line="46" w:lineRule="exact"/>
        <w:rPr>
          <w:sz w:val="20"/>
          <w:szCs w:val="20"/>
          <w:color w:val="auto"/>
        </w:rPr>
      </w:pPr>
    </w:p>
    <w:p>
      <w:pPr>
        <w:ind w:left="460"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Purchased Intangible Assets and Other Long-lived Assets </w:t>
      </w:r>
      <w:r>
        <w:rPr>
          <w:rFonts w:ascii="Times New Roman" w:cs="Times New Roman" w:eastAsia="Times New Roman" w:hAnsi="Times New Roman"/>
          <w:sz w:val="18"/>
          <w:szCs w:val="18"/>
          <w:color w:val="auto"/>
        </w:rPr>
        <w:t>– We evaluate goodwill for impairment annually and when an event occurs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59" w:lineRule="exact"/>
        <w:rPr>
          <w:sz w:val="20"/>
          <w:szCs w:val="20"/>
          <w:color w:val="auto"/>
        </w:rPr>
      </w:pPr>
    </w:p>
    <w:p>
      <w:pPr>
        <w:ind w:left="460" w:right="40"/>
        <w:spacing w:after="0" w:line="254" w:lineRule="auto"/>
        <w:rPr>
          <w:sz w:val="20"/>
          <w:szCs w:val="20"/>
          <w:color w:val="auto"/>
        </w:rPr>
      </w:pPr>
      <w:r>
        <w:rPr>
          <w:rFonts w:ascii="Times New Roman" w:cs="Times New Roman" w:eastAsia="Times New Roman" w:hAnsi="Times New Roman"/>
          <w:sz w:val="18"/>
          <w:szCs w:val="18"/>
          <w:color w:val="auto"/>
        </w:rPr>
        <w:t>We conduct our annual goodwill impairment test as of October 1st of each year. As of October 1, 2014, we concluded there was no impairment as the estimated fair values of our semiconductor equipment and microwave communications reporting units exceeded their carrying values by approximately 35% and 17%, respectively. Subsequent to our annual goodwill impairment test, in the fourth quarter of 2014, we determined an interim analysis was required and as of December 27, 2014 concluded that the fair market value of our microwave communications reporting unit goodwill was lower than its carrying value. As a result, we recorded a non-cash, pre-tax impairment charge of $5.0 million, comprised of $3.1 million of goodwill, and $1.9 million other assets in the fourth quarter of 2014. Additional information is included in Note 3, “Microwave Communications Equipment Segment Impairment and Restructuring”.</w:t>
      </w:r>
    </w:p>
    <w:p>
      <w:pPr>
        <w:spacing w:after="0" w:line="60"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assets carrying amount and estimated fair value.</w:t>
      </w:r>
    </w:p>
    <w:p>
      <w:pPr>
        <w:spacing w:after="0" w:line="56" w:lineRule="exact"/>
        <w:rPr>
          <w:sz w:val="20"/>
          <w:szCs w:val="20"/>
          <w:color w:val="auto"/>
        </w:rPr>
      </w:pPr>
    </w:p>
    <w:p>
      <w:pPr>
        <w:ind w:left="460" w:right="120"/>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Product Warranty </w:t>
      </w:r>
      <w:r>
        <w:rPr>
          <w:rFonts w:ascii="Times New Roman" w:cs="Times New Roman" w:eastAsia="Times New Roman" w:hAnsi="Times New Roman"/>
          <w:sz w:val="16"/>
          <w:szCs w:val="16"/>
          <w:color w:val="auto"/>
        </w:rPr>
        <w:t>– Product warranty costs are accrued in the period sales are recognized. Our products are generally sold with standard warranty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periods, 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460" w:right="1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We assess our income tax positions and record tax benefits for all years subject to examination based upon management’s evaluation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58" w:lineRule="exact"/>
        <w:rPr>
          <w:sz w:val="20"/>
          <w:szCs w:val="20"/>
          <w:color w:val="auto"/>
        </w:rPr>
      </w:pPr>
    </w:p>
    <w:p>
      <w:pPr>
        <w:ind w:left="460"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Contingencies and Litigation </w:t>
      </w:r>
      <w:r>
        <w:rPr>
          <w:rFonts w:ascii="Times New Roman" w:cs="Times New Roman" w:eastAsia="Times New Roman" w:hAnsi="Times New Roman"/>
          <w:sz w:val="18"/>
          <w:szCs w:val="18"/>
          <w:color w:val="auto"/>
        </w:rPr>
        <w:t>– We assess the probability of adverse judgments in connection with current and threatened litigation. We would accrue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of an adverse judgment if, in our estimation, the adverse outcome is probable and we can reasonably estimate the ultimate cost.</w:t>
      </w:r>
    </w:p>
    <w:p>
      <w:pPr>
        <w:spacing w:after="0" w:line="35" w:lineRule="exact"/>
        <w:rPr>
          <w:sz w:val="20"/>
          <w:szCs w:val="20"/>
          <w:color w:val="auto"/>
        </w:rPr>
      </w:pPr>
    </w:p>
    <w:p>
      <w:pPr>
        <w:ind w:left="46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Our net sales are derived from the sale of products and services and are adjusted for estimated returns and allowances,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historically have been insignificant. We recognize revenue 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55"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20%) of the equipment purchase price be paid only upon customer acceptance. In those situations, the majority portion (e.g. 80%) of revenue where payment is tied to shipment and the entire product cost of sale are recognized upon shipment and passage of title and the minority portion of the purchase price related to customer acceptance is deferred and recognized upon receipt of customer acceptance. 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ratably over the period of the related contract. Spares and kit revenue is generally recognized upon shipment.</w:t>
      </w:r>
    </w:p>
    <w:p>
      <w:pPr>
        <w:spacing w:after="0" w:line="62"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58" w:lineRule="exact"/>
        <w:rPr>
          <w:sz w:val="20"/>
          <w:szCs w:val="20"/>
          <w:color w:val="auto"/>
        </w:rPr>
      </w:pPr>
    </w:p>
    <w:p>
      <w:pPr>
        <w:ind w:left="460" w:right="300"/>
        <w:spacing w:after="0" w:line="256" w:lineRule="auto"/>
        <w:rPr>
          <w:sz w:val="20"/>
          <w:szCs w:val="20"/>
          <w:color w:val="auto"/>
        </w:rPr>
      </w:pPr>
      <w:r>
        <w:rPr>
          <w:rFonts w:ascii="Times New Roman" w:cs="Times New Roman" w:eastAsia="Times New Roman" w:hAnsi="Times New Roman"/>
          <w:sz w:val="18"/>
          <w:szCs w:val="18"/>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in our consolidated balance sheet. At December 27, 2014, we had total deferred revenue of approximately $11.3 million and deferred profit of $7.4 million. At December 28, 2013, we had total deferred revenue of approximately $7.4 million and deferred profit of $6.1 million.</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Advertising Costs </w:t>
      </w:r>
      <w:r>
        <w:rPr>
          <w:rFonts w:ascii="Times New Roman" w:cs="Times New Roman" w:eastAsia="Times New Roman" w:hAnsi="Times New Roman"/>
          <w:sz w:val="18"/>
          <w:szCs w:val="18"/>
          <w:color w:val="auto"/>
        </w:rPr>
        <w:t>– Advertising costs are expensed as incurred and were not material for all periods presented.</w:t>
      </w:r>
    </w:p>
    <w:p>
      <w:pPr>
        <w:spacing w:after="0" w:line="90" w:lineRule="exact"/>
        <w:rPr>
          <w:sz w:val="20"/>
          <w:szCs w:val="20"/>
          <w:color w:val="auto"/>
        </w:rPr>
      </w:pPr>
    </w:p>
    <w:p>
      <w:pPr>
        <w:ind w:left="460" w:right="20"/>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Share-based Compensation </w:t>
      </w:r>
      <w:r>
        <w:rPr>
          <w:rFonts w:ascii="Times New Roman" w:cs="Times New Roman" w:eastAsia="Times New Roman" w:hAnsi="Times New Roman"/>
          <w:sz w:val="16"/>
          <w:szCs w:val="16"/>
          <w:color w:val="auto"/>
        </w:rPr>
        <w:t>– We measure and recognize all share-based compensation under the fair value method. Our estimate of share-based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compensation expense requires a number of complex and subjective assumptions including our stock price volatility, employee exercise patterns (expected life of the options), future forfeitures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 Assets and liabilities of those subsidiaries that use the U.S. dollar as their functional currency are translated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rates in effect at the end of the period, except for nonmonetary assets, such as inventories and property, plant and equipment, which are translated using historical exchange rates. Revenues and costs are translated using average exchange rates for the period, except for costs related to those balance sheet items that are translated using historical exchange rates. Gains and losses on foreign currency transactions are recognized as incurred. 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During 2014 strengthening of the U.S. dollar, against primarily the Swiss Franc and Euro resulted in approximately $2.0 million of gains being recognized in our consolidated statement of operations. Gains and losses were not significant in any of the other periods presented. Cumulative translation adjustments resulting from the translation of the financial statements are included as a separate component of stockholders’ equity.</w:t>
      </w:r>
    </w:p>
    <w:p>
      <w:pPr>
        <w:spacing w:after="0" w:line="60" w:lineRule="exact"/>
        <w:rPr>
          <w:sz w:val="20"/>
          <w:szCs w:val="20"/>
          <w:color w:val="auto"/>
        </w:rPr>
      </w:pPr>
    </w:p>
    <w:p>
      <w:pPr>
        <w:ind w:left="460"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Comprehensive Income (Loss)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accumulated other comprehensive loss totaled approximately $10.7 million at December 27, 2014 and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28, 2013 our other comprehensive income totaled approximately $6.7 million and was attributed to, net of income taxes where applicable; foreign currency adjustments resulting from the translation of certain accounts into U.S. dollars, unrealized losses and gains on investments and adjustments to accumulated postretirement benefit obligations. The U.S. dollar strengthened relative to many foreign currencies as of December 27, 2014 compared to December 28, 2013. Consequently, accumulated comprehensive income decreased by $14.1 million as a result of the foreign currency translation as of December 27, 2014. Additional information related to accumulated other comprehensive income, on an after-tax basis is included in Note 12.</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88" w:lineRule="exact"/>
        <w:rPr>
          <w:sz w:val="20"/>
          <w:szCs w:val="20"/>
          <w:color w:val="auto"/>
        </w:rPr>
      </w:pPr>
    </w:p>
    <w:p>
      <w:pPr>
        <w:ind w:left="460"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Pronouncements </w:t>
      </w:r>
      <w:r>
        <w:rPr>
          <w:rFonts w:ascii="Times New Roman" w:cs="Times New Roman" w:eastAsia="Times New Roman" w:hAnsi="Times New Roman"/>
          <w:sz w:val="18"/>
          <w:szCs w:val="18"/>
          <w:color w:val="auto"/>
        </w:rPr>
        <w:t>– In July 2013, the Financial Accounting Standards Board (“FASB”) issued guidance on the presentation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an unrecognized tax benefit when a net operating loss carryforward, a similar tax loss, or a tax credit carryforward exists. This amendment to previous income tax guidance clarifies that an unrecognized tax benefit, or a portion of an unrecognized tax benefit, should be presented in the financial statements as a reduction to a deferred tax asset for a net operating loss carryforward, a similar tax loss, or a tax credit carryforward if such settlement is required or expected in the event the uncertain tax benefit is disallowed. In situations where a net operating loss carryforward, a similar tax loss, or a tax credit carryforward is not available at the reporting date under the tax law of the applicable jurisdiction or the tax law of the jurisdiction does not require, and the entity does not intend to use, the deferred tax asset for such purpose, the unrecognized tax benefit should be presented in the financial statements as a liability and should not be netted with the deferred tax asset. These amendments are effective for fiscal years, and interim periods within those years, beginning after December 15, 2013. Early adoption is permitted. The amendments should be applied prospectively to all unrecognized tax benefits that exist at the effective date. Retrospective application is permitted. The adoption of this new guidance in the first quarter of fiscal 2014 did not have a material impact on our consolidated financial position, results of operations or cash flows.</w:t>
      </w:r>
    </w:p>
    <w:p>
      <w:pPr>
        <w:spacing w:after="0" w:line="62" w:lineRule="exact"/>
        <w:rPr>
          <w:sz w:val="20"/>
          <w:szCs w:val="20"/>
          <w:color w:val="auto"/>
        </w:rPr>
      </w:pPr>
    </w:p>
    <w:p>
      <w:pPr>
        <w:ind w:left="460" w:right="80"/>
        <w:spacing w:after="0" w:line="255" w:lineRule="auto"/>
        <w:rPr>
          <w:sz w:val="20"/>
          <w:szCs w:val="20"/>
          <w:color w:val="auto"/>
        </w:rPr>
      </w:pPr>
      <w:r>
        <w:rPr>
          <w:rFonts w:ascii="Times New Roman" w:cs="Times New Roman" w:eastAsia="Times New Roman" w:hAnsi="Times New Roman"/>
          <w:sz w:val="18"/>
          <w:szCs w:val="18"/>
          <w:color w:val="auto"/>
        </w:rPr>
        <w:t>In March 2013, the FASB issued guidance on a parent company’s accounting for the cumulative translation adjustment upon derecognition of a subsidiary or group of assets within a foreign entity. This new guidance requires that the parent release any related cumulative translation adjustment into net income only if the sale or transfer results in the complete or substantially complete liquidation of the foreign entity in which the subsidiary or group of assets had resided. The amendments will be effective for fiscal years and interim periods starting after December 15, 2013 with early adoption permitted. The adoption of this new guidance in the first quarter of fiscal 2014 did not have a material impact on our consolidated financial position, results of operations or cash flows.</w:t>
      </w:r>
    </w:p>
    <w:p>
      <w:pPr>
        <w:spacing w:after="0" w:line="58" w:lineRule="exact"/>
        <w:rPr>
          <w:sz w:val="20"/>
          <w:szCs w:val="20"/>
          <w:color w:val="auto"/>
        </w:rPr>
      </w:pPr>
    </w:p>
    <w:p>
      <w:pPr>
        <w:ind w:left="460" w:right="60"/>
        <w:spacing w:after="0" w:line="256" w:lineRule="auto"/>
        <w:rPr>
          <w:sz w:val="20"/>
          <w:szCs w:val="20"/>
          <w:color w:val="auto"/>
        </w:rPr>
      </w:pPr>
      <w:r>
        <w:rPr>
          <w:rFonts w:ascii="Times New Roman" w:cs="Times New Roman" w:eastAsia="Times New Roman" w:hAnsi="Times New Roman"/>
          <w:sz w:val="18"/>
          <w:szCs w:val="18"/>
          <w:color w:val="auto"/>
        </w:rPr>
        <w:t>In April 2014, the FASB issued new guidance on reporting discontinued operations and disclosures of disposals of components of an entity, which amends the existing definition of a discontinued operation and requires entities to disclose additional information about disposal transactions that do not meet the discontinued operations criteria. The guidance redefines a discontinued operation as a component or group of components of an entity that has been disposed of by sale or other than by sale or is classified as held for sale and represents a strategic shift that has a major effect on an entity’s operations and financial results. The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right="320"/>
        <w:spacing w:after="0" w:line="262" w:lineRule="auto"/>
        <w:rPr>
          <w:sz w:val="20"/>
          <w:szCs w:val="20"/>
          <w:color w:val="auto"/>
        </w:rPr>
      </w:pPr>
      <w:r>
        <w:rPr>
          <w:rFonts w:ascii="Times New Roman" w:cs="Times New Roman" w:eastAsia="Times New Roman" w:hAnsi="Times New Roman"/>
          <w:sz w:val="18"/>
          <w:szCs w:val="18"/>
          <w:color w:val="auto"/>
        </w:rPr>
        <w:t>guidance is effective prospectively for disposals or components classified as held for sale in periods on or after December 15, 2014 with early adoption permitted. Cohu elected to implement this new guidance in the second quarter of fiscal 2014 and the adoption did not have a material impact on our consolidated financial position, results of operations or cash flows.</w:t>
      </w:r>
    </w:p>
    <w:p>
      <w:pPr>
        <w:spacing w:after="0" w:line="47" w:lineRule="exact"/>
        <w:rPr>
          <w:sz w:val="20"/>
          <w:szCs w:val="20"/>
          <w:color w:val="auto"/>
        </w:rPr>
      </w:pPr>
    </w:p>
    <w:p>
      <w:pPr>
        <w:ind w:left="46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Recently Issued Accounting Pronouncements </w:t>
      </w:r>
      <w:r>
        <w:rPr>
          <w:rFonts w:ascii="Times New Roman" w:cs="Times New Roman" w:eastAsia="Times New Roman" w:hAnsi="Times New Roman"/>
          <w:sz w:val="16"/>
          <w:szCs w:val="16"/>
          <w:color w:val="auto"/>
        </w:rPr>
        <w:t>– In May 2014, the FASB issued new guidance on revenue from contracts with customers. The amended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guidance outlines a single comprehensive revenue model for entities to use in accounting for revenue arising from contracts with customers. The guidance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Entities have the option of using either a full retrospective or modified approach to adopt the guidance. This guidance is effective for fiscal years, and interim reporting periods within those years, beginning after December 15, 2016. Early adoption is not permitted. We are still evaluating the impact this new guidance might have on our consolidated financial position, results of operations or cash flows.</w:t>
      </w:r>
    </w:p>
    <w:p>
      <w:pPr>
        <w:spacing w:after="0" w:line="31"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color w:val="auto"/>
        </w:rPr>
        <w:t>In August 2014, the FASB issued new guidance on going concern, which requires management to evaluate whether there is substantial doubt about an entity’s ability to continue as a going concern and to provide related footnote disclosures in certain circumstances. This guidance is effective for annual and interim periods beginning after December 15, 2016 with early adoption permitted. We do not believe the adoption of this guidance will have a material impact on our consolidated financial statements.</w:t>
      </w:r>
    </w:p>
    <w:p>
      <w:pPr>
        <w:spacing w:after="0" w:line="256"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 of Video Camera Segment (Cohu Electronics)</w:t>
      </w:r>
    </w:p>
    <w:p>
      <w:pPr>
        <w:spacing w:after="0" w:line="92" w:lineRule="exact"/>
        <w:rPr>
          <w:rFonts w:ascii="Times New Roman" w:cs="Times New Roman" w:eastAsia="Times New Roman" w:hAnsi="Times New Roman"/>
          <w:sz w:val="18"/>
          <w:szCs w:val="18"/>
          <w:b w:val="1"/>
          <w:bCs w:val="1"/>
          <w:color w:val="auto"/>
        </w:rPr>
      </w:pPr>
    </w:p>
    <w:p>
      <w:pPr>
        <w:ind w:left="460" w:right="8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June 6, 2014, we completed the sale of substantially all the assets of our video camera segment. Our decision to sell resulted from management’s determination that this industry segment was no longer a strategic fit within our organization. The sales price was $9.5 million in cash and included up to $0.5 million in contingent consideration and a working capital adjustment. In connection with the sale we incurred $0.8 million of divestiture-related costs that would not have been incurred otherwise. These costs, which are netted against the gain on disposal presented below consist of legal advisory services, success based compensation arrangements and certain other items that are incremental to normal operating charges and were expensed as incurred. Balance sheet information of our discontinued video camera segment is summarized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960" w:type="dxa"/>
            <w:vAlign w:val="bottom"/>
            <w:gridSpan w:val="5"/>
          </w:tcPr>
          <w:p>
            <w:pPr>
              <w:ind w:left="200"/>
              <w:spacing w:after="0"/>
              <w:rPr>
                <w:sz w:val="20"/>
                <w:szCs w:val="20"/>
                <w:color w:val="auto"/>
              </w:rPr>
            </w:pPr>
            <w:r>
              <w:rPr>
                <w:rFonts w:ascii="Times New Roman" w:cs="Times New Roman" w:eastAsia="Times New Roman" w:hAnsi="Times New Roman"/>
                <w:sz w:val="14"/>
                <w:szCs w:val="14"/>
                <w:color w:val="auto"/>
                <w:w w:val="94"/>
              </w:rPr>
              <w:t>December 27,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8"/>
          </w:tcPr>
          <w:p>
            <w:pPr>
              <w:ind w:left="300"/>
              <w:spacing w:after="0"/>
              <w:rPr>
                <w:sz w:val="20"/>
                <w:szCs w:val="20"/>
                <w:color w:val="auto"/>
              </w:rPr>
            </w:pPr>
            <w:r>
              <w:rPr>
                <w:rFonts w:ascii="Times New Roman" w:cs="Times New Roman" w:eastAsia="Times New Roman" w:hAnsi="Times New Roman"/>
                <w:sz w:val="14"/>
                <w:szCs w:val="14"/>
                <w:color w:val="auto"/>
              </w:rPr>
              <w:t>December 28,</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2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color w:val="auto"/>
              </w:rPr>
              <w:t>2014</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6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accrued current liabilities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jc w:val="right"/>
              <w:ind w:right="792"/>
              <w:spacing w:after="0"/>
              <w:rPr>
                <w:sz w:val="20"/>
                <w:szCs w:val="20"/>
                <w:color w:val="auto"/>
              </w:rPr>
            </w:pPr>
            <w:r>
              <w:rPr>
                <w:rFonts w:ascii="Times New Roman" w:cs="Times New Roman" w:eastAsia="Times New Roman" w:hAnsi="Times New Roman"/>
                <w:sz w:val="18"/>
                <w:szCs w:val="18"/>
                <w:color w:val="auto"/>
                <w:w w:val="97"/>
              </w:rPr>
              <w:t>Operating results of our discontinued video camera segment is summarized as follows:</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9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2014</w:t>
            </w: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2013</w:t>
            </w:r>
          </w:p>
        </w:tc>
        <w:tc>
          <w:tcPr>
            <w:tcW w:w="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15,726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 before income taxes</w:t>
            </w: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520" w:type="dxa"/>
            <w:vAlign w:val="bottom"/>
            <w:gridSpan w:val="2"/>
            <w:vMerge w:val="continue"/>
          </w:tcPr>
          <w:p>
            <w:pPr>
              <w:spacing w:after="0"/>
              <w:rPr>
                <w:sz w:val="18"/>
                <w:szCs w:val="18"/>
                <w:color w:val="auto"/>
              </w:rPr>
            </w:pPr>
          </w:p>
        </w:tc>
        <w:tc>
          <w:tcPr>
            <w:tcW w:w="38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video camera segment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4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jc w:val="right"/>
              <w:ind w:right="1552"/>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9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right="40"/>
        <w:spacing w:after="0" w:line="262" w:lineRule="auto"/>
        <w:rPr>
          <w:sz w:val="20"/>
          <w:szCs w:val="20"/>
          <w:color w:val="auto"/>
        </w:rPr>
      </w:pPr>
      <w:r>
        <w:rPr>
          <w:rFonts w:ascii="Times New Roman" w:cs="Times New Roman" w:eastAsia="Times New Roman" w:hAnsi="Times New Roman"/>
          <w:sz w:val="18"/>
          <w:szCs w:val="18"/>
          <w:color w:val="auto"/>
        </w:rPr>
        <w:t>In the fourth quarter of fiscal 2014 we revised the fair value contingent consideration to be earned pursuant to the definitive agreement by $0.3 million as a result of the achievement of certain milestones. This adjustment in the fair value of the contingent consideration has been included in the gain on disposal of video camera segment presented above.</w:t>
      </w:r>
    </w:p>
    <w:p>
      <w:pPr>
        <w:spacing w:after="0" w:line="252" w:lineRule="exact"/>
        <w:rPr>
          <w:sz w:val="20"/>
          <w:szCs w:val="20"/>
          <w:color w:val="auto"/>
        </w:rPr>
      </w:pPr>
    </w:p>
    <w:p>
      <w:pPr>
        <w:ind w:left="460" w:right="4840" w:hanging="452"/>
        <w:spacing w:after="0" w:line="345" w:lineRule="auto"/>
        <w:tabs>
          <w:tab w:leader="none" w:pos="44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Microwave Communications Equipment Segment Impairment and Restructuring </w:t>
      </w:r>
      <w:r>
        <w:rPr>
          <w:rFonts w:ascii="Times New Roman" w:cs="Times New Roman" w:eastAsia="Times New Roman" w:hAnsi="Times New Roman"/>
          <w:sz w:val="18"/>
          <w:szCs w:val="18"/>
          <w:i w:val="1"/>
          <w:iCs w:val="1"/>
          <w:u w:val="single" w:color="auto"/>
          <w:color w:val="auto"/>
        </w:rPr>
        <w:t>Impairment of Goodwill and Other Assets</w:t>
      </w:r>
    </w:p>
    <w:p>
      <w:pPr>
        <w:spacing w:after="0" w:line="1"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required to assess goodwill impairment using the methodology prescribed by Accounting Standards Codification No. 350, Intangible–Goodwill and Other (“ASC 350”), which requires that we evaluate goodwill for impairment annually. We conduct our annual impairment test as of October 1st of each year and as of October 1, 2014 we previously determined there was no impairment as the estimated fair values of our semiconductor equipment and microwave communications reporting units exceeded their carrying values by approximately 35% and 17%, respectively. In addition to the annual goodwill impairment test, an interim test for impairment is required to be completed when an event occurs or circumstances change between annual tests that would more likely than not reduce the fair value of the reporting unit below its carrying value.</w:t>
      </w:r>
    </w:p>
    <w:p>
      <w:pPr>
        <w:spacing w:after="0" w:line="58" w:lineRule="exact"/>
        <w:rPr>
          <w:rFonts w:ascii="Times New Roman" w:cs="Times New Roman" w:eastAsia="Times New Roman" w:hAnsi="Times New Roman"/>
          <w:sz w:val="18"/>
          <w:szCs w:val="18"/>
          <w:b w:val="1"/>
          <w:bCs w:val="1"/>
          <w:color w:val="auto"/>
        </w:rPr>
      </w:pPr>
    </w:p>
    <w:p>
      <w:pPr>
        <w:ind w:left="460" w:right="60"/>
        <w:spacing w:after="0" w:line="29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ASC 350 requires a two-step impairment test to identify and measure any goodwill impairment loss. The first step is used to identify potential impairment and compares the fair value of a reporting unit with its carrying (book) value, including goodwill. If the fair value of the reporting unit exceeds its carrying amount, goodwill is not considered impaired and the second step of the test is not necessary. The second step of the impairment test is used to measure the amount of the impairment loss and compares the implied fair value of reporting unit goodwill with the carrying amount of that goodwill. If the carrying amount of reporting unit goodwill exceeds the implied fair value of that goodwill, an impairment loss is recognized in an amount equal to that excess.</w:t>
      </w:r>
    </w:p>
    <w:p>
      <w:pPr>
        <w:spacing w:after="0" w:line="26" w:lineRule="exact"/>
        <w:rPr>
          <w:rFonts w:ascii="Times New Roman" w:cs="Times New Roman" w:eastAsia="Times New Roman" w:hAnsi="Times New Roman"/>
          <w:sz w:val="18"/>
          <w:szCs w:val="18"/>
          <w:b w:val="1"/>
          <w:bCs w:val="1"/>
          <w:color w:val="auto"/>
        </w:rPr>
      </w:pPr>
    </w:p>
    <w:p>
      <w:pPr>
        <w:ind w:left="4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the preparation of our annual impairment test, as a result of changes to the estimated market value of our microwave communications equipment reporting unit that occurred during the fourth quarter, we determined it was necessary to evaluate the recoverability of the carrying value of this segment as of December 27, 2014. For this analysis we utilized the market approach as the primary valuation method. The market approach is one of the three methodologies (along with the income approach and asset approach) that are used to estimate enterprise and equity value. The market approach employs analysis using comparable transactions in determining the value of the entity. Both public and private companies, if publicly available information exists, are considered in the market approach. Two information points commonly available – company valuation and transaction value – are used for their respective methodologies. The three main methods utilized under the market approach are: The Guideline Public Company Method, The Guideline Transactions Method and The Backsolve Method.</w:t>
      </w:r>
    </w:p>
    <w:p>
      <w:pPr>
        <w:spacing w:after="0" w:line="57" w:lineRule="exact"/>
        <w:rPr>
          <w:rFonts w:ascii="Times New Roman" w:cs="Times New Roman" w:eastAsia="Times New Roman" w:hAnsi="Times New Roman"/>
          <w:sz w:val="18"/>
          <w:szCs w:val="18"/>
          <w:b w:val="1"/>
          <w:bCs w:val="1"/>
          <w:color w:val="auto"/>
        </w:rPr>
      </w:pPr>
    </w:p>
    <w:p>
      <w:pPr>
        <w:jc w:val="both"/>
        <w:ind w:left="460" w:right="2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Utilizing the results of the market approach analysis, we determined that the carrying value of our microwave communications equipment reporting unit exceeded its current fair market value and, as a result, we recorded a non-cash, pre-tax impairment charge of $5.0 million as of December 27, 2014. The asset impairments we recorded were comprised of $3.1 million of goodwill and $1.9 million of other assets.</w:t>
      </w:r>
    </w:p>
    <w:p>
      <w:pPr>
        <w:spacing w:after="0" w:line="21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Geographic Consolidation</w:t>
      </w:r>
    </w:p>
    <w:p>
      <w:pPr>
        <w:spacing w:after="0" w:line="92" w:lineRule="exact"/>
        <w:rPr>
          <w:rFonts w:ascii="Times New Roman" w:cs="Times New Roman" w:eastAsia="Times New Roman" w:hAnsi="Times New Roman"/>
          <w:sz w:val="18"/>
          <w:szCs w:val="18"/>
          <w:b w:val="1"/>
          <w:bCs w:val="1"/>
          <w:color w:val="auto"/>
        </w:rPr>
      </w:pPr>
    </w:p>
    <w:p>
      <w:pPr>
        <w:ind w:left="46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2014 BMS substantially completed a geographic consolidation restructuring plan to relocate the manufacturing, engineering and administrative function of its German operation to its headquarters facility in Poway, California. In 2014 BMS recorded charges to operations totaling $0.5 million for severance and one-time termination benefits. These charges are included in cost of sales $0.1 million, research and development $0.2 million and selling, general and administrative expense $0.2 million. We anticipate that the remaining amounts accrued at December 27, 2014 will be settled in the first quarter of fiscal 2015.</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following table reconciles amounts accrued and paid under the consolidation plan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1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Other Payroll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2013</w:t>
            </w:r>
          </w:p>
        </w:tc>
        <w:tc>
          <w:tcPr>
            <w:tcW w:w="2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Costs accrued</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Amounts paid or charged</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27, 2014</w:t>
            </w:r>
          </w:p>
        </w:tc>
        <w:tc>
          <w:tcPr>
            <w:tcW w:w="246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right="5100" w:hanging="452"/>
        <w:spacing w:after="0" w:line="345" w:lineRule="auto"/>
        <w:tabs>
          <w:tab w:leader="none" w:pos="44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Strategic Technology Transactions, Goodwill and Purchased Intangible Assets </w:t>
      </w:r>
      <w:r>
        <w:rPr>
          <w:rFonts w:ascii="Times New Roman" w:cs="Times New Roman" w:eastAsia="Times New Roman" w:hAnsi="Times New Roman"/>
          <w:sz w:val="18"/>
          <w:szCs w:val="18"/>
          <w:i w:val="1"/>
          <w:iCs w:val="1"/>
          <w:u w:val="single" w:color="auto"/>
          <w:color w:val="auto"/>
        </w:rPr>
        <w:t>Acquisition of Ismeca</w:t>
      </w:r>
    </w:p>
    <w:p>
      <w:pPr>
        <w:spacing w:after="0" w:line="1"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31, 2012, we acquired all of the outstanding share capital of Ismeca Semiconductor Holding SA (“Ismeca”). Ismeca, headquartered in La Chaux-de-Fonds, Switzerland, and with major operations in Malacca, Malaysia and Suzhou, China, designs, manufactures and sells turret-based test handling and back-end finishing equipment for integrated circuits, light emitting diodes (LEDs) and discrete components. The acquisition of Ismeca was a strategic transaction to expand our semiconductor total available market, extend our market leadership, expand our customer base, and broaden our product and technology offerings.</w:t>
      </w:r>
    </w:p>
    <w:p>
      <w:pPr>
        <w:spacing w:after="0" w:line="57" w:lineRule="exact"/>
        <w:rPr>
          <w:rFonts w:ascii="Times New Roman" w:cs="Times New Roman" w:eastAsia="Times New Roman" w:hAnsi="Times New Roman"/>
          <w:sz w:val="18"/>
          <w:szCs w:val="18"/>
          <w:b w:val="1"/>
          <w:bCs w:val="1"/>
          <w:color w:val="auto"/>
        </w:rPr>
      </w:pPr>
    </w:p>
    <w:p>
      <w:pPr>
        <w:ind w:left="46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this acquisition was approximately $90.8 million, and was funded primarily by cash reserves ($57.1 million) and certain liabilities assumed ($33.7 million). Total consideration was allocated to the assets acquired and liabilities assumed based on their estimated respective fair values as of the completion of the acquisition. Amounts allocated to intangible assets are being amortized on a straight-line basis over their useful lives as noted below. The acquisition was nontaxable and certain of the assets acquired, including goodwill and intangibles, will generally not be deductible for tax purposes. Goodwill associated with the acquisition was primarily attributable to the opportunities from the addition of Ismeca’s products and was assigned to our semiconductor equipment segment.</w:t>
      </w:r>
    </w:p>
    <w:p>
      <w:pPr>
        <w:spacing w:after="0" w:line="56" w:lineRule="exact"/>
        <w:rPr>
          <w:rFonts w:ascii="Times New Roman" w:cs="Times New Roman" w:eastAsia="Times New Roman" w:hAnsi="Times New Roman"/>
          <w:sz w:val="18"/>
          <w:szCs w:val="18"/>
          <w:b w:val="1"/>
          <w:bCs w:val="1"/>
          <w:color w:val="auto"/>
        </w:rPr>
      </w:pPr>
    </w:p>
    <w:p>
      <w:pPr>
        <w:ind w:left="460" w:right="18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carrying value of goodwill by reportable segment during the years ended December 27, 2014 and December 28, 2013 were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Semiconductor</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w w:val="97"/>
              </w:rPr>
              <w:t>Microwave</w:t>
            </w:r>
          </w:p>
        </w:tc>
        <w:tc>
          <w:tcPr>
            <w:tcW w:w="2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Total</w:t>
            </w:r>
          </w:p>
        </w:tc>
      </w:tr>
      <w:tr>
        <w:trPr>
          <w:trHeight w:val="16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w w:val="94"/>
              </w:rPr>
              <w:t>Equipment</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Communications</w:t>
            </w:r>
          </w:p>
        </w:tc>
        <w:tc>
          <w:tcPr>
            <w:tcW w:w="2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8"/>
              </w:rPr>
              <w:t>Goodwill</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29, 2012</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$58,756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Additions net of adjustments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10,930</w:t>
            </w:r>
          </w:p>
        </w:tc>
      </w:tr>
      <w:tr>
        <w:trPr>
          <w:trHeight w:val="216"/>
        </w:trPr>
        <w:tc>
          <w:tcPr>
            <w:tcW w:w="5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28, 2013</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67,983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71,313</w:t>
            </w:r>
          </w:p>
        </w:tc>
        <w:tc>
          <w:tcPr>
            <w:tcW w:w="100" w:type="dxa"/>
            <w:vAlign w:val="bottom"/>
          </w:tcPr>
          <w:p>
            <w:pPr>
              <w:spacing w:after="0"/>
              <w:rPr>
                <w:sz w:val="19"/>
                <w:szCs w:val="19"/>
                <w:color w:val="auto"/>
              </w:rPr>
            </w:pPr>
          </w:p>
        </w:tc>
      </w:tr>
      <w:tr>
        <w:trPr>
          <w:trHeight w:val="217"/>
        </w:trPr>
        <w:tc>
          <w:tcPr>
            <w:tcW w:w="5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(275)</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(5,126)</w:t>
            </w:r>
          </w:p>
        </w:tc>
      </w:tr>
      <w:tr>
        <w:trPr>
          <w:trHeight w:val="216"/>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Impairment of goodwill - (See Note 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(3,055)</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(3,055)</w:t>
            </w: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27, 2014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63,132</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63,132</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Purchased intangible assets, subject to amortization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color w:val="auto"/>
              </w:rPr>
              <w:t>December 27, 2014</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December 28, 2013</w:t>
            </w:r>
          </w:p>
        </w:tc>
      </w:tr>
      <w:tr>
        <w:trPr>
          <w:trHeight w:val="129"/>
        </w:trPr>
        <w:tc>
          <w:tcPr>
            <w:tcW w:w="4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w w:val="93"/>
              </w:rPr>
              <w:t>Gross Carrying</w:t>
            </w:r>
          </w:p>
        </w:tc>
        <w:tc>
          <w:tcPr>
            <w:tcW w:w="3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62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w w:val="94"/>
              </w:rPr>
              <w:t>Remaining</w:t>
            </w:r>
          </w:p>
        </w:tc>
        <w:tc>
          <w:tcPr>
            <w:tcW w:w="320" w:type="dxa"/>
            <w:vAlign w:val="bottom"/>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w w:val="95"/>
              </w:rPr>
              <w:t>Gross Carrying</w:t>
            </w:r>
          </w:p>
        </w:tc>
        <w:tc>
          <w:tcPr>
            <w:tcW w:w="3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w w:val="93"/>
              </w:rPr>
              <w:t>Accumulated</w:t>
            </w:r>
          </w:p>
        </w:tc>
        <w:tc>
          <w:tcPr>
            <w:tcW w:w="60" w:type="dxa"/>
            <w:vAlign w:val="bottom"/>
          </w:tcPr>
          <w:p>
            <w:pPr>
              <w:spacing w:after="0"/>
              <w:rPr>
                <w:sz w:val="11"/>
                <w:szCs w:val="11"/>
                <w:color w:val="auto"/>
              </w:rPr>
            </w:pPr>
          </w:p>
        </w:tc>
      </w:tr>
      <w:tr>
        <w:trPr>
          <w:trHeight w:val="161"/>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Amount</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Useful Life</w:t>
            </w:r>
          </w:p>
        </w:tc>
        <w:tc>
          <w:tcPr>
            <w:tcW w:w="140" w:type="dxa"/>
            <w:vAlign w:val="bottom"/>
          </w:tcPr>
          <w:p>
            <w:pPr>
              <w:spacing w:after="0"/>
              <w:rPr>
                <w:sz w:val="14"/>
                <w:szCs w:val="14"/>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color w:val="auto"/>
              </w:rPr>
              <w:t>Amount</w:t>
            </w:r>
          </w:p>
        </w:tc>
        <w:tc>
          <w:tcPr>
            <w:tcW w:w="3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Amortization</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Rasco technology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22,616</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2.0 years</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33,689</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Ismeca 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6,879</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 years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3,809</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Duma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864</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0.0 years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r>
      <w:tr>
        <w:trPr>
          <w:trHeight w:val="223"/>
        </w:trPr>
        <w:tc>
          <w:tcPr>
            <w:tcW w:w="4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57,723</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30,359</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25,536</w:t>
            </w:r>
          </w:p>
        </w:tc>
        <w:tc>
          <w:tcPr>
            <w:tcW w:w="6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In connection with the impairment of our microwave communications equipment reporting unit we wrote off the remaining $0.2 million net book value of Duma technology as of December 27, 2014, this impairment is included in the accumulated amortization in the table above. The amounts included in the table above at December 27, 2014, exclude approximately $2.1 million and $3.6 million, related to the trade names of Rasco and Ismeca, respectively, and at December 28, 2013 exclude approximately $2.4 million and $4.0 million, respectively.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right="400"/>
        <w:spacing w:after="0" w:line="275" w:lineRule="auto"/>
        <w:rPr>
          <w:sz w:val="20"/>
          <w:szCs w:val="20"/>
          <w:color w:val="auto"/>
        </w:rPr>
      </w:pPr>
      <w:r>
        <w:rPr>
          <w:rFonts w:ascii="Times New Roman" w:cs="Times New Roman" w:eastAsia="Times New Roman" w:hAnsi="Times New Roman"/>
          <w:sz w:val="18"/>
          <w:szCs w:val="18"/>
          <w:color w:val="auto"/>
        </w:rPr>
        <w:t>These trade names have an indefinite life and are not being amortized. Changes in the carrying values of purchased intangible assets are a result of the impact of fluctuation in currency exchange rates.</w:t>
      </w:r>
    </w:p>
    <w:p>
      <w:pPr>
        <w:spacing w:after="0" w:line="39" w:lineRule="exact"/>
        <w:rPr>
          <w:sz w:val="20"/>
          <w:szCs w:val="20"/>
          <w:color w:val="auto"/>
        </w:rPr>
      </w:pPr>
    </w:p>
    <w:p>
      <w:pPr>
        <w:ind w:left="460" w:right="100"/>
        <w:spacing w:after="0" w:line="289" w:lineRule="auto"/>
        <w:rPr>
          <w:sz w:val="20"/>
          <w:szCs w:val="20"/>
          <w:color w:val="auto"/>
        </w:rPr>
      </w:pPr>
      <w:r>
        <w:rPr>
          <w:rFonts w:ascii="Times New Roman" w:cs="Times New Roman" w:eastAsia="Times New Roman" w:hAnsi="Times New Roman"/>
          <w:sz w:val="16"/>
          <w:szCs w:val="16"/>
          <w:color w:val="auto"/>
        </w:rPr>
        <w:t>Amortization expense related to purchased intangible assets was approximately $8.1 million in both 2014 and 2013 and $4.1 million in 2012. As of December 27, 2014, we expect amortization expense in future periods to be as follows: 2015 - $7.2 million; 2016 - $6.8 million; 2017 - $3.3 million; 2018</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$3.3 million 2019 - $3.3 million; and thereafter $3.4 million.</w:t>
      </w:r>
    </w:p>
    <w:p>
      <w:pPr>
        <w:spacing w:after="0" w:line="278"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92" w:lineRule="exact"/>
        <w:rPr>
          <w:rFonts w:ascii="Times New Roman" w:cs="Times New Roman" w:eastAsia="Times New Roman" w:hAnsi="Times New Roman"/>
          <w:sz w:val="18"/>
          <w:szCs w:val="18"/>
          <w:b w:val="1"/>
          <w:bCs w:val="1"/>
          <w:color w:val="auto"/>
        </w:rPr>
      </w:pPr>
    </w:p>
    <w:p>
      <w:pPr>
        <w:ind w:left="46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cash, cash equivalents, and short-term investments consisted primarily of cash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55" w:lineRule="exact"/>
        <w:rPr>
          <w:rFonts w:ascii="Times New Roman" w:cs="Times New Roman" w:eastAsia="Times New Roman" w:hAnsi="Times New Roman"/>
          <w:sz w:val="18"/>
          <w:szCs w:val="18"/>
          <w:b w:val="1"/>
          <w:bCs w:val="1"/>
          <w:color w:val="auto"/>
        </w:rPr>
      </w:pPr>
    </w:p>
    <w:p>
      <w:pPr>
        <w:ind w:left="460" w:right="160"/>
        <w:spacing w:after="0" w:line="28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 Investments that we have classified as short-term, by security type,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4"/>
                <w:szCs w:val="14"/>
                <w:color w:val="auto"/>
              </w:rPr>
              <w:t>At December 27, 2014</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ind w:left="20"/>
              <w:spacing w:after="0" w:line="129" w:lineRule="exact"/>
              <w:rPr>
                <w:sz w:val="20"/>
                <w:szCs w:val="20"/>
                <w:color w:val="auto"/>
              </w:rPr>
            </w:pPr>
            <w:r>
              <w:rPr>
                <w:rFonts w:ascii="Times New Roman" w:cs="Times New Roman" w:eastAsia="Times New Roman" w:hAnsi="Times New Roman"/>
                <w:sz w:val="14"/>
                <w:szCs w:val="14"/>
                <w:color w:val="auto"/>
              </w:rPr>
              <w:t>Gross</w:t>
            </w:r>
          </w:p>
        </w:tc>
        <w:tc>
          <w:tcPr>
            <w:tcW w:w="100" w:type="dxa"/>
            <w:vAlign w:val="bottom"/>
          </w:tcPr>
          <w:p>
            <w:pPr>
              <w:spacing w:after="0"/>
              <w:rPr>
                <w:sz w:val="11"/>
                <w:szCs w:val="11"/>
                <w:color w:val="auto"/>
              </w:rPr>
            </w:pPr>
          </w:p>
        </w:tc>
        <w:tc>
          <w:tcPr>
            <w:tcW w:w="1120" w:type="dxa"/>
            <w:vAlign w:val="bottom"/>
            <w:gridSpan w:val="4"/>
          </w:tcPr>
          <w:p>
            <w:pPr>
              <w:jc w:val="center"/>
              <w:ind w:right="720"/>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Amortized</w:t>
            </w:r>
          </w:p>
        </w:tc>
        <w:tc>
          <w:tcPr>
            <w:tcW w:w="12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2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7"/>
              </w:rPr>
              <w:t>Fair</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Cost</w:t>
            </w:r>
          </w:p>
        </w:tc>
        <w:tc>
          <w:tcPr>
            <w:tcW w:w="12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Gains</w:t>
            </w:r>
          </w:p>
        </w:tc>
        <w:tc>
          <w:tcPr>
            <w:tcW w:w="100" w:type="dxa"/>
            <w:vAlign w:val="bottom"/>
          </w:tcPr>
          <w:p>
            <w:pPr>
              <w:spacing w:after="0"/>
              <w:rPr>
                <w:sz w:val="14"/>
                <w:szCs w:val="14"/>
                <w:color w:val="auto"/>
              </w:rPr>
            </w:pPr>
          </w:p>
        </w:tc>
        <w:tc>
          <w:tcPr>
            <w:tcW w:w="112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color w:val="auto"/>
                <w:w w:val="94"/>
              </w:rPr>
              <w:t>Losses</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$ 1,155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4"/>
                <w:szCs w:val="14"/>
                <w:color w:val="auto"/>
              </w:rPr>
              <w:t>At December 28, 2013</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ind w:left="20"/>
              <w:spacing w:after="0" w:line="129" w:lineRule="exact"/>
              <w:rPr>
                <w:sz w:val="20"/>
                <w:szCs w:val="20"/>
                <w:color w:val="auto"/>
              </w:rPr>
            </w:pPr>
            <w:r>
              <w:rPr>
                <w:rFonts w:ascii="Times New Roman" w:cs="Times New Roman" w:eastAsia="Times New Roman" w:hAnsi="Times New Roman"/>
                <w:sz w:val="14"/>
                <w:szCs w:val="14"/>
                <w:color w:val="auto"/>
              </w:rPr>
              <w:t>Gross</w:t>
            </w:r>
          </w:p>
        </w:tc>
        <w:tc>
          <w:tcPr>
            <w:tcW w:w="100" w:type="dxa"/>
            <w:vAlign w:val="bottom"/>
          </w:tcPr>
          <w:p>
            <w:pPr>
              <w:spacing w:after="0"/>
              <w:rPr>
                <w:sz w:val="11"/>
                <w:szCs w:val="11"/>
                <w:color w:val="auto"/>
              </w:rPr>
            </w:pPr>
          </w:p>
        </w:tc>
        <w:tc>
          <w:tcPr>
            <w:tcW w:w="1120" w:type="dxa"/>
            <w:vAlign w:val="bottom"/>
            <w:gridSpan w:val="4"/>
          </w:tcPr>
          <w:p>
            <w:pPr>
              <w:jc w:val="center"/>
              <w:ind w:right="720"/>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Amortized</w:t>
            </w:r>
          </w:p>
        </w:tc>
        <w:tc>
          <w:tcPr>
            <w:tcW w:w="12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2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7"/>
              </w:rPr>
              <w:t>Fair</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Cost</w:t>
            </w:r>
          </w:p>
        </w:tc>
        <w:tc>
          <w:tcPr>
            <w:tcW w:w="12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Gains</w:t>
            </w:r>
          </w:p>
        </w:tc>
        <w:tc>
          <w:tcPr>
            <w:tcW w:w="100" w:type="dxa"/>
            <w:vAlign w:val="bottom"/>
          </w:tcPr>
          <w:p>
            <w:pPr>
              <w:spacing w:after="0"/>
              <w:rPr>
                <w:sz w:val="14"/>
                <w:szCs w:val="14"/>
                <w:color w:val="auto"/>
              </w:rPr>
            </w:pPr>
          </w:p>
        </w:tc>
        <w:tc>
          <w:tcPr>
            <w:tcW w:w="112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color w:val="auto"/>
                <w:w w:val="94"/>
              </w:rPr>
              <w:t>Losses</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$ 1,200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8"/>
              </w:rPr>
              <w:t>Effective maturities of short-term investments at December 27, 2014, were as follows:</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1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18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w w:val="96"/>
              </w:rPr>
              <w:t>Amortized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Estimated</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jc w:val="center"/>
              <w:ind w:right="280"/>
              <w:spacing w:after="0" w:line="148" w:lineRule="exact"/>
              <w:rPr>
                <w:sz w:val="20"/>
                <w:szCs w:val="20"/>
                <w:color w:val="auto"/>
              </w:rPr>
            </w:pPr>
            <w:r>
              <w:rPr>
                <w:rFonts w:ascii="Times New Roman" w:cs="Times New Roman" w:eastAsia="Times New Roman" w:hAnsi="Times New Roman"/>
                <w:sz w:val="14"/>
                <w:szCs w:val="14"/>
                <w:color w:val="auto"/>
                <w:w w:val="93"/>
              </w:rPr>
              <w:t>Cost</w:t>
            </w:r>
          </w:p>
        </w:tc>
        <w:tc>
          <w:tcPr>
            <w:tcW w:w="100" w:type="dxa"/>
            <w:vAlign w:val="bottom"/>
          </w:tcPr>
          <w:p>
            <w:pPr>
              <w:spacing w:after="0"/>
              <w:rPr>
                <w:sz w:val="12"/>
                <w:szCs w:val="12"/>
                <w:color w:val="auto"/>
              </w:rPr>
            </w:pPr>
          </w:p>
        </w:tc>
        <w:tc>
          <w:tcPr>
            <w:tcW w:w="1120" w:type="dxa"/>
            <w:vAlign w:val="bottom"/>
            <w:gridSpan w:val="4"/>
          </w:tcPr>
          <w:p>
            <w:pPr>
              <w:ind w:left="200"/>
              <w:spacing w:after="0" w:line="148" w:lineRule="exact"/>
              <w:rPr>
                <w:sz w:val="20"/>
                <w:szCs w:val="20"/>
                <w:color w:val="auto"/>
              </w:rPr>
            </w:pPr>
            <w:r>
              <w:rPr>
                <w:rFonts w:ascii="Times New Roman" w:cs="Times New Roman" w:eastAsia="Times New Roman" w:hAnsi="Times New Roman"/>
                <w:sz w:val="14"/>
                <w:szCs w:val="14"/>
                <w:color w:val="auto"/>
              </w:rPr>
              <w:t>Fair Value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5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Due in one year or less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$ 1,155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bottom w:val="single" w:sz="8" w:color="auto"/>
              <w:right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$ 1,155</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Our municipal securities include variable rate demand notes which can be put (sold at par) typically on a daily basis with settlement periods ranging from the same day to one week and have varying contractual maturities through 2034. These securities can be used for short-term liquidity needs and are held for limited periods of time. At December 27, 2014 these securities had amortized cost and fair value of $0.2 million and are included in “Due in one year or less” in the table above</w:t>
      </w:r>
      <w:r>
        <w:rPr>
          <w:rFonts w:ascii="Times New Roman" w:cs="Times New Roman" w:eastAsia="Times New Roman" w:hAnsi="Times New Roman"/>
          <w:sz w:val="18"/>
          <w:szCs w:val="18"/>
          <w:b w:val="1"/>
          <w:bCs w:val="1"/>
          <w:color w:val="auto"/>
        </w:rPr>
        <w:t>.</w:t>
      </w:r>
    </w:p>
    <w:p>
      <w:pPr>
        <w:spacing w:after="0" w:line="55" w:lineRule="exact"/>
        <w:rPr>
          <w:sz w:val="20"/>
          <w:szCs w:val="20"/>
          <w:color w:val="auto"/>
        </w:rPr>
      </w:pPr>
    </w:p>
    <w:p>
      <w:pPr>
        <w:ind w:left="460" w:right="40"/>
        <w:spacing w:after="0" w:line="255" w:lineRule="auto"/>
        <w:rPr>
          <w:sz w:val="20"/>
          <w:szCs w:val="20"/>
          <w:color w:val="auto"/>
        </w:rPr>
      </w:pPr>
      <w:r>
        <w:rPr>
          <w:rFonts w:ascii="Times New Roman" w:cs="Times New Roman" w:eastAsia="Times New Roman" w:hAnsi="Times New Roman"/>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right="240"/>
        <w:spacing w:after="0" w:line="275" w:lineRule="auto"/>
        <w:rPr>
          <w:sz w:val="20"/>
          <w:szCs w:val="20"/>
          <w:color w:val="auto"/>
        </w:rPr>
      </w:pPr>
      <w:r>
        <w:rPr>
          <w:rFonts w:ascii="Times New Roman" w:cs="Times New Roman" w:eastAsia="Times New Roman" w:hAnsi="Times New Roman"/>
          <w:sz w:val="18"/>
          <w:szCs w:val="18"/>
          <w:color w:val="auto"/>
        </w:rPr>
        <w:t xml:space="preserve">The following table summarizes, by major security type, our assets that are measured at fair value on a recurring basis and are categorized using the fair value hierarchy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920" w:type="dxa"/>
            <w:vAlign w:val="bottom"/>
            <w:gridSpan w:val="11"/>
          </w:tcPr>
          <w:p>
            <w:pPr>
              <w:jc w:val="right"/>
              <w:ind w:right="520"/>
              <w:spacing w:after="0"/>
              <w:rPr>
                <w:sz w:val="20"/>
                <w:szCs w:val="20"/>
                <w:color w:val="auto"/>
              </w:rPr>
            </w:pPr>
            <w:r>
              <w:rPr>
                <w:rFonts w:ascii="Times New Roman" w:cs="Times New Roman" w:eastAsia="Times New Roman" w:hAnsi="Times New Roman"/>
                <w:sz w:val="14"/>
                <w:szCs w:val="14"/>
                <w:color w:val="auto"/>
              </w:rPr>
              <w:t>Fair value measurements at December 27, 2014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4"/>
              </w:rPr>
              <w:t>Total 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Level 1</w:t>
            </w:r>
          </w:p>
        </w:tc>
        <w:tc>
          <w:tcPr>
            <w:tcW w:w="44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Level 2</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Level 3</w:t>
            </w:r>
          </w:p>
        </w:tc>
        <w:tc>
          <w:tcPr>
            <w:tcW w:w="1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$ 66,467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4,418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$ 66,467</w:t>
            </w:r>
          </w:p>
        </w:tc>
        <w:tc>
          <w:tcPr>
            <w:tcW w:w="13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$ 5,573</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920" w:type="dxa"/>
            <w:vAlign w:val="bottom"/>
            <w:gridSpan w:val="11"/>
          </w:tcPr>
          <w:p>
            <w:pPr>
              <w:jc w:val="right"/>
              <w:ind w:right="520"/>
              <w:spacing w:after="0"/>
              <w:rPr>
                <w:sz w:val="20"/>
                <w:szCs w:val="20"/>
                <w:color w:val="auto"/>
              </w:rPr>
            </w:pPr>
            <w:r>
              <w:rPr>
                <w:rFonts w:ascii="Times New Roman" w:cs="Times New Roman" w:eastAsia="Times New Roman" w:hAnsi="Times New Roman"/>
                <w:sz w:val="14"/>
                <w:szCs w:val="14"/>
                <w:color w:val="auto"/>
              </w:rPr>
              <w:t>Fair value measurements at December 28, 2013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4"/>
              </w:rPr>
              <w:t>Total 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Level 1</w:t>
            </w:r>
          </w:p>
        </w:tc>
        <w:tc>
          <w:tcPr>
            <w:tcW w:w="44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Level 2</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Level 3</w:t>
            </w:r>
          </w:p>
        </w:tc>
        <w:tc>
          <w:tcPr>
            <w:tcW w:w="1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5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$ 44,165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1,200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7,503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$ 44,165</w:t>
            </w:r>
          </w:p>
        </w:tc>
        <w:tc>
          <w:tcPr>
            <w:tcW w:w="13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$ 8,703</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90" w:lineRule="exact"/>
        <w:rPr>
          <w:rFonts w:ascii="Times New Roman" w:cs="Times New Roman" w:eastAsia="Times New Roman" w:hAnsi="Times New Roman"/>
          <w:sz w:val="18"/>
          <w:szCs w:val="18"/>
          <w:b w:val="1"/>
          <w:bCs w:val="1"/>
          <w:color w:val="auto"/>
        </w:rPr>
      </w:pPr>
    </w:p>
    <w:p>
      <w:pPr>
        <w:jc w:val="both"/>
        <w:ind w:left="460" w:right="10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Defined Contribution Retirement Plans </w:t>
      </w:r>
      <w:r>
        <w:rPr>
          <w:rFonts w:ascii="Times New Roman" w:cs="Times New Roman" w:eastAsia="Times New Roman" w:hAnsi="Times New Roman"/>
          <w:sz w:val="18"/>
          <w:szCs w:val="18"/>
          <w:color w:val="auto"/>
        </w:rPr>
        <w:t>– We have a voluntary defined contribution retirement 401(k) plan whereby we match employee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2012 and 2013 we provided a matching contribution at 1.5% and made contributions to the plan of approximately $0.4 million in both periods. In 2014 we increased our matching contribution to 3% and made contributions to the plan of approximately $0.8 million.</w:t>
      </w:r>
    </w:p>
    <w:p>
      <w:pPr>
        <w:spacing w:after="0" w:line="46" w:lineRule="exact"/>
        <w:rPr>
          <w:rFonts w:ascii="Times New Roman" w:cs="Times New Roman" w:eastAsia="Times New Roman" w:hAnsi="Times New Roman"/>
          <w:sz w:val="18"/>
          <w:szCs w:val="18"/>
          <w:b w:val="1"/>
          <w:bCs w:val="1"/>
          <w:color w:val="auto"/>
        </w:rPr>
      </w:pPr>
    </w:p>
    <w:p>
      <w:pPr>
        <w:ind w:left="4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Defined Benefit Retirement Plans </w:t>
      </w:r>
      <w:r>
        <w:rPr>
          <w:rFonts w:ascii="Times New Roman" w:cs="Times New Roman" w:eastAsia="Times New Roman" w:hAnsi="Times New Roman"/>
          <w:sz w:val="18"/>
          <w:szCs w:val="18"/>
          <w:color w:val="auto"/>
        </w:rPr>
        <w:t>– We maintain defined benefit plans for employees located outside the U.S. for which the majority of the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net periodic benefit cost were determined to be immaterial at both December 27, 2014 and December 28, 2013. As a result of the acquisition of Ismeca effective December 31, 2012, we took over the Ismeca Europe Semiconductor BVG Pension Plan in Switzerland (“the Swiss Plan”) and the following discussion relates to the Swiss Plan for the years ended December 27, 2014 and December 28, 2013.</w:t>
      </w:r>
    </w:p>
    <w:p>
      <w:pPr>
        <w:spacing w:after="0" w:line="5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periodic benefit cost of the Swiss Plan was as follows:</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18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(in thousands)</w:t>
            </w:r>
          </w:p>
        </w:tc>
        <w:tc>
          <w:tcPr>
            <w:tcW w:w="2200" w:type="dxa"/>
            <w:vAlign w:val="bottom"/>
          </w:tcPr>
          <w:p>
            <w:pPr>
              <w:spacing w:after="0"/>
              <w:rPr>
                <w:sz w:val="15"/>
                <w:szCs w:val="15"/>
                <w:color w:val="auto"/>
              </w:rPr>
            </w:pP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2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Service cost</w:t>
            </w:r>
          </w:p>
        </w:tc>
        <w:tc>
          <w:tcPr>
            <w:tcW w:w="4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$ 749</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$ 841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4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2"/>
        </w:trPr>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periodic costs</w:t>
            </w:r>
          </w:p>
        </w:tc>
        <w:tc>
          <w:tcPr>
            <w:tcW w:w="4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$ 897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0" w:type="dxa"/>
            <w:vAlign w:val="bottom"/>
            <w:vMerge w:val="restart"/>
          </w:tcPr>
          <w:p>
            <w:pPr>
              <w:jc w:val="right"/>
              <w:ind w:right="2717"/>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right="440"/>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projected benefit obligation, the fair value of plan assets, the funded status and the liability we have recorded in our consolidated balance sheet related to the Swiss Plan:</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86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Change in projected benefit obligation:</w:t>
            </w: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0"/>
              </w:rPr>
              <w:t>$ (23,850)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Actuarial gain (loss)</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Benefits paid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Foreign currency exchange adjustment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Return on assets, net of actuarial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Employer contributions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Foreign currency exchange adjustment</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liability at December 27, 2014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(10,424</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180"/>
        <w:spacing w:after="0" w:line="262" w:lineRule="auto"/>
        <w:rPr>
          <w:sz w:val="20"/>
          <w:szCs w:val="20"/>
          <w:color w:val="auto"/>
        </w:rPr>
      </w:pPr>
      <w:r>
        <w:rPr>
          <w:rFonts w:ascii="Times New Roman" w:cs="Times New Roman" w:eastAsia="Times New Roman" w:hAnsi="Times New Roman"/>
          <w:sz w:val="18"/>
          <w:szCs w:val="18"/>
          <w:color w:val="auto"/>
        </w:rPr>
        <w:t>At December 27, 2014 and December 28, 2013, the Swiss Plan was underfunded and the related net liability is included in noncurrent accrued retirement benefits. Amounts recognized in accumulated other comprehensive income at December 27, 2014 related to the Swiss Plan consisted of an unrecognized net actuarial loss totaling $2.4 million compared to a net gain totaling $1.0 million at December 28, 2013.</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Weighted-average actuarial assumptions used to determine the benefit obligation under the Swiss Plan are as follows: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6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2013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9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6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benefit cost of the Swiss Plan are as follows: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6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2013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9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Rate of return on Assets</w:t>
            </w:r>
          </w:p>
        </w:tc>
        <w:tc>
          <w:tcPr>
            <w:tcW w:w="1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2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18"/>
          <w:szCs w:val="18"/>
          <w:color w:val="auto"/>
        </w:rPr>
        <w:t>During 2015 employer and employee respective contributions to the Swiss Plan are expected to total $0.7 million. Estimated benefit payments are expected to be as follows: 2015 - $0.7 million; 2016 - $0.7 million; 2017 - $0.7 million; 2018 - $0.7 million; 2019 - $0.8 million; and $5.5 million thereafter through 2024.</w:t>
      </w:r>
    </w:p>
    <w:p>
      <w:pPr>
        <w:spacing w:after="0" w:line="51" w:lineRule="exact"/>
        <w:rPr>
          <w:sz w:val="20"/>
          <w:szCs w:val="20"/>
          <w:color w:val="auto"/>
        </w:rPr>
      </w:pPr>
    </w:p>
    <w:p>
      <w:pPr>
        <w:ind w:left="460"/>
        <w:spacing w:after="0" w:line="301" w:lineRule="auto"/>
        <w:rPr>
          <w:sz w:val="20"/>
          <w:szCs w:val="20"/>
          <w:color w:val="auto"/>
        </w:rPr>
      </w:pPr>
      <w:r>
        <w:rPr>
          <w:rFonts w:ascii="Times New Roman" w:cs="Times New Roman" w:eastAsia="Times New Roman" w:hAnsi="Times New Roman"/>
          <w:sz w:val="16"/>
          <w:szCs w:val="16"/>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76% debt securities, 11% real estate investments, 9% alternative investments, 3% cash and 1% equity securities. All assets of the plan fall within Level 2 of the fair value hierarchy. See Note 5 for a description of the levels of inputs used to determine fair value measurement.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jc w:val="both"/>
        <w:ind w:left="460" w:right="10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Retiree Medical Benefits </w:t>
      </w:r>
      <w:r>
        <w:rPr>
          <w:rFonts w:ascii="Times New Roman" w:cs="Times New Roman" w:eastAsia="Times New Roman" w:hAnsi="Times New Roman"/>
          <w:sz w:val="18"/>
          <w:szCs w:val="18"/>
          <w:color w:val="auto"/>
        </w:rPr>
        <w:t>– We provide post-retirement health benefits to certain executives and directors under a noncontributory plan. The net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income was $0.1 million in 2014 compared to a net periodic benefit cost of $0.1 million and $0.3 million in 2013 and 2012, respectively. We fund benefits as costs are incurred and as a result there are no plan assets.</w:t>
      </w:r>
    </w:p>
    <w:p>
      <w:pPr>
        <w:spacing w:after="0" w:line="48"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The weighted average discount rate used in determining the accumulated post-retirement benefit obligation was 3.8% in 2014, 4.6% in 2013 and 3.7% in 2012. Annual rates of increase of the cost of health benefits were assumed to be 8.0% in 2015. These rates were then assumed to decrease 0.5% per year to 5.0% in 2021 and remain level thereafter. A one percent increase (decrease) in health care cost trend rates would increase (decrease) the 2014 net periodic benefit cost by approximately $14,000 ($11,000) and the accumulated post-retirement benefit obligation as of December 27, 2014, by approximately $363,000 ($297,000).</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the post-retirement benefit obligation, funded status and the liability we have recorded in our consolidated balance sheets:</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8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5"/>
                <w:szCs w:val="15"/>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 at beginning of year</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$ 2,021</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8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8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Actuarial (gain) loss</w:t>
            </w:r>
          </w:p>
        </w:tc>
        <w:tc>
          <w:tcPr>
            <w:tcW w:w="8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8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2"/>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r>
      <w:tr>
        <w:trPr>
          <w:trHeight w:val="217"/>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assets at end of year</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(2,428</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(2,021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460"/>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Deferred Compensation </w:t>
      </w:r>
      <w:r>
        <w:rPr>
          <w:rFonts w:ascii="Times New Roman" w:cs="Times New Roman" w:eastAsia="Times New Roman" w:hAnsi="Times New Roman"/>
          <w:sz w:val="16"/>
          <w:szCs w:val="16"/>
          <w:color w:val="auto"/>
        </w:rPr>
        <w:t>– The Cohu, Inc. Deferred Compensation Plan allows certain of our officers to defer a portion of their current compensation. 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purchased life insurance policies on the participants with Cohu as the named beneficiary. Participant contributions, distributions and investment earnings and losses are accumulated in a separate account for each participant. At December 27, 2014 and December 28, 2013, the payroll liability to participants, included in accrued compensation and benefits in the consolidated balance sheet, was approximately $2.6 million and $2.4 million and the cash surrender value of the related life insurance policies included in other current assets was approximately $2.3 million and $2.1 million, respectively.</w:t>
      </w:r>
    </w:p>
    <w:p>
      <w:pPr>
        <w:spacing w:after="0" w:line="23" w:lineRule="exact"/>
        <w:rPr>
          <w:sz w:val="20"/>
          <w:szCs w:val="20"/>
          <w:color w:val="auto"/>
        </w:rPr>
      </w:pPr>
    </w:p>
    <w:p>
      <w:pPr>
        <w:ind w:left="460"/>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Employee Stock Purchase Plan </w:t>
      </w:r>
      <w:r>
        <w:rPr>
          <w:rFonts w:ascii="Times New Roman" w:cs="Times New Roman" w:eastAsia="Times New Roman" w:hAnsi="Times New Roman"/>
          <w:sz w:val="16"/>
          <w:szCs w:val="16"/>
          <w:color w:val="auto"/>
        </w:rPr>
        <w:t>– The Cohu, Inc. 1997 Employee Stock Purchase Plan (“the Plan”) provides for the issuance of a maximum of 1,900,000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of our common stock. Under the Plan, eligible employees may purchase shares of common stock through payroll deductions. The price paid for the common stock is equal to 85% of the fair market value of our common stock on specified dates. In 2014, 2013, and 2012, 138,831, 163,120 and 151,812 shares, respectively, were issued under the Plan. At December 27, 2014, there were 183,591 shares reserved for issuance under the Plan.</w:t>
      </w:r>
    </w:p>
    <w:p>
      <w:pPr>
        <w:spacing w:after="0" w:line="19" w:lineRule="exact"/>
        <w:rPr>
          <w:sz w:val="20"/>
          <w:szCs w:val="20"/>
          <w:color w:val="auto"/>
        </w:rPr>
      </w:pPr>
    </w:p>
    <w:p>
      <w:pPr>
        <w:ind w:left="460"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Under our equity incentive plans, stock options may be granted to employees, consultants and outside directors to purchase a fixed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At December 27, 2014, 992,666 shares were available for future equity grants under the Cohu, Inc. 2005 Equity Incentive Plan. We have historically issued new shares of Cohu common stock upon share option exercise.</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240" w:top="455" w:right="31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under our share-based compensation plans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w w:val="92"/>
              </w:rPr>
              <w:t>Wt. Avg.</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w w:val="88"/>
              </w:rPr>
              <w:t>Wt. Avg.</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w w:val="88"/>
              </w:rPr>
              <w:t>Wt. Avg.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40" w:type="dxa"/>
            <w:vAlign w:val="bottom"/>
            <w:gridSpan w:val="3"/>
            <w:vMerge w:val="continue"/>
          </w:tcPr>
          <w:p>
            <w:pPr>
              <w:spacing w:after="0"/>
              <w:rPr>
                <w:sz w:val="12"/>
                <w:szCs w:val="12"/>
                <w:color w:val="auto"/>
              </w:rPr>
            </w:pPr>
          </w:p>
        </w:tc>
        <w:tc>
          <w:tcPr>
            <w:tcW w:w="760" w:type="dxa"/>
            <w:vAlign w:val="bottom"/>
            <w:gridSpan w:val="2"/>
          </w:tcPr>
          <w:p>
            <w:pPr>
              <w:ind w:left="40"/>
              <w:spacing w:after="0" w:line="148" w:lineRule="exact"/>
              <w:rPr>
                <w:sz w:val="20"/>
                <w:szCs w:val="20"/>
                <w:color w:val="auto"/>
              </w:rPr>
            </w:pPr>
            <w:r>
              <w:rPr>
                <w:rFonts w:ascii="Times New Roman" w:cs="Times New Roman" w:eastAsia="Times New Roman" w:hAnsi="Times New Roman"/>
                <w:sz w:val="14"/>
                <w:szCs w:val="14"/>
                <w:color w:val="auto"/>
              </w:rPr>
              <w:t>Shares</w:t>
            </w:r>
          </w:p>
        </w:tc>
        <w:tc>
          <w:tcPr>
            <w:tcW w:w="76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color w:val="auto"/>
              </w:rPr>
              <w:t>Ex. Price</w:t>
            </w:r>
          </w:p>
        </w:tc>
        <w:tc>
          <w:tcPr>
            <w:tcW w:w="760" w:type="dxa"/>
            <w:vAlign w:val="bottom"/>
            <w:gridSpan w:val="2"/>
          </w:tcPr>
          <w:p>
            <w:pPr>
              <w:jc w:val="right"/>
              <w:ind w:right="360"/>
              <w:spacing w:after="0" w:line="148" w:lineRule="exact"/>
              <w:rPr>
                <w:sz w:val="20"/>
                <w:szCs w:val="20"/>
                <w:color w:val="auto"/>
              </w:rPr>
            </w:pPr>
            <w:r>
              <w:rPr>
                <w:rFonts w:ascii="Times New Roman" w:cs="Times New Roman" w:eastAsia="Times New Roman" w:hAnsi="Times New Roman"/>
                <w:sz w:val="14"/>
                <w:szCs w:val="14"/>
                <w:color w:val="auto"/>
              </w:rPr>
              <w:t>Shares</w:t>
            </w:r>
          </w:p>
        </w:tc>
        <w:tc>
          <w:tcPr>
            <w:tcW w:w="78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color w:val="auto"/>
              </w:rPr>
              <w:t>Ex. Price</w:t>
            </w:r>
          </w:p>
        </w:tc>
        <w:tc>
          <w:tcPr>
            <w:tcW w:w="760" w:type="dxa"/>
            <w:vAlign w:val="bottom"/>
            <w:gridSpan w:val="2"/>
          </w:tcPr>
          <w:p>
            <w:pPr>
              <w:jc w:val="right"/>
              <w:ind w:right="360"/>
              <w:spacing w:after="0" w:line="148" w:lineRule="exact"/>
              <w:rPr>
                <w:sz w:val="20"/>
                <w:szCs w:val="20"/>
                <w:color w:val="auto"/>
              </w:rPr>
            </w:pPr>
            <w:r>
              <w:rPr>
                <w:rFonts w:ascii="Times New Roman" w:cs="Times New Roman" w:eastAsia="Times New Roman" w:hAnsi="Times New Roman"/>
                <w:sz w:val="14"/>
                <w:szCs w:val="14"/>
                <w:color w:val="auto"/>
              </w:rPr>
              <w:t>Shares</w:t>
            </w:r>
          </w:p>
        </w:tc>
        <w:tc>
          <w:tcPr>
            <w:tcW w:w="56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color w:val="auto"/>
              </w:rPr>
              <w:t>Ex.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beginning of year</w:t>
            </w:r>
          </w:p>
        </w:tc>
        <w:tc>
          <w:tcPr>
            <w:tcW w:w="44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3,086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11.93</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3,113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12.62</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3,112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13.01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12.58</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7.55</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15.37</w:t>
            </w:r>
          </w:p>
        </w:tc>
        <w:tc>
          <w:tcPr>
            <w:tcW w:w="2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16.37</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year</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11.67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3"/>
              </w:rPr>
              <w:t>11.93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12.62</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year end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12.08</w:t>
            </w: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w w:val="93"/>
              </w:rPr>
              <w:t>12.46</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13.52</w:t>
            </w:r>
          </w:p>
        </w:tc>
        <w:tc>
          <w:tcPr>
            <w:tcW w:w="0" w:type="dxa"/>
            <w:vAlign w:val="bottom"/>
          </w:tcPr>
          <w:p>
            <w:pPr>
              <w:spacing w:after="0" w:line="20" w:lineRule="exact"/>
              <w:rPr>
                <w:sz w:val="1"/>
                <w:szCs w:val="1"/>
                <w:color w:val="auto"/>
              </w:rPr>
            </w:pPr>
          </w:p>
        </w:tc>
      </w:tr>
      <w:tr>
        <w:trPr>
          <w:trHeight w:val="209"/>
        </w:trPr>
        <w:tc>
          <w:tcPr>
            <w:tcW w:w="7040" w:type="dxa"/>
            <w:vAlign w:val="bottom"/>
            <w:gridSpan w:val="3"/>
            <w:vMerge w:val="continue"/>
          </w:tcPr>
          <w:p>
            <w:pPr>
              <w:spacing w:after="0"/>
              <w:rPr>
                <w:sz w:val="18"/>
                <w:szCs w:val="18"/>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1,901</w:t>
            </w:r>
          </w:p>
        </w:tc>
        <w:tc>
          <w:tcPr>
            <w:tcW w:w="3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3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3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460" w:right="20"/>
        <w:spacing w:after="0" w:line="262" w:lineRule="auto"/>
        <w:rPr>
          <w:sz w:val="20"/>
          <w:szCs w:val="20"/>
          <w:color w:val="auto"/>
        </w:rPr>
      </w:pPr>
      <w:r>
        <w:rPr>
          <w:rFonts w:ascii="Times New Roman" w:cs="Times New Roman" w:eastAsia="Times New Roman" w:hAnsi="Times New Roman"/>
          <w:sz w:val="18"/>
          <w:szCs w:val="18"/>
          <w:color w:val="auto"/>
        </w:rPr>
        <w:t>The aggregate intrinsic value of options exercised during 2014, 2013 and 2012 was approximately $0.7 million, $0.4 million, and $0.2 million, respectively. At December 27, 2014, the aggregate intrinsic value of options outstanding, vested and expected to vest were each approximately $4.4 million and the aggregate intrinsic value of options exercisable was approximately $3.4 million.</w:t>
      </w: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Information about stock options outstanding at December 27, 2014 is as follows </w:t>
      </w:r>
      <w:r>
        <w:rPr>
          <w:rFonts w:ascii="Times New Roman" w:cs="Times New Roman" w:eastAsia="Times New Roman" w:hAnsi="Times New Roman"/>
          <w:sz w:val="18"/>
          <w:szCs w:val="18"/>
          <w:i w:val="1"/>
          <w:iCs w:val="1"/>
          <w:color w:val="auto"/>
        </w:rPr>
        <w:t>(options in thousands)</w:t>
      </w:r>
      <w:r>
        <w:rPr>
          <w:rFonts w:ascii="Times New Roman" w:cs="Times New Roman" w:eastAsia="Times New Roman" w:hAnsi="Times New Roman"/>
          <w:sz w:val="18"/>
          <w:szCs w:val="18"/>
          <w:color w:val="auto"/>
        </w:rPr>
        <w: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Options Outstanding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color w:val="auto"/>
              </w:rPr>
              <w:t>Options Exercisable</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w w:val="94"/>
              </w:rPr>
              <w:t>Approximate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Range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2"/>
              </w:rPr>
              <w:t>Wt. Avg.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580" w:type="dxa"/>
            <w:vAlign w:val="bottom"/>
            <w:gridSpan w:val="2"/>
            <w:vMerge w:val="continue"/>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5"/>
              </w:rPr>
              <w:t>Number</w:t>
            </w:r>
          </w:p>
        </w:tc>
        <w:tc>
          <w:tcPr>
            <w:tcW w:w="3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7"/>
              </w:rPr>
              <w:t>Remaining</w:t>
            </w:r>
          </w:p>
        </w:tc>
        <w:tc>
          <w:tcPr>
            <w:tcW w:w="16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color w:val="auto"/>
              </w:rPr>
              <w:t>Wt. Avg.</w:t>
            </w:r>
          </w:p>
        </w:tc>
        <w:tc>
          <w:tcPr>
            <w:tcW w:w="8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4"/>
                <w:szCs w:val="14"/>
                <w:color w:val="auto"/>
              </w:rPr>
              <w:t>Number</w:t>
            </w:r>
          </w:p>
        </w:tc>
        <w:tc>
          <w:tcPr>
            <w:tcW w:w="220" w:type="dxa"/>
            <w:vAlign w:val="bottom"/>
          </w:tcPr>
          <w:p>
            <w:pPr>
              <w:spacing w:after="0"/>
              <w:rPr>
                <w:sz w:val="11"/>
                <w:szCs w:val="11"/>
                <w:color w:val="auto"/>
              </w:rPr>
            </w:pPr>
          </w:p>
        </w:tc>
        <w:tc>
          <w:tcPr>
            <w:tcW w:w="5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Wt. Avg.</w:t>
            </w:r>
          </w:p>
        </w:tc>
        <w:tc>
          <w:tcPr>
            <w:tcW w:w="0" w:type="dxa"/>
            <w:vAlign w:val="bottom"/>
          </w:tcPr>
          <w:p>
            <w:pPr>
              <w:spacing w:after="0"/>
              <w:rPr>
                <w:sz w:val="1"/>
                <w:szCs w:val="1"/>
                <w:color w:val="auto"/>
              </w:rPr>
            </w:pPr>
          </w:p>
        </w:tc>
      </w:tr>
      <w:tr>
        <w:trPr>
          <w:trHeight w:val="149"/>
        </w:trPr>
        <w:tc>
          <w:tcPr>
            <w:tcW w:w="65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Exercise Prices</w:t>
            </w:r>
          </w:p>
        </w:tc>
        <w:tc>
          <w:tcPr>
            <w:tcW w:w="7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6"/>
              </w:rPr>
              <w:t>Outstanding</w:t>
            </w: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w w:val="92"/>
              </w:rPr>
              <w:t>Life (Years)</w:t>
            </w:r>
          </w:p>
        </w:tc>
        <w:tc>
          <w:tcPr>
            <w:tcW w:w="160" w:type="dxa"/>
            <w:vAlign w:val="bottom"/>
          </w:tcPr>
          <w:p>
            <w:pPr>
              <w:spacing w:after="0"/>
              <w:rPr>
                <w:sz w:val="12"/>
                <w:szCs w:val="12"/>
                <w:color w:val="auto"/>
              </w:rPr>
            </w:pPr>
          </w:p>
        </w:tc>
        <w:tc>
          <w:tcPr>
            <w:tcW w:w="9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Ex. Price</w:t>
            </w:r>
          </w:p>
        </w:tc>
        <w:tc>
          <w:tcPr>
            <w:tcW w:w="86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w w:val="94"/>
              </w:rPr>
              <w:t>Exercisable</w:t>
            </w:r>
          </w:p>
        </w:tc>
        <w:tc>
          <w:tcPr>
            <w:tcW w:w="220" w:type="dxa"/>
            <w:vAlign w:val="bottom"/>
          </w:tcPr>
          <w:p>
            <w:pPr>
              <w:spacing w:after="0"/>
              <w:rPr>
                <w:sz w:val="12"/>
                <w:szCs w:val="12"/>
                <w:color w:val="auto"/>
              </w:rPr>
            </w:pPr>
          </w:p>
        </w:tc>
        <w:tc>
          <w:tcPr>
            <w:tcW w:w="5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Ex. Price</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$7.32 - $10.98</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8.86</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$10.99 - $16.49</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814</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3"/>
              </w:rPr>
              <w:t>14.95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14.98</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$16.50 - $24.74</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3"/>
              </w:rPr>
              <w:t>17.31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17.31</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$24.75 - $37.13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3"/>
              </w:rPr>
              <w:t>25.70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25.70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3"/>
              </w:rPr>
              <w:t>11.67</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1,901</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12.08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460"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Stock Units </w:t>
      </w:r>
      <w:r>
        <w:rPr>
          <w:rFonts w:ascii="Times New Roman" w:cs="Times New Roman" w:eastAsia="Times New Roman" w:hAnsi="Times New Roman"/>
          <w:sz w:val="18"/>
          <w:szCs w:val="18"/>
          <w:color w:val="auto"/>
        </w:rPr>
        <w:t>– Under our equity incentive plans, restricted stock units may be granted to employees, consultants and outside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Restricted stock unit activity under our share-based compensation plans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2014</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9"/>
              </w:rPr>
              <w:t>2013</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2012</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w w:val="96"/>
              </w:rPr>
              <w:t>Wt. Avg.</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Avg.</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w w:val="96"/>
              </w:rPr>
              <w:t>Wt. Avg.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000" w:type="dxa"/>
            <w:vAlign w:val="bottom"/>
            <w:gridSpan w:val="3"/>
            <w:vMerge w:val="continue"/>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Units</w:t>
            </w:r>
          </w:p>
        </w:tc>
        <w:tc>
          <w:tcPr>
            <w:tcW w:w="2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Units</w:t>
            </w:r>
          </w:p>
        </w:tc>
        <w:tc>
          <w:tcPr>
            <w:tcW w:w="2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Units</w:t>
            </w: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10.16</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9.41</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year</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1,026</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9.54</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460" w:right="1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Equity-Based Performance Stock Units </w:t>
      </w:r>
      <w:r>
        <w:rPr>
          <w:rFonts w:ascii="Times New Roman" w:cs="Times New Roman" w:eastAsia="Times New Roman" w:hAnsi="Times New Roman"/>
          <w:sz w:val="18"/>
          <w:szCs w:val="18"/>
          <w:color w:val="auto"/>
        </w:rPr>
        <w:t>– In March 2012, we began granting equity-based performance units covering shares of our common stock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employees. The number of shares of stock ultimately issued will depend upon the extent to which certain financial performance goals set by our Board of Directors are met during the one-year award measurement period. Based upon the level of achievement of performance goals the number of shares we ultimately issue can range from 0% up to 150% of the number of shares under each grant which vest over 3 years from the date of initial grant. On March 25, 2014, we awarded equity-based performance stock units to senior executives with vesting that is contingent on the level of achievement of certain performance goals, market return and continued service (“market-based PSUs”). The market-based PSUs issued in 2014 are subject to a one-year performance period after which the number of market-based PSUs earned will be determined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right="20"/>
        <w:spacing w:after="0" w:line="293" w:lineRule="auto"/>
        <w:rPr>
          <w:sz w:val="20"/>
          <w:szCs w:val="20"/>
          <w:color w:val="auto"/>
        </w:rPr>
      </w:pPr>
      <w:r>
        <w:rPr>
          <w:rFonts w:ascii="Times New Roman" w:cs="Times New Roman" w:eastAsia="Times New Roman" w:hAnsi="Times New Roman"/>
          <w:sz w:val="16"/>
          <w:szCs w:val="16"/>
          <w:color w:val="auto"/>
        </w:rPr>
        <w:t>will then be subject to certain adjustments resulting from performance of Cohu’s Relative Total Shareholder Return (“TSR”) to a selected peer group over a two year measurement period following the date of grant with the total adjustment ranging from 75% to 125% of the target amount based on the percentage by which our TSR exceeds or falls below the selected peer group. Market-based PSUs earned will vest at the rate of 50% on the second and third anniversary of their grant. We estimated the fair value of market-based PSUs using a Monte Carlo simulation model on the date of grant. Compensation expense is recognized ratably over the measurement period. We record a provision for equity-based performance units outstanding based on our current assessment of achievement of the performance goals. New shares of our common stock will be issued on the date the equity-based performance units vest.</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Performance based stock unit activity under our share-based compensation plans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9"/>
              </w:rPr>
              <w:t>2014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2013</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2012</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Wt. Avg.</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Wt. Avg.</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Wt. Avg.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200" w:type="dxa"/>
            <w:vAlign w:val="bottom"/>
            <w:gridSpan w:val="3"/>
            <w:vMerge w:val="continue"/>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8"/>
              </w:rPr>
              <w:t>Units</w:t>
            </w:r>
          </w:p>
        </w:tc>
        <w:tc>
          <w:tcPr>
            <w:tcW w:w="2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8"/>
              </w:rPr>
              <w:t>Units</w:t>
            </w: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8"/>
              </w:rPr>
              <w:t>Units</w:t>
            </w:r>
          </w:p>
        </w:tc>
        <w:tc>
          <w:tcPr>
            <w:tcW w:w="2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11.34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6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6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year</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460"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We estimate the fair value of each share-based award on the grant date using the Black-Scholes and the Monte Carlo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simulation valuation models.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w:t>
      </w:r>
    </w:p>
    <w:p>
      <w:pPr>
        <w:spacing w:after="0" w:line="64"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Estimated forfeitures are required to be included as a part of the grant date expense estimate. We used historical data to estimate expected employee behaviors related to option exercises and forfeitures.</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value share-based awards granted: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Employee Stock Purchase Plan</w:t>
            </w:r>
          </w:p>
        </w:tc>
        <w:tc>
          <w:tcPr>
            <w:tcW w:w="276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2014</w:t>
            </w: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2013</w:t>
            </w:r>
          </w:p>
        </w:tc>
        <w:tc>
          <w:tcPr>
            <w:tcW w:w="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rPr>
              <w:t>2012</w:t>
            </w:r>
          </w:p>
        </w:tc>
        <w:tc>
          <w:tcPr>
            <w:tcW w:w="200" w:type="dxa"/>
            <w:vAlign w:val="bottom"/>
            <w:tcBorders>
              <w:bottom w:val="single" w:sz="8" w:color="CCEEFF"/>
            </w:tcBorders>
          </w:tcPr>
          <w:p>
            <w:pPr>
              <w:spacing w:after="0"/>
              <w:rPr>
                <w:sz w:val="15"/>
                <w:szCs w:val="15"/>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35.3 %</w:t>
            </w:r>
          </w:p>
        </w:tc>
        <w:tc>
          <w:tcPr>
            <w:tcW w:w="80" w:type="dxa"/>
            <w:vAlign w:val="bottom"/>
          </w:tcPr>
          <w:p>
            <w:pPr>
              <w:spacing w:after="0"/>
              <w:rPr>
                <w:sz w:val="18"/>
                <w:szCs w:val="18"/>
                <w:color w:val="auto"/>
              </w:rPr>
            </w:pPr>
          </w:p>
        </w:tc>
        <w:tc>
          <w:tcPr>
            <w:tcW w:w="104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38.4 %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43.6 %</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0.1 %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of options</w:t>
            </w:r>
          </w:p>
        </w:tc>
        <w:tc>
          <w:tcPr>
            <w:tcW w:w="2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w w:val="95"/>
              </w:rPr>
              <w:t>0.5 years</w:t>
            </w:r>
          </w:p>
        </w:tc>
        <w:tc>
          <w:tcPr>
            <w:tcW w:w="80" w:type="dxa"/>
            <w:vAlign w:val="bottom"/>
          </w:tcPr>
          <w:p>
            <w:pPr>
              <w:spacing w:after="0"/>
              <w:rPr>
                <w:sz w:val="18"/>
                <w:szCs w:val="18"/>
                <w:color w:val="auto"/>
              </w:rPr>
            </w:pPr>
          </w:p>
        </w:tc>
        <w:tc>
          <w:tcPr>
            <w:tcW w:w="104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w w:val="95"/>
              </w:rPr>
              <w:t>0.5 years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95"/>
              </w:rPr>
              <w:t>0.5 years</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2.78</w:t>
            </w:r>
          </w:p>
        </w:tc>
      </w:tr>
      <w:tr>
        <w:trPr>
          <w:trHeight w:val="363"/>
        </w:trPr>
        <w:tc>
          <w:tcPr>
            <w:tcW w:w="4520" w:type="dxa"/>
            <w:vAlign w:val="bottom"/>
          </w:tcPr>
          <w:p>
            <w:pPr>
              <w:spacing w:after="0"/>
              <w:rPr>
                <w:sz w:val="24"/>
                <w:szCs w:val="24"/>
                <w:color w:val="auto"/>
              </w:rPr>
            </w:pPr>
          </w:p>
        </w:tc>
        <w:tc>
          <w:tcPr>
            <w:tcW w:w="2760" w:type="dxa"/>
            <w:vAlign w:val="bottom"/>
          </w:tcPr>
          <w:p>
            <w:pPr>
              <w:jc w:val="right"/>
              <w:ind w:right="1392"/>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Employee Stock Options</w:t>
            </w:r>
          </w:p>
        </w:tc>
        <w:tc>
          <w:tcPr>
            <w:tcW w:w="80" w:type="dxa"/>
            <w:vAlign w:val="bottom"/>
          </w:tcPr>
          <w:p>
            <w:pPr>
              <w:spacing w:after="0"/>
              <w:rPr>
                <w:sz w:val="14"/>
                <w:szCs w:val="14"/>
                <w:color w:val="auto"/>
              </w:rPr>
            </w:pPr>
          </w:p>
        </w:tc>
        <w:tc>
          <w:tcPr>
            <w:tcW w:w="640" w:type="dxa"/>
            <w:vAlign w:val="bottom"/>
          </w:tcPr>
          <w:p>
            <w:pPr>
              <w:jc w:val="right"/>
              <w:ind w:right="138"/>
              <w:spacing w:after="0"/>
              <w:rPr>
                <w:sz w:val="20"/>
                <w:szCs w:val="20"/>
                <w:color w:val="auto"/>
              </w:rPr>
            </w:pPr>
            <w:r>
              <w:rPr>
                <w:rFonts w:ascii="Times New Roman" w:cs="Times New Roman" w:eastAsia="Times New Roman" w:hAnsi="Times New Roman"/>
                <w:sz w:val="14"/>
                <w:szCs w:val="14"/>
                <w:color w:val="auto"/>
              </w:rPr>
              <w:t>2014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w w:val="99"/>
              </w:rPr>
              <w:t>2013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color w:val="auto"/>
              </w:rPr>
              <w:t>2012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Borders>
              <w:top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0" w:type="dxa"/>
            <w:vAlign w:val="bottom"/>
          </w:tcPr>
          <w:p>
            <w:pPr>
              <w:spacing w:after="0"/>
              <w:rPr>
                <w:sz w:val="18"/>
                <w:szCs w:val="18"/>
                <w:color w:val="auto"/>
              </w:rPr>
            </w:pPr>
          </w:p>
        </w:tc>
        <w:tc>
          <w:tcPr>
            <w:tcW w:w="122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42.5 %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1.2 %</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of options</w:t>
            </w:r>
          </w:p>
        </w:tc>
        <w:tc>
          <w:tcPr>
            <w:tcW w:w="80" w:type="dxa"/>
            <w:vAlign w:val="bottom"/>
          </w:tcPr>
          <w:p>
            <w:pPr>
              <w:spacing w:after="0"/>
              <w:rPr>
                <w:sz w:val="18"/>
                <w:szCs w:val="18"/>
                <w:color w:val="auto"/>
              </w:rPr>
            </w:pP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w w:val="95"/>
              </w:rPr>
              <w:t>5.9 years</w:t>
            </w:r>
          </w:p>
        </w:tc>
        <w:tc>
          <w:tcPr>
            <w:tcW w:w="940" w:type="dxa"/>
            <w:vAlign w:val="bottom"/>
            <w:gridSpan w:val="5"/>
          </w:tcPr>
          <w:p>
            <w:pPr>
              <w:jc w:val="right"/>
              <w:ind w:right="112"/>
              <w:spacing w:after="0"/>
              <w:rPr>
                <w:sz w:val="20"/>
                <w:szCs w:val="20"/>
                <w:color w:val="auto"/>
              </w:rPr>
            </w:pPr>
            <w:r>
              <w:rPr>
                <w:rFonts w:ascii="Times New Roman" w:cs="Times New Roman" w:eastAsia="Times New Roman" w:hAnsi="Times New Roman"/>
                <w:sz w:val="18"/>
                <w:szCs w:val="18"/>
                <w:color w:val="auto"/>
              </w:rPr>
              <w:t>6.4 years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6.3 years</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65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Restricted Stock Units</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2014</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1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2.3 %</w:t>
            </w:r>
          </w:p>
        </w:tc>
        <w:tc>
          <w:tcPr>
            <w:tcW w:w="60" w:type="dxa"/>
            <w:vAlign w:val="bottom"/>
            <w:shd w:val="clear" w:color="auto" w:fill="CCEEFF"/>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65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Performance Stock Units</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2014</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1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r>
      <w:tr>
        <w:trPr>
          <w:trHeight w:val="376"/>
        </w:trPr>
        <w:tc>
          <w:tcPr>
            <w:tcW w:w="8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Reported share-based compensation is classified in the consolidated financial statements as follows: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w w:val="99"/>
              </w:rPr>
              <w:t>2014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w w:val="99"/>
              </w:rPr>
              <w:t>2012</w:t>
            </w:r>
          </w:p>
        </w:tc>
        <w:tc>
          <w:tcPr>
            <w:tcW w:w="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390</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3"/>
              </w:rPr>
              <w:t>1,347</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2,735</w:t>
            </w:r>
          </w:p>
        </w:tc>
      </w:tr>
      <w:tr>
        <w:trPr>
          <w:trHeight w:val="222"/>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6,585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4,499</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share-based compensation, net of tax</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6,381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5,346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4,499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340"/>
        <w:spacing w:after="0" w:line="275" w:lineRule="auto"/>
        <w:rPr>
          <w:sz w:val="20"/>
          <w:szCs w:val="20"/>
          <w:color w:val="auto"/>
        </w:rPr>
      </w:pPr>
      <w:r>
        <w:rPr>
          <w:rFonts w:ascii="Times New Roman" w:cs="Times New Roman" w:eastAsia="Times New Roman" w:hAnsi="Times New Roman"/>
          <w:sz w:val="18"/>
          <w:szCs w:val="18"/>
          <w:color w:val="auto"/>
        </w:rPr>
        <w:t>At December 27, 2014, excluding a reduction for forfeitures, we had approximately $1.5 million of pre-tax unrecognized compensation cost related to unvested stock options which is expected to be recognized over a weighted-average period of approximately 1.0 years.</w:t>
      </w:r>
    </w:p>
    <w:p>
      <w:pPr>
        <w:spacing w:after="0" w:line="39" w:lineRule="exact"/>
        <w:rPr>
          <w:sz w:val="20"/>
          <w:szCs w:val="20"/>
          <w:color w:val="auto"/>
        </w:rPr>
      </w:pPr>
    </w:p>
    <w:p>
      <w:pPr>
        <w:ind w:left="460"/>
        <w:spacing w:after="0" w:line="339" w:lineRule="auto"/>
        <w:rPr>
          <w:sz w:val="20"/>
          <w:szCs w:val="20"/>
          <w:color w:val="auto"/>
        </w:rPr>
      </w:pPr>
      <w:r>
        <w:rPr>
          <w:rFonts w:ascii="Times New Roman" w:cs="Times New Roman" w:eastAsia="Times New Roman" w:hAnsi="Times New Roman"/>
          <w:sz w:val="16"/>
          <w:szCs w:val="16"/>
          <w:color w:val="auto"/>
        </w:rPr>
        <w:t>At December 27, 2014, excluding a reduction for forfeitures, we had approximately $9.6 million of pre-tax unrecognized compensation cost related to unvested restricted stock units and performance stock units which is expected to be recognized over a weighted-average period of approximately 1.6 years.</w:t>
      </w:r>
    </w:p>
    <w:p>
      <w:pPr>
        <w:spacing w:after="0" w:line="194"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components of the provision (benefit) for income taxes for continuing operations are as follows: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76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2014</w:t>
            </w:r>
          </w:p>
        </w:tc>
        <w:tc>
          <w:tcPr>
            <w:tcW w:w="2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10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(307)</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$(1,538)</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State</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gridSpan w:val="2"/>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3,780</w:t>
            </w: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10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(1,207)</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State</w:t>
            </w:r>
          </w:p>
        </w:tc>
        <w:tc>
          <w:tcPr>
            <w:tcW w:w="10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w:t>
            </w: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(2,444)</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deferred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$ 3,293</w:t>
            </w: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(2,803)</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(874)</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 from continuing operations consisted of the following:</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6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6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color w:val="auto"/>
              </w:rPr>
              <w:t>2014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 (3,898)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2"/>
              </w:rPr>
              <w:t>$ (29,219)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(10,066)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(7,844)</w:t>
            </w:r>
          </w:p>
        </w:tc>
        <w:tc>
          <w:tcPr>
            <w:tcW w:w="18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$ 9,128</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 xml:space="preserve"> (37,063)</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(12,996)</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jc w:val="right"/>
              <w:ind w:right="1932"/>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right="100"/>
        <w:spacing w:after="0" w:line="275"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(in thousands)</w:t>
            </w:r>
          </w:p>
        </w:tc>
        <w:tc>
          <w:tcPr>
            <w:tcW w:w="5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2014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5"/>
                <w:szCs w:val="15"/>
                <w:color w:val="auto"/>
              </w:rPr>
            </w:pPr>
          </w:p>
        </w:tc>
      </w:tr>
      <w:tr>
        <w:trPr>
          <w:trHeight w:val="190"/>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assets:</w:t>
            </w:r>
          </w:p>
        </w:tc>
        <w:tc>
          <w:tcPr>
            <w:tcW w:w="2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Inventory, receivable and warranty reserves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13,290</w:t>
            </w:r>
          </w:p>
        </w:tc>
      </w:tr>
      <w:tr>
        <w:trPr>
          <w:trHeight w:val="216"/>
        </w:trPr>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9,070</w:t>
            </w:r>
          </w:p>
        </w:tc>
      </w:tr>
      <w:tr>
        <w:trPr>
          <w:trHeight w:val="216"/>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11,258</w:t>
            </w:r>
          </w:p>
        </w:tc>
      </w:tr>
      <w:tr>
        <w:trPr>
          <w:trHeight w:val="216"/>
        </w:trPr>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3,709</w:t>
            </w:r>
          </w:p>
        </w:tc>
      </w:tr>
      <w:tr>
        <w:trPr>
          <w:trHeight w:val="216"/>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profit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r>
      <w:tr>
        <w:trPr>
          <w:trHeight w:val="216"/>
        </w:trPr>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w:t>
            </w:r>
          </w:p>
        </w:tc>
      </w:tr>
      <w:tr>
        <w:trPr>
          <w:trHeight w:val="216"/>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basis differences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2,105</w:t>
            </w:r>
          </w:p>
        </w:tc>
      </w:tr>
      <w:tr>
        <w:trPr>
          <w:trHeight w:val="216"/>
        </w:trPr>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fixed asset related</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r>
      <w:tr>
        <w:trPr>
          <w:trHeight w:val="223"/>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r>
      <w:tr>
        <w:trPr>
          <w:trHeight w:val="216"/>
        </w:trPr>
        <w:tc>
          <w:tcPr>
            <w:tcW w:w="5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45,195</w:t>
            </w:r>
          </w:p>
        </w:tc>
      </w:tr>
      <w:tr>
        <w:trPr>
          <w:trHeight w:val="223"/>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(37,023)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(36,064)</w:t>
            </w:r>
          </w:p>
        </w:tc>
      </w:tr>
      <w:tr>
        <w:trPr>
          <w:trHeight w:val="216"/>
        </w:trPr>
        <w:tc>
          <w:tcPr>
            <w:tcW w:w="5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fixed asset related</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w:t>
            </w:r>
          </w:p>
        </w:tc>
      </w:tr>
      <w:tr>
        <w:trPr>
          <w:trHeight w:val="216"/>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basis differences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13,193</w:t>
            </w:r>
          </w:p>
        </w:tc>
      </w:tr>
      <w:tr>
        <w:trPr>
          <w:trHeight w:val="216"/>
        </w:trPr>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5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100" w:type="dxa"/>
            <w:vAlign w:val="bottom"/>
          </w:tcPr>
          <w:p>
            <w:pPr>
              <w:spacing w:after="0"/>
              <w:rPr>
                <w:sz w:val="20"/>
                <w:szCs w:val="20"/>
                <w:color w:val="auto"/>
              </w:rPr>
            </w:pPr>
          </w:p>
        </w:tc>
      </w:tr>
      <w:tr>
        <w:trPr>
          <w:trHeight w:val="216"/>
        </w:trPr>
        <w:tc>
          <w:tcPr>
            <w:tcW w:w="5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(6,916)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(7,432)</w:t>
            </w:r>
          </w:p>
        </w:tc>
      </w:tr>
      <w:tr>
        <w:trPr>
          <w:trHeight w:val="20"/>
        </w:trPr>
        <w:tc>
          <w:tcPr>
            <w:tcW w:w="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160"/>
        <w:spacing w:after="0" w:line="256"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58" w:lineRule="exact"/>
        <w:rPr>
          <w:sz w:val="20"/>
          <w:szCs w:val="20"/>
          <w:color w:val="auto"/>
        </w:rPr>
      </w:pPr>
    </w:p>
    <w:p>
      <w:pPr>
        <w:jc w:val="both"/>
        <w:ind w:left="460" w:right="20"/>
        <w:spacing w:after="0" w:line="258"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2014.</w:t>
      </w:r>
    </w:p>
    <w:p>
      <w:pPr>
        <w:spacing w:after="0" w:line="55" w:lineRule="exact"/>
        <w:rPr>
          <w:sz w:val="20"/>
          <w:szCs w:val="20"/>
          <w:color w:val="auto"/>
        </w:rPr>
      </w:pPr>
    </w:p>
    <w:p>
      <w:pPr>
        <w:ind w:left="460" w:right="240"/>
        <w:spacing w:after="0" w:line="258" w:lineRule="auto"/>
        <w:rPr>
          <w:sz w:val="20"/>
          <w:szCs w:val="20"/>
          <w:color w:val="auto"/>
        </w:rPr>
      </w:pPr>
      <w:r>
        <w:rPr>
          <w:rFonts w:ascii="Times New Roman" w:cs="Times New Roman" w:eastAsia="Times New Roman" w:hAnsi="Times New Roman"/>
          <w:sz w:val="18"/>
          <w:szCs w:val="18"/>
          <w:color w:val="auto"/>
        </w:rPr>
        <w:t>As a result of our cumulative, three-year U.S. GAAP pretax loss from continuing operations of approximately $43.2 million at the end of 2014, and our U.S. loss in 2014, we were unable to conclude at December 27, 2014 that it was “more likely than not” that our U.S. DTAs would be realized. We will evaluate the realizability of our DTAs at the end of each quarterly reporting period in 2015 and should circumstances change it is possible the remaining valuation allowance, or a portion thereof, will be reversed in a future period.</w:t>
      </w:r>
    </w:p>
    <w:p>
      <w:pPr>
        <w:spacing w:after="0" w:line="55"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Our valuation allowance on our DTAs at December 27, 2014 and December 28, 2013 was approximately $37.0 million and $36.1 million, respectively. The remaining gross DTAs for which a valuation allowance was not recorded are realizable primarily through future reversals of existing taxable temporary differences. As the realization of DTAs is determined by tax jurisdiction, the significant deferred tax liabilities recorded as part of the 2008 acquisition of Rasco, a German corporation, and the fiscal 2013 acquisition of Ismeca, a Swiss Corporation, were not a source of taxable income in assessing the realization of our DTAs in the U.S.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right="200"/>
        <w:spacing w:after="0" w:line="275" w:lineRule="auto"/>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 to the provision (benefit) for income taxes for continuing operations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2014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2013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5"/>
                <w:szCs w:val="15"/>
                <w:color w:val="auto"/>
              </w:rPr>
            </w:pPr>
          </w:p>
        </w:tc>
      </w:tr>
      <w:tr>
        <w:trPr>
          <w:trHeight w:val="210"/>
        </w:trPr>
        <w:tc>
          <w:tcPr>
            <w:tcW w:w="8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(credit) at U.S. 35% statutory rate</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$ 3,194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(12,972)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(4,548)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adjustments and releases from statute expirations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effective tax rate for deferred balances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on which no tax benefit provided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2,572</w:t>
            </w: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goodwill impairment charge and transaction costs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$ 3,293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(874)</w:t>
            </w:r>
          </w:p>
        </w:tc>
      </w:tr>
      <w:tr>
        <w:trPr>
          <w:trHeight w:val="20"/>
        </w:trPr>
        <w:tc>
          <w:tcPr>
            <w:tcW w:w="8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200"/>
        <w:spacing w:after="0" w:line="275" w:lineRule="auto"/>
        <w:rPr>
          <w:sz w:val="20"/>
          <w:szCs w:val="20"/>
          <w:color w:val="auto"/>
        </w:rPr>
      </w:pPr>
      <w:r>
        <w:rPr>
          <w:rFonts w:ascii="Times New Roman" w:cs="Times New Roman" w:eastAsia="Times New Roman" w:hAnsi="Times New Roman"/>
          <w:sz w:val="18"/>
          <w:szCs w:val="18"/>
          <w:color w:val="auto"/>
        </w:rPr>
        <w:t>State income taxes, net of federal benefit, have been reduced by research tax credits totaling approximately $0.5 million, $0.7 million and $0.6 million in 2014, 2013 and 2012, respectively.</w:t>
      </w:r>
    </w:p>
    <w:p>
      <w:pPr>
        <w:spacing w:after="0" w:line="39" w:lineRule="exact"/>
        <w:rPr>
          <w:sz w:val="20"/>
          <w:szCs w:val="20"/>
          <w:color w:val="auto"/>
        </w:rPr>
      </w:pPr>
    </w:p>
    <w:p>
      <w:pPr>
        <w:ind w:left="460" w:right="60"/>
        <w:spacing w:after="0" w:line="254" w:lineRule="auto"/>
        <w:rPr>
          <w:sz w:val="20"/>
          <w:szCs w:val="20"/>
          <w:color w:val="auto"/>
        </w:rPr>
      </w:pPr>
      <w:r>
        <w:rPr>
          <w:rFonts w:ascii="Times New Roman" w:cs="Times New Roman" w:eastAsia="Times New Roman" w:hAnsi="Times New Roman"/>
          <w:sz w:val="18"/>
          <w:szCs w:val="18"/>
          <w:color w:val="auto"/>
        </w:rPr>
        <w:t>At December 27, 2014, we had federal, state and foreign net operating loss carryforwards of approximately $15.8 million, $21.8 million and $11.8 million, respectively, that expire in various tax years beginning in 2015 through 2034 or have no expiration date. We also have federal and state tax credit carryforwards at December 27, 2014 of approximately $6.3 million and $13.2 million, respectively, some of which expire in various tax years beginning in 2015 through 2034 or have no expiration date. The federal and state loss and credit carryforwards are subject to annual limitations under Sections 382 and 383 of the Internal Revenue Code and applicable state tax law. Approximately $5.1 million of U.S. federal net operating loss carryforwards acquired in the Ismeca acquisition are expected to expire unutilized as a result of the annual limitations imposed by Section 382. As a result we have has reduced our deferred tax assets and valuation allowance related to these net operating loss carryforwards.</w:t>
      </w:r>
    </w:p>
    <w:p>
      <w:pPr>
        <w:spacing w:after="0" w:line="60" w:lineRule="exact"/>
        <w:rPr>
          <w:sz w:val="20"/>
          <w:szCs w:val="20"/>
          <w:color w:val="auto"/>
        </w:rPr>
      </w:pPr>
    </w:p>
    <w:p>
      <w:pPr>
        <w:ind w:left="460" w:right="60"/>
        <w:spacing w:after="0" w:line="262" w:lineRule="auto"/>
        <w:rPr>
          <w:sz w:val="20"/>
          <w:szCs w:val="20"/>
          <w:color w:val="auto"/>
        </w:rPr>
      </w:pPr>
      <w:r>
        <w:rPr>
          <w:rFonts w:ascii="Times New Roman" w:cs="Times New Roman" w:eastAsia="Times New Roman" w:hAnsi="Times New Roman"/>
          <w:sz w:val="18"/>
          <w:szCs w:val="18"/>
          <w:color w:val="auto"/>
        </w:rPr>
        <w:t>The American Taxpayer Relief Act of 2012, which reinstated the United States federal research and development tax credit retroactively from January 1, 2012 through December 31, 2013, was not enacted into law until the first quarter of 2013. Therefore, the tax benefit from the credits for 2012 and 2013 are reflected in our 2013 income tax provision.</w:t>
      </w:r>
    </w:p>
    <w:p>
      <w:pPr>
        <w:spacing w:after="0" w:line="51"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U.S. income taxes have not been provided on approximately $32.0 million of accumulated undistributed earnings of certain foreign subsidiaries, as we currently intend to indefinitely reinvest these earnings in operations outside the U.S. It is not practicable to estimate the amount of tax that might be payable if some or all of such earnings were to be remitted. We have certain tax holidays or incentives with respect to our operations in Malaysia, Singapore and the Philippines. These holidays or incentives require compliance with certain conditions and expire at various dates through 2023. The impact of these holidays on net income was not significant in fiscal years 2014, 2013 and 2012.</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our gross unrecognized tax benefits, excluding accrued interest and penalties,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0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2014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2013</w:t>
            </w:r>
          </w:p>
        </w:tc>
        <w:tc>
          <w:tcPr>
            <w:tcW w:w="200" w:type="dxa"/>
            <w:vAlign w:val="bottom"/>
          </w:tcPr>
          <w:p>
            <w:pPr>
              <w:spacing w:after="0"/>
              <w:rPr>
                <w:sz w:val="15"/>
                <w:szCs w:val="15"/>
                <w:color w:val="auto"/>
              </w:rPr>
            </w:pPr>
          </w:p>
        </w:tc>
        <w:tc>
          <w:tcPr>
            <w:tcW w:w="6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5"/>
                <w:szCs w:val="15"/>
                <w:color w:val="auto"/>
              </w:rPr>
            </w:pPr>
          </w:p>
        </w:tc>
      </w:tr>
      <w:tr>
        <w:trPr>
          <w:trHeight w:val="210"/>
        </w:trPr>
        <w:tc>
          <w:tcPr>
            <w:tcW w:w="8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$10,483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additions for tax positions of current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additions for tax positions of prior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Reductions due to lapse of the statute of limitations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impact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10,841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10,483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6,080</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2013 gross additions for tax positions of prior years are primarily composed of additions from the Ismeca acquisition.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right="200"/>
        <w:spacing w:after="0" w:line="275" w:lineRule="auto"/>
        <w:rPr>
          <w:sz w:val="20"/>
          <w:szCs w:val="20"/>
          <w:color w:val="auto"/>
        </w:rPr>
      </w:pPr>
      <w:r>
        <w:rPr>
          <w:rFonts w:ascii="Times New Roman" w:cs="Times New Roman" w:eastAsia="Times New Roman" w:hAnsi="Times New Roman"/>
          <w:sz w:val="18"/>
          <w:szCs w:val="18"/>
          <w:color w:val="auto"/>
        </w:rPr>
        <w:t>If the unrecognized tax benefits at December 27, 2014 are ultimately recognized, approximately $6.2 million ($6.2 million at December 28, 2013) would result in a reduction in our income tax expense and effective tax rate.</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unable to estimate the range of any reasonably possible increase or decrease in our gross</w:t>
      </w:r>
    </w:p>
    <w:p>
      <w:pPr>
        <w:spacing w:after="0" w:line="21"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8"/>
          <w:szCs w:val="18"/>
          <w:color w:val="auto"/>
        </w:rPr>
        <w:t>unrecognized tax benefits over the next 12 months. However, we do not expect any such outcome will result in a material change to our financial condition or results of operations.</w:t>
      </w:r>
    </w:p>
    <w:p>
      <w:pPr>
        <w:spacing w:after="0" w:line="51" w:lineRule="exact"/>
        <w:rPr>
          <w:sz w:val="20"/>
          <w:szCs w:val="20"/>
          <w:color w:val="auto"/>
        </w:rPr>
      </w:pPr>
    </w:p>
    <w:p>
      <w:pPr>
        <w:ind w:left="460" w:right="120"/>
        <w:spacing w:after="0" w:line="262"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in income tax expense. Cohu had approximately $1.4 million accrued for the payment of interest and penalties at December 27, 2014 and $1.5 million at December 28, 2013. Interest expense, net of accrued interest reversed, was not significant in 2014 and in 2013 and 2012 was approximately $(0.1) million and $0.1 million, respectively.</w:t>
      </w:r>
    </w:p>
    <w:p>
      <w:pPr>
        <w:spacing w:after="0" w:line="51"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color w:val="auto"/>
        </w:rPr>
        <w:t>Our U.S. federal and state income tax returns for years after 2010 and 2009,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w:t>
      </w:r>
    </w:p>
    <w:p>
      <w:pPr>
        <w:spacing w:after="0" w:line="256"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Related Information</w:t>
      </w:r>
    </w:p>
    <w:p>
      <w:pPr>
        <w:spacing w:after="0" w:line="92"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reportable segments are business units that offer different products and are managed separately because each business requires different technology and marketing strategies. As discussed in Note 2, in June 2014, we sold substantially all the assets of Cohu Electronics, which comprised our video camera segment and have presented financial information for this segment as discontinued operations. Subsequent to this transaction Cohu’s remaining reportable segments are semiconductor and microwave communications equipment.</w:t>
      </w:r>
    </w:p>
    <w:p>
      <w:pPr>
        <w:spacing w:after="0" w:line="55" w:lineRule="exact"/>
        <w:rPr>
          <w:rFonts w:ascii="Times New Roman" w:cs="Times New Roman" w:eastAsia="Times New Roman" w:hAnsi="Times New Roman"/>
          <w:sz w:val="18"/>
          <w:szCs w:val="18"/>
          <w:b w:val="1"/>
          <w:bCs w:val="1"/>
          <w:color w:val="auto"/>
        </w:rPr>
      </w:pPr>
    </w:p>
    <w:p>
      <w:pPr>
        <w:ind w:left="4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policies of the reportable segments are the same as those described in the summary of significant accounting policies. We allocate resources and evaluate the performance of segments based on profit or loss from operations, excluding interest, corporate expenses and unusual gains or losses. Intersegment sales were not significant for any period.</w:t>
      </w:r>
    </w:p>
    <w:p>
      <w:pPr>
        <w:spacing w:after="0" w:line="4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information by industry segment is presented below</w:t>
      </w:r>
      <w:r>
        <w:rPr>
          <w:rFonts w:ascii="Times New Roman" w:cs="Times New Roman" w:eastAsia="Times New Roman" w:hAnsi="Times New Roman"/>
          <w:sz w:val="18"/>
          <w:szCs w:val="18"/>
          <w:i w:val="1"/>
          <w:iCs w:val="1"/>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color w:val="auto"/>
              </w:rPr>
              <w:t>2013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5"/>
                <w:szCs w:val="15"/>
                <w:color w:val="auto"/>
              </w:rPr>
            </w:pPr>
          </w:p>
        </w:tc>
      </w:tr>
      <w:tr>
        <w:trPr>
          <w:trHeight w:val="210"/>
        </w:trPr>
        <w:tc>
          <w:tcPr>
            <w:tcW w:w="8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by segment: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Semiconductor equipment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316,629</w:t>
            </w:r>
          </w:p>
        </w:tc>
        <w:tc>
          <w:tcPr>
            <w:tcW w:w="160" w:type="dxa"/>
            <w:vAlign w:val="bottom"/>
          </w:tcPr>
          <w:p>
            <w:pPr>
              <w:spacing w:after="0"/>
              <w:rPr>
                <w:sz w:val="18"/>
                <w:szCs w:val="18"/>
                <w:color w:val="auto"/>
              </w:rPr>
            </w:pPr>
          </w:p>
        </w:tc>
        <w:tc>
          <w:tcPr>
            <w:tcW w:w="1000" w:type="dxa"/>
            <w:vAlign w:val="bottom"/>
            <w:gridSpan w:val="3"/>
          </w:tcPr>
          <w:p>
            <w:pPr>
              <w:jc w:val="right"/>
              <w:ind w:right="98"/>
              <w:spacing w:after="0"/>
              <w:rPr>
                <w:sz w:val="20"/>
                <w:szCs w:val="20"/>
                <w:color w:val="auto"/>
              </w:rPr>
            </w:pPr>
            <w:r>
              <w:rPr>
                <w:rFonts w:ascii="Times New Roman" w:cs="Times New Roman" w:eastAsia="Times New Roman" w:hAnsi="Times New Roman"/>
                <w:sz w:val="18"/>
                <w:szCs w:val="18"/>
                <w:color w:val="auto"/>
              </w:rPr>
              <w:t>$ 214,511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95"/>
              </w:rPr>
              <w:t>179,449</w:t>
            </w:r>
          </w:p>
        </w:tc>
      </w:tr>
      <w:tr>
        <w:trPr>
          <w:trHeight w:val="216"/>
        </w:trPr>
        <w:tc>
          <w:tcPr>
            <w:tcW w:w="8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Microwave communications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16,694</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17,063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26,863</w:t>
            </w:r>
          </w:p>
        </w:tc>
      </w:tr>
      <w:tr>
        <w:trPr>
          <w:trHeight w:val="223"/>
        </w:trPr>
        <w:tc>
          <w:tcPr>
            <w:tcW w:w="86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consolidated net sales and net sales for reportable segments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333,323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231,574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206,312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Semiconductor equipment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26,658</w:t>
            </w:r>
          </w:p>
        </w:tc>
        <w:tc>
          <w:tcPr>
            <w:tcW w:w="160" w:type="dxa"/>
            <w:vAlign w:val="bottom"/>
          </w:tcPr>
          <w:p>
            <w:pPr>
              <w:spacing w:after="0"/>
              <w:rPr>
                <w:sz w:val="18"/>
                <w:szCs w:val="18"/>
                <w:color w:val="auto"/>
              </w:rPr>
            </w:pPr>
          </w:p>
        </w:tc>
        <w:tc>
          <w:tcPr>
            <w:tcW w:w="100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color w:val="auto"/>
              </w:rPr>
              <w:t>$ (24,998)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216"/>
        </w:trPr>
        <w:tc>
          <w:tcPr>
            <w:tcW w:w="8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Microwave communications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(10,030)</w:t>
            </w:r>
          </w:p>
        </w:tc>
        <w:tc>
          <w:tcPr>
            <w:tcW w:w="100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2"/>
        </w:trPr>
        <w:tc>
          <w:tcPr>
            <w:tcW w:w="86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Profit (loss) for reportable segments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tcPr>
          <w:p>
            <w:pPr>
              <w:spacing w:after="0"/>
              <w:rPr>
                <w:sz w:val="19"/>
                <w:szCs w:val="19"/>
                <w:color w:val="auto"/>
              </w:rPr>
            </w:pPr>
          </w:p>
        </w:tc>
      </w:tr>
      <w:tr>
        <w:trPr>
          <w:trHeight w:val="217"/>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unallocated amounts: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(7,530)</w:t>
            </w:r>
          </w:p>
        </w:tc>
        <w:tc>
          <w:tcPr>
            <w:tcW w:w="100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color w:val="auto"/>
              </w:rPr>
              <w:t>(5,977)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(7,785)</w:t>
            </w:r>
          </w:p>
        </w:tc>
      </w:tr>
      <w:tr>
        <w:trPr>
          <w:trHeight w:val="216"/>
        </w:trPr>
        <w:tc>
          <w:tcPr>
            <w:tcW w:w="8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other from continuing operations,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967</w:t>
            </w:r>
          </w:p>
        </w:tc>
      </w:tr>
      <w:tr>
        <w:trPr>
          <w:trHeight w:val="223"/>
        </w:trPr>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 before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(37,063</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7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3" w:lineRule="exact"/>
        <w:rPr>
          <w:sz w:val="20"/>
          <w:szCs w:val="20"/>
          <w:color w:val="auto"/>
        </w:rPr>
      </w:pPr>
    </w:p>
    <w:p>
      <w:pPr>
        <w:ind w:left="460" w:right="460" w:hanging="452"/>
        <w:spacing w:after="0" w:line="275"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our microwave communications equipment segment for the year ended December 27, 2014 includes a $5.0 million impairment charge for goodwill and other assets see Note 3 for additional information.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77"/>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2014</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2013</w:t>
            </w: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2012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by segment deducted in arriving at profit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Semiconductor equipment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Microwave communications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8,090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23"/>
        </w:trPr>
        <w:tc>
          <w:tcPr>
            <w:tcW w:w="6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depreciation and amortization for reportable segments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Capital expenditures by segment: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Semiconductor equipment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Microwave communications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2"/>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consolidated capital expenditures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630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2014</w:t>
            </w: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2013</w:t>
            </w:r>
          </w:p>
        </w:tc>
        <w:tc>
          <w:tcPr>
            <w:tcW w:w="4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2012</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assets by segment: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Semiconductor equipment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320,102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297,175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281,173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Microwave communications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12,935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22,635</w:t>
            </w:r>
          </w:p>
        </w:tc>
        <w:tc>
          <w:tcPr>
            <w:tcW w:w="0" w:type="dxa"/>
            <w:vAlign w:val="bottom"/>
          </w:tcPr>
          <w:p>
            <w:pPr>
              <w:spacing w:after="0"/>
              <w:rPr>
                <w:sz w:val="1"/>
                <w:szCs w:val="1"/>
                <w:color w:val="auto"/>
              </w:rPr>
            </w:pPr>
          </w:p>
        </w:tc>
      </w:tr>
      <w:tr>
        <w:trPr>
          <w:trHeight w:val="223"/>
        </w:trPr>
        <w:tc>
          <w:tcPr>
            <w:tcW w:w="6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 for reportable segments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333,037</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319,331</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303,808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principally cash and investments and deferred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15,781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23,203</w:t>
            </w: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7,862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consolidated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348,818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345,423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334,873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customer from the semiconductor equipment segment comprising 10% or greater of our consolidated net sales is summarized as follows: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4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6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2012</w:t>
            </w:r>
          </w:p>
        </w:tc>
        <w:tc>
          <w:tcPr>
            <w:tcW w:w="200" w:type="dxa"/>
            <w:vAlign w:val="bottom"/>
          </w:tcPr>
          <w:p>
            <w:pPr>
              <w:spacing w:after="0"/>
              <w:rPr>
                <w:sz w:val="14"/>
                <w:szCs w:val="14"/>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w:t>
            </w:r>
          </w:p>
        </w:tc>
        <w:tc>
          <w:tcPr>
            <w:tcW w:w="3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top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Borders>
              <w:top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sales to customers, attributed to countries based on product shipment destination, were as follows: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7"/>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2014</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2013</w:t>
            </w: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2012</w:t>
            </w:r>
          </w:p>
        </w:tc>
        <w:tc>
          <w:tcPr>
            <w:tcW w:w="60" w:type="dxa"/>
            <w:vAlign w:val="bottom"/>
            <w:tcBorders>
              <w:bottom w:val="single" w:sz="8" w:color="CCEEFF"/>
            </w:tcBorders>
          </w:tcPr>
          <w:p>
            <w:pPr>
              <w:spacing w:after="0"/>
              <w:rPr>
                <w:sz w:val="15"/>
                <w:szCs w:val="15"/>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45,749</w:t>
            </w:r>
          </w:p>
        </w:tc>
        <w:tc>
          <w:tcPr>
            <w:tcW w:w="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73,861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40,326</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51,410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31,970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28,670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22,507</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Costa Rica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9,714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22,934</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42,826</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333,323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231,574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206,312</w:t>
            </w:r>
          </w:p>
        </w:tc>
      </w:tr>
      <w:tr>
        <w:trPr>
          <w:trHeight w:val="20"/>
        </w:trPr>
        <w:tc>
          <w:tcPr>
            <w:tcW w:w="6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Geographic location of our property, plant and equipment and other long-lived assets was as follows: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3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color w:val="auto"/>
              </w:rPr>
              <w:t>2014</w:t>
            </w:r>
          </w:p>
        </w:tc>
        <w:tc>
          <w:tcPr>
            <w:tcW w:w="180" w:type="dxa"/>
            <w:vAlign w:val="bottom"/>
          </w:tcPr>
          <w:p>
            <w:pPr>
              <w:spacing w:after="0"/>
              <w:rPr>
                <w:sz w:val="15"/>
                <w:szCs w:val="15"/>
                <w:color w:val="auto"/>
              </w:rPr>
            </w:pPr>
          </w:p>
        </w:tc>
        <w:tc>
          <w:tcPr>
            <w:tcW w:w="76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$18,986</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$21,464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6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7,484</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8,973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6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2,721</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6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2,663</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22"/>
        </w:trPr>
        <w:tc>
          <w:tcPr>
            <w:tcW w:w="3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net</w:t>
            </w:r>
          </w:p>
        </w:tc>
        <w:tc>
          <w:tcPr>
            <w:tcW w:w="4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31,854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35,796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960" w:type="dxa"/>
            <w:vAlign w:val="bottom"/>
            <w:vMerge w:val="restart"/>
          </w:tcPr>
          <w:p>
            <w:pPr>
              <w:jc w:val="right"/>
              <w:ind w:right="3196"/>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6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5" w:right="6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8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2013</w:t>
            </w:r>
          </w:p>
        </w:tc>
        <w:tc>
          <w:tcPr>
            <w:tcW w:w="60" w:type="dxa"/>
            <w:vAlign w:val="bottom"/>
          </w:tcPr>
          <w:p>
            <w:pPr>
              <w:spacing w:after="0"/>
              <w:rPr>
                <w:sz w:val="15"/>
                <w:szCs w:val="15"/>
                <w:color w:val="auto"/>
              </w:rPr>
            </w:pPr>
          </w:p>
        </w:tc>
      </w:tr>
      <w:tr>
        <w:trPr>
          <w:trHeight w:val="210"/>
        </w:trPr>
        <w:tc>
          <w:tcPr>
            <w:tcW w:w="8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5"/>
              </w:rPr>
              <w:t>$38,527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51,032</w:t>
            </w:r>
          </w:p>
        </w:tc>
      </w:tr>
      <w:tr>
        <w:trPr>
          <w:trHeight w:val="216"/>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32,513</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17,241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17,698</w:t>
            </w:r>
          </w:p>
        </w:tc>
      </w:tr>
      <w:tr>
        <w:trPr>
          <w:trHeight w:val="216"/>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7,738</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6,558</w:t>
            </w:r>
          </w:p>
        </w:tc>
      </w:tr>
      <w:tr>
        <w:trPr>
          <w:trHeight w:val="216"/>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1,089</w:t>
            </w:r>
          </w:p>
        </w:tc>
      </w:tr>
      <w:tr>
        <w:trPr>
          <w:trHeight w:val="223"/>
        </w:trPr>
        <w:tc>
          <w:tcPr>
            <w:tcW w:w="8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net</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96,219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116,628</w:t>
            </w:r>
          </w:p>
        </w:tc>
        <w:tc>
          <w:tcPr>
            <w:tcW w:w="6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Rights Plan</w:t>
      </w:r>
    </w:p>
    <w:p>
      <w:pPr>
        <w:spacing w:after="0" w:line="92" w:lineRule="exact"/>
        <w:rPr>
          <w:rFonts w:ascii="Times New Roman" w:cs="Times New Roman" w:eastAsia="Times New Roman" w:hAnsi="Times New Roman"/>
          <w:sz w:val="18"/>
          <w:szCs w:val="18"/>
          <w:b w:val="1"/>
          <w:bCs w:val="1"/>
          <w:color w:val="auto"/>
        </w:rPr>
      </w:pPr>
    </w:p>
    <w:p>
      <w:pPr>
        <w:ind w:left="4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1996, we adopted a Stockholder Rights Plan (“Rights Plan”) and declared a dividend distribution of one Preferred Stock Purchase Right (“Right”) for each share of common stock, payable to holders of record on December 3, 1996. Under the Rights Plan, each stockholder received one Right for each share of common stock owned. Each Right entitled the holder to buy one one-hundredth (1/100) of a share of Cohu’s Series A Preferred Stock for $90. As a result of the two-for-one stock split in September, 1999, each share of common stock was associated with one-half of a Right entitling the holder to purchase one two-hundredth (1/200) of a share of Series A Preferred Stock for $45. In November, 2006, we amended and restated our existing Rights Plan to extend its term to November 9, 2016 and make certain other changes. Pursuant to the amendment, to reflect the increase in the price of our common stock since the adoption of the Rights Plan, the exercise price of each Right was increased to $190. Consequently, each one-half of a Right entitles the holder to purchase one two-hundredth (1/200) of a share of Series A Preferred Stock for $95.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9, 2016, and we may redeem them for $0.001 per Right. The Rights do not have voting or dividend rights and, until they become exercisable, have no dilutive effect on our earnings per share.</w:t>
      </w:r>
    </w:p>
    <w:p>
      <w:pPr>
        <w:spacing w:after="0" w:line="265"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2" w:lineRule="exact"/>
        <w:rPr>
          <w:rFonts w:ascii="Times New Roman" w:cs="Times New Roman" w:eastAsia="Times New Roman" w:hAnsi="Times New Roman"/>
          <w:sz w:val="18"/>
          <w:szCs w:val="18"/>
          <w:b w:val="1"/>
          <w:bCs w:val="1"/>
          <w:color w:val="auto"/>
        </w:rPr>
      </w:pPr>
    </w:p>
    <w:p>
      <w:pPr>
        <w:ind w:left="460" w:right="1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lease certain of our facilities and equipment under non-cancelable operating leases. Rental expense was $1.9 million in 2014, $1.7 million in 2013 and $1.1 million 2012. Future minimum lease payments at December 27, 2014 are as follows: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5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2015</w:t>
            </w:r>
          </w:p>
        </w:tc>
        <w:tc>
          <w:tcPr>
            <w:tcW w:w="260" w:type="dxa"/>
            <w:vAlign w:val="bottom"/>
          </w:tcPr>
          <w:p>
            <w:pPr>
              <w:spacing w:after="0"/>
              <w:rPr>
                <w:sz w:val="15"/>
                <w:szCs w:val="15"/>
                <w:color w:val="auto"/>
              </w:rPr>
            </w:pPr>
          </w:p>
        </w:tc>
        <w:tc>
          <w:tcPr>
            <w:tcW w:w="48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2016</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26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w w:val="95"/>
              </w:rPr>
              <w:t>Thereafter</w:t>
            </w:r>
          </w:p>
        </w:tc>
        <w:tc>
          <w:tcPr>
            <w:tcW w:w="240" w:type="dxa"/>
            <w:vAlign w:val="bottom"/>
          </w:tcPr>
          <w:p>
            <w:pPr>
              <w:spacing w:after="0"/>
              <w:rPr>
                <w:sz w:val="15"/>
                <w:szCs w:val="15"/>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4"/>
              </w:rPr>
              <w:t>Total</w:t>
            </w: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Non-cancelable operating leases</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$1,270</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$1,111</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$958</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$676</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$385</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$ 1,155</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$5,555</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left="460" w:right="100"/>
        <w:spacing w:after="0" w:line="262" w:lineRule="auto"/>
        <w:rPr>
          <w:sz w:val="20"/>
          <w:szCs w:val="20"/>
          <w:color w:val="auto"/>
        </w:rPr>
      </w:pPr>
      <w:r>
        <w:rPr>
          <w:rFonts w:ascii="Times New Roman" w:cs="Times New Roman" w:eastAsia="Times New Roman" w:hAnsi="Times New Roman"/>
          <w:sz w:val="18"/>
          <w:szCs w:val="18"/>
          <w:color w:val="auto"/>
        </w:rPr>
        <w:t>From time-to-time we are involved in various legal proceedings, examinations by various tax authorities and claims that have arisen in the ordinary course of our businesses. The outcome of any litigation is inherently uncertain. While there can be no assurance, we do not believe at the present time that the resolution of the matters described above will have a material adverse effect on our assets, financial position or results of operations.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Guarantees</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accrued warranty during the three-year period ended December 27, 2014 were as follows: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2014</w:t>
            </w:r>
          </w:p>
        </w:tc>
        <w:tc>
          <w:tcPr>
            <w:tcW w:w="280" w:type="dxa"/>
            <w:vAlign w:val="bottom"/>
          </w:tcPr>
          <w:p>
            <w:pPr>
              <w:spacing w:after="0"/>
              <w:rPr>
                <w:sz w:val="15"/>
                <w:szCs w:val="15"/>
                <w:color w:val="auto"/>
              </w:rPr>
            </w:pPr>
          </w:p>
        </w:tc>
        <w:tc>
          <w:tcPr>
            <w:tcW w:w="7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2013</w:t>
            </w:r>
          </w:p>
        </w:tc>
        <w:tc>
          <w:tcPr>
            <w:tcW w:w="280" w:type="dxa"/>
            <w:vAlign w:val="bottom"/>
          </w:tcPr>
          <w:p>
            <w:pPr>
              <w:spacing w:after="0"/>
              <w:rPr>
                <w:sz w:val="15"/>
                <w:szCs w:val="15"/>
                <w:color w:val="auto"/>
              </w:rPr>
            </w:pPr>
          </w:p>
        </w:tc>
        <w:tc>
          <w:tcPr>
            <w:tcW w:w="7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$ 5,155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$ 4,602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$ 6,704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 accruals</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6,513</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5,403</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Warranty payments</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(5,484)</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(6,683)</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 liability assumed</w:t>
            </w:r>
          </w:p>
        </w:tc>
        <w:tc>
          <w:tcPr>
            <w:tcW w:w="4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1,833</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$ 6,184</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$ 5,155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During the ordinary course of business, we provide standby letters of credit instruments to certain parties as required. At December 27, 2014, the maximum potential amount of future payments that we could be required to make under these standby letters of credit was approximately $0.4 million. We have not recorded any liability in connection with these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258"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other comprehensive income (loss), on an after-tax basis,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Tax</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Before Tax</w:t>
            </w:r>
          </w:p>
        </w:tc>
        <w:tc>
          <w:tcPr>
            <w:tcW w:w="220" w:type="dxa"/>
            <w:vAlign w:val="bottom"/>
          </w:tcPr>
          <w:p>
            <w:pPr>
              <w:spacing w:after="0"/>
              <w:rPr>
                <w:sz w:val="12"/>
                <w:szCs w:val="12"/>
                <w:color w:val="auto"/>
              </w:rPr>
            </w:pPr>
          </w:p>
        </w:tc>
        <w:tc>
          <w:tcPr>
            <w:tcW w:w="8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80" w:type="dxa"/>
            <w:vAlign w:val="bottom"/>
          </w:tcPr>
          <w:p>
            <w:pPr>
              <w:spacing w:after="0"/>
              <w:rPr>
                <w:sz w:val="12"/>
                <w:szCs w:val="12"/>
                <w:color w:val="auto"/>
              </w:rPr>
            </w:pPr>
          </w:p>
        </w:tc>
        <w:tc>
          <w:tcPr>
            <w:tcW w:w="760" w:type="dxa"/>
            <w:vAlign w:val="bottom"/>
            <w:gridSpan w:val="4"/>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w w:val="95"/>
              </w:rPr>
              <w:t>Net-of-Tax</w:t>
            </w:r>
          </w:p>
        </w:tc>
        <w:tc>
          <w:tcPr>
            <w:tcW w:w="0" w:type="dxa"/>
            <w:vAlign w:val="bottom"/>
          </w:tcPr>
          <w:p>
            <w:pPr>
              <w:spacing w:after="0"/>
              <w:rPr>
                <w:sz w:val="1"/>
                <w:szCs w:val="1"/>
                <w:color w:val="auto"/>
              </w:rPr>
            </w:pPr>
          </w:p>
        </w:tc>
      </w:tr>
      <w:tr>
        <w:trPr>
          <w:trHeight w:val="161"/>
        </w:trPr>
        <w:tc>
          <w:tcPr>
            <w:tcW w:w="7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18"/>
              <w:spacing w:after="0"/>
              <w:rPr>
                <w:sz w:val="20"/>
                <w:szCs w:val="20"/>
                <w:color w:val="auto"/>
              </w:rPr>
            </w:pPr>
            <w:r>
              <w:rPr>
                <w:rFonts w:ascii="Times New Roman" w:cs="Times New Roman" w:eastAsia="Times New Roman" w:hAnsi="Times New Roman"/>
                <w:sz w:val="14"/>
                <w:szCs w:val="14"/>
                <w:color w:val="auto"/>
                <w:w w:val="99"/>
              </w:rPr>
              <w:t>amount</w:t>
            </w:r>
          </w:p>
        </w:tc>
        <w:tc>
          <w:tcPr>
            <w:tcW w:w="220" w:type="dxa"/>
            <w:vAlign w:val="bottom"/>
          </w:tcPr>
          <w:p>
            <w:pPr>
              <w:spacing w:after="0"/>
              <w:rPr>
                <w:sz w:val="14"/>
                <w:szCs w:val="14"/>
                <w:color w:val="auto"/>
              </w:rPr>
            </w:pPr>
          </w:p>
        </w:tc>
        <w:tc>
          <w:tcPr>
            <w:tcW w:w="8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Benefit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auto"/>
                <w:w w:val="95"/>
              </w:rPr>
              <w:t>Amount</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29, 2012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6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Year Ended December 28, 2013</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7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27, 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w w:val="97"/>
              </w:rPr>
              <w:t>(14,107)</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6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(14,107)</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(3,809)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23"/>
        </w:trPr>
        <w:tc>
          <w:tcPr>
            <w:tcW w:w="7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(17,916</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(17,365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Components of accumulated other comprehensive income (loss), net of tax, at the end of each period are as follows: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currency translation adjustments</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$5,780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net adjustments related to postretirement benefits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accumulated other comprehensive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(10,714)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6,651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92" w:lineRule="exact"/>
        <w:rPr>
          <w:rFonts w:ascii="Times New Roman" w:cs="Times New Roman" w:eastAsia="Times New Roman" w:hAnsi="Times New Roman"/>
          <w:sz w:val="18"/>
          <w:szCs w:val="18"/>
          <w:b w:val="1"/>
          <w:bCs w:val="1"/>
          <w:color w:val="auto"/>
        </w:rPr>
      </w:pPr>
    </w:p>
    <w:p>
      <w:pPr>
        <w:ind w:left="460" w:right="1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William E. Bendush, a member of the Cohu Board of Directors since December 8, 2011, is a member of the Board of Directors of Microsemi Corporation (“MSC”), a customer of our semiconductor equipment segment. During 2014, 2013 and 2012, total sales to MSC were approximately $1.1 million, $1.8 million and $1.1 million,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tab/>
        <w:t>Quarterly Financial Data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Quarter</w:t>
            </w: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3"/>
              </w:rPr>
              <w:t>First (a)</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Second (a)</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Third (a)</w:t>
            </w:r>
          </w:p>
        </w:tc>
        <w:tc>
          <w:tcPr>
            <w:tcW w:w="8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Fourth (a)</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Year</w:t>
            </w: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64,864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77,850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94,441</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2"/>
              </w:rPr>
              <w:t>96,168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333,323</w:t>
            </w:r>
          </w:p>
        </w:tc>
      </w:tr>
      <w:tr>
        <w:trPr>
          <w:trHeight w:val="216"/>
        </w:trPr>
        <w:tc>
          <w:tcPr>
            <w:tcW w:w="50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62,235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55,977</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2"/>
              </w:rPr>
              <w:t>61,135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231,574</w:t>
            </w:r>
          </w:p>
        </w:tc>
      </w:tr>
      <w:tr>
        <w:trPr>
          <w:trHeight w:val="3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25,484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33,176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2"/>
              </w:rPr>
              <w:t>31,375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112,235</w:t>
            </w:r>
          </w:p>
        </w:tc>
      </w:tr>
      <w:tr>
        <w:trPr>
          <w:trHeight w:val="217"/>
        </w:trPr>
        <w:tc>
          <w:tcPr>
            <w:tcW w:w="50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12,684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2"/>
              </w:rPr>
              <w:t>17,247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63,388</w:t>
            </w:r>
          </w:p>
        </w:tc>
      </w:tr>
      <w:tr>
        <w:trPr>
          <w:trHeight w:val="3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6,921</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5,835</w:t>
            </w:r>
          </w:p>
        </w:tc>
      </w:tr>
      <w:tr>
        <w:trPr>
          <w:trHeight w:val="217"/>
        </w:trPr>
        <w:tc>
          <w:tcPr>
            <w:tcW w:w="50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(12,235)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(11,113)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(6,578)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(34,260)</w:t>
            </w:r>
          </w:p>
        </w:tc>
      </w:tr>
      <w:tr>
        <w:trPr>
          <w:trHeight w:val="3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7,519</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8,708</w:t>
            </w:r>
          </w:p>
        </w:tc>
      </w:tr>
      <w:tr>
        <w:trPr>
          <w:trHeight w:val="217"/>
        </w:trPr>
        <w:tc>
          <w:tcPr>
            <w:tcW w:w="50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(12,103)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(10,820)</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(6,450)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(33,418)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per share (b):</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50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323"/>
        </w:trPr>
        <w:tc>
          <w:tcPr>
            <w:tcW w:w="5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r>
      <w:tr>
        <w:trPr>
          <w:trHeight w:val="217"/>
        </w:trPr>
        <w:tc>
          <w:tcPr>
            <w:tcW w:w="50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r>
      <w:tr>
        <w:trPr>
          <w:trHeight w:val="228"/>
        </w:trPr>
        <w:tc>
          <w:tcPr>
            <w:tcW w:w="50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96"/>
        </w:trPr>
        <w:tc>
          <w:tcPr>
            <w:tcW w:w="50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r>
      <w:tr>
        <w:trPr>
          <w:trHeight w:val="228"/>
        </w:trPr>
        <w:tc>
          <w:tcPr>
            <w:tcW w:w="50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8"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quarters presented above were comprised of 13 weeks.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the four quarters may not agree to the year total due to rounding within a quarter and the inclusion or exclusion of common stock equivalents.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Cohu, Inc. as of December 27, 2014 and December 28, 2013, and the related consolidated statements of operations, comprehensive loss, stockholders’ equity, and cash flows for each of the three years in the period ended December 27, 2014.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3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Cohu, Inc. at December 27, 2014 and December 28, 2013, and the consolidated results of its operations and its cash flows for each of the three years in the period ended December 27,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36"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Cohu, Inc.’s internal control over financial reporting as of December 27, 2014, based on criteria established in Internal Control-Integrated Framework issued by the Committee of Sponsoring Organizations of the Treadway Commission (2013 framework) and our report dated February 24, 2015 expressed an unqualified opinion thereon.</w:t>
      </w:r>
    </w:p>
    <w:p>
      <w:pPr>
        <w:spacing w:after="0" w:line="9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2015</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4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05"/>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(b)</w:t>
            </w: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into, the 2014 Cohu, Inc. Annual Report on Form 10-K:</w:t>
            </w:r>
          </w:p>
        </w:tc>
      </w:tr>
      <w:tr>
        <w:trPr>
          <w:trHeight w:val="259"/>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7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540" w:type="dxa"/>
            <w:vAlign w:val="bottom"/>
          </w:tcPr>
          <w:p>
            <w:pPr>
              <w:spacing w:after="0"/>
              <w:rPr>
                <w:sz w:val="22"/>
                <w:szCs w:val="22"/>
                <w:color w:val="auto"/>
              </w:rPr>
            </w:pPr>
          </w:p>
        </w:tc>
      </w:tr>
      <w:tr>
        <w:trPr>
          <w:trHeight w:val="30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Amended and Restated Certificate of Incorporation of Cohu, Inc. incorporated herein by reference to Exhibit 3.1(a) from the Cohu, Inc.</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10-Q for the quarterly period ended June 30, 1999</w:t>
            </w:r>
          </w:p>
        </w:tc>
      </w:tr>
      <w:tr>
        <w:trPr>
          <w:trHeight w:val="31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3.1(a)</w:t>
            </w: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Certificate of Amendment of Amended and Restated Certificate of Incorporation of Cohu, Inc. incorporated herein by reference from the</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Cohu, Inc. Form S-8 filed June 30, 2000, Exhibit 4.1(a)</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Amended and Restated Bylaws of Cohu, Inc. incorporated herein by reference to Exhibit 3.2 from the Cohu, Inc. Current Report on Form</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8-K filed with the Securities and Exchange Commission on December 12, 1996</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Amended and Restated Rights Agreement dated November 10, 2006, between Cohu, Inc. and Mellon Investor Services LLC, as Rights</w:t>
            </w:r>
          </w:p>
        </w:tc>
      </w:tr>
      <w:tr>
        <w:trPr>
          <w:trHeight w:val="216"/>
        </w:trPr>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Agent, incorporated herein by reference from the Cohu, Inc. Current Report on Form 8-K, filed with the Securities and Exchange</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Commission on November 13, 2006, Exhibit 99.1</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Amended Cohu, Inc. 2005 Equity Incentive Plan incorporated herein by reference to Exhibit 10.1 from the Cohu, Inc. Current Report on</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8-K filed with the Securities and Exchange Commission on May 9, 2012 *</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7"/>
              </w:rPr>
              <w:t>Amended Cohu, Inc. 1997 Employee Stock Purchase Plan, incorporated herein by reference from the Cohu, Inc. Current Report on Form 8-</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K filed with the Securities and Exchange Commission on May 13, 2011, Exhibit 10.1*</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7"/>
              </w:rPr>
              <w:t>Cohu, Inc. Deferred Compensation Plan (as amended and restated) incorporated herein by reference from the Cohu, Inc. Current Report on</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8-K filed with the Securities and Exchange Commission on December 29, 2008, Exhibit 10.1*</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of stock option agreement for use with stock options granted pursuant to the Cohu, Inc. 2005 Equity Incentive Plan incorporated</w:t>
            </w:r>
          </w:p>
        </w:tc>
      </w:tr>
      <w:tr>
        <w:trPr>
          <w:trHeight w:val="216"/>
        </w:trPr>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herein by reference from the Cohu, Inc. Current Report on Form 8-K filed with the Securities and Exchange Commission on August 7,</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2006*</w:t>
            </w:r>
          </w:p>
        </w:tc>
        <w:tc>
          <w:tcPr>
            <w:tcW w:w="70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Restricted stock unit agreement for use with restricted stock units granted pursuant to the Cohu, Inc. 2005 Equity Incentive Plan</w:t>
            </w:r>
          </w:p>
        </w:tc>
      </w:tr>
      <w:tr>
        <w:trPr>
          <w:trHeight w:val="216"/>
        </w:trPr>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incorporated herein by reference from the Cohu, Inc. Current Report on Form 8-K filed with the Securities and Exchange Commission on</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April 1, 2013*</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Intel Corporation Purchase Agreement Capital Equipment, Goods and Services, dated April 30, 2012, by and between Delta Design, Inc.</w:t>
            </w:r>
          </w:p>
        </w:tc>
      </w:tr>
      <w:tr>
        <w:trPr>
          <w:trHeight w:val="216"/>
        </w:trPr>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and Intel Corporation incorporated herein by reference to Exhibit 99.1 from the Cohu, Inc. Current Report on Form 8-K/A filed August 1,</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2012</w:t>
            </w:r>
          </w:p>
        </w:tc>
        <w:tc>
          <w:tcPr>
            <w:tcW w:w="70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of Indemnity Agreement, incorporated by reference from the Cohu, Inc. Current Report on Form 8-K filed July 28, 2008, Exhibit</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Cohu, Inc. Retiree Health Benefits Agreement (as amended) incorporated herein by reference from the Cohu, Inc. Current Report on Form</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8-K filed with the Securities and Exchange Commission on December 29, 2008, Exhibit 10.2*</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Cohu, Inc. Change in Control Agreement incorporated herein by reference from the Cohu, Inc. Current Report on Form 8-K filed with the</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Securities and Exchange Commission on December 29, 2008, Exhibit 10.3*</w:t>
            </w:r>
          </w:p>
        </w:tc>
      </w:tr>
      <w:tr>
        <w:trPr>
          <w:trHeight w:val="365"/>
        </w:trPr>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2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58</w:t>
            </w: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Executive Employment Agreement, dated October 7, 2014, by and between Cohu, Inc. and Luis A. Müller, incorporated herein by reference from</w:t>
            </w:r>
          </w:p>
        </w:tc>
      </w:tr>
      <w:tr>
        <w:trPr>
          <w:trHeight w:val="228"/>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Cohu, Inc. Current Report on Form 8-K filed with the Securities and Exchange Commission on October 8, 2014, Exhibit 10.1 *</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 of Cohu, Inc.</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 for Luis A. Müller</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 for Jeffrey D. Jones</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for Luis A. Müller</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for Jeffrey D. Jones</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COHU, INC.</w:t>
      </w:r>
    </w:p>
    <w:p>
      <w:pPr>
        <w:spacing w:after="0" w:line="225"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Date: February 24, 2015</w:t>
      </w:r>
      <w:r>
        <w:rPr>
          <w:sz w:val="20"/>
          <w:szCs w:val="20"/>
          <w:color w:val="auto"/>
        </w:rPr>
        <w:tab/>
      </w:r>
      <w:r>
        <w:rPr>
          <w:rFonts w:ascii="Times New Roman" w:cs="Times New Roman" w:eastAsia="Times New Roman" w:hAnsi="Times New Roman"/>
          <w:sz w:val="18"/>
          <w:szCs w:val="18"/>
          <w:color w:val="auto"/>
        </w:rPr>
        <w:t>By: /s/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Luis A. Müller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5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Donahue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01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E. Bendush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J. Bilodeau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M. Caggia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M. Caggia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Harry L. Casari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Harry L. Casari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L. Ciardella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L. Ciardella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Harold Harrigian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Harold Harrigian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5"/>
                <w:szCs w:val="15"/>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2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2015</w:t>
            </w:r>
          </w:p>
        </w:tc>
      </w:tr>
      <w:tr>
        <w:trPr>
          <w:trHeight w:val="66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2015</w:t>
            </w:r>
          </w:p>
        </w:tc>
      </w:tr>
      <w:tr>
        <w:trPr>
          <w:trHeight w:val="22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19"/>
                <w:szCs w:val="19"/>
                <w:color w:val="auto"/>
              </w:rPr>
            </w:pPr>
          </w:p>
        </w:tc>
      </w:tr>
      <w:tr>
        <w:trPr>
          <w:trHeight w:val="447"/>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2015</w:t>
            </w:r>
          </w:p>
        </w:tc>
      </w:tr>
      <w:tr>
        <w:trPr>
          <w:trHeight w:val="22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40" w:type="dxa"/>
            <w:vAlign w:val="bottom"/>
          </w:tcPr>
          <w:p>
            <w:pPr>
              <w:spacing w:after="0"/>
              <w:rPr>
                <w:sz w:val="19"/>
                <w:szCs w:val="19"/>
                <w:color w:val="auto"/>
              </w:rPr>
            </w:pPr>
          </w:p>
        </w:tc>
      </w:tr>
      <w:tr>
        <w:trPr>
          <w:trHeight w:val="45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2015</w:t>
            </w:r>
          </w:p>
        </w:tc>
      </w:tr>
      <w:tr>
        <w:trPr>
          <w:trHeight w:val="67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2015</w:t>
            </w:r>
          </w:p>
        </w:tc>
      </w:tr>
      <w:tr>
        <w:trPr>
          <w:trHeight w:val="67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2015</w:t>
            </w:r>
          </w:p>
        </w:tc>
      </w:tr>
      <w:tr>
        <w:trPr>
          <w:trHeight w:val="67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2015</w:t>
            </w:r>
          </w:p>
        </w:tc>
      </w:tr>
      <w:tr>
        <w:trPr>
          <w:trHeight w:val="67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2015</w:t>
            </w:r>
          </w:p>
        </w:tc>
      </w:tr>
      <w:tr>
        <w:trPr>
          <w:trHeight w:val="67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2015</w:t>
            </w:r>
          </w:p>
        </w:tc>
      </w:tr>
      <w:tr>
        <w:trPr>
          <w:trHeight w:val="581"/>
        </w:trPr>
        <w:tc>
          <w:tcPr>
            <w:tcW w:w="50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2">
            <w:col w:w="3660" w:space="720"/>
            <w:col w:w="7040"/>
          </w:cols>
          <w:pgMar w:left="240" w:top="455" w:right="23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Additions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Additions</w:t>
            </w:r>
          </w:p>
        </w:tc>
        <w:tc>
          <w:tcPr>
            <w:tcW w:w="5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(Reductions)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Balance at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color w:val="auto"/>
                <w:w w:val="95"/>
              </w:rPr>
              <w:t>Not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6"/>
              </w:rPr>
              <w:t>Charged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7"/>
              </w:rPr>
              <w:t>Balance</w:t>
            </w:r>
          </w:p>
        </w:tc>
        <w:tc>
          <w:tcPr>
            <w:tcW w:w="0" w:type="dxa"/>
            <w:vAlign w:val="bottom"/>
          </w:tcPr>
          <w:p>
            <w:pPr>
              <w:spacing w:after="0"/>
              <w:rPr>
                <w:sz w:val="1"/>
                <w:szCs w:val="1"/>
                <w:color w:val="auto"/>
              </w:rPr>
            </w:pPr>
          </w:p>
        </w:tc>
      </w:tr>
      <w:tr>
        <w:trPr>
          <w:trHeight w:val="149"/>
        </w:trPr>
        <w:tc>
          <w:tcPr>
            <w:tcW w:w="6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Beginning</w:t>
            </w:r>
          </w:p>
        </w:tc>
        <w:tc>
          <w:tcPr>
            <w:tcW w:w="1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Charged</w:t>
            </w:r>
          </w:p>
        </w:tc>
        <w:tc>
          <w:tcPr>
            <w:tcW w:w="5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(Credited) to</w:t>
            </w: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Deductions/</w:t>
            </w:r>
          </w:p>
        </w:tc>
        <w:tc>
          <w:tcPr>
            <w:tcW w:w="1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7"/>
              </w:rPr>
              <w:t>at End of</w:t>
            </w:r>
          </w:p>
        </w:tc>
        <w:tc>
          <w:tcPr>
            <w:tcW w:w="0" w:type="dxa"/>
            <w:vAlign w:val="bottom"/>
          </w:tcPr>
          <w:p>
            <w:pPr>
              <w:spacing w:after="0"/>
              <w:rPr>
                <w:sz w:val="1"/>
                <w:szCs w:val="1"/>
                <w:color w:val="auto"/>
              </w:rPr>
            </w:pPr>
          </w:p>
        </w:tc>
      </w:tr>
      <w:tr>
        <w:trPr>
          <w:trHeight w:val="148"/>
        </w:trPr>
        <w:tc>
          <w:tcPr>
            <w:tcW w:w="65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of Year</w:t>
            </w:r>
          </w:p>
        </w:tc>
        <w:tc>
          <w:tcPr>
            <w:tcW w:w="18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w w:val="96"/>
              </w:rPr>
              <w:t>to Expense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8" w:lineRule="exact"/>
              <w:rPr>
                <w:sz w:val="20"/>
                <w:szCs w:val="20"/>
                <w:color w:val="auto"/>
              </w:rPr>
            </w:pPr>
            <w:r>
              <w:rPr>
                <w:rFonts w:ascii="Times New Roman" w:cs="Times New Roman" w:eastAsia="Times New Roman" w:hAnsi="Times New Roman"/>
                <w:sz w:val="14"/>
                <w:szCs w:val="14"/>
                <w:color w:val="auto"/>
                <w:w w:val="96"/>
              </w:rPr>
              <w:t>Expense</w:t>
            </w:r>
          </w:p>
        </w:tc>
        <w:tc>
          <w:tcPr>
            <w:tcW w:w="180" w:type="dxa"/>
            <w:vAlign w:val="bottom"/>
          </w:tcPr>
          <w:p>
            <w:pPr>
              <w:spacing w:after="0"/>
              <w:rPr>
                <w:sz w:val="12"/>
                <w:szCs w:val="12"/>
                <w:color w:val="auto"/>
              </w:rPr>
            </w:pPr>
          </w:p>
        </w:tc>
        <w:tc>
          <w:tcPr>
            <w:tcW w:w="840" w:type="dxa"/>
            <w:vAlign w:val="bottom"/>
            <w:gridSpan w:val="3"/>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w w:val="99"/>
              </w:rPr>
              <w:t>Write-offs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color w:val="auto"/>
                <w:w w:val="88"/>
              </w:rPr>
              <w:t>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5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Allowance for doubtful accounts: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29, 2012</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w w:val="77"/>
              </w:rPr>
              <w:t>(1)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28, 2013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54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7"/>
              </w:rPr>
              <w:t>(2)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27, 2014</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4"/>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1"/>
                <w:szCs w:val="11"/>
                <w:color w:val="auto"/>
              </w:rPr>
              <w:t>(1)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29, 2012</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24,552</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54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w w:val="77"/>
              </w:rPr>
              <w:t>(1)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22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27,155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28, 2013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27,155</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7,422</w:t>
            </w:r>
          </w:p>
        </w:tc>
        <w:tc>
          <w:tcPr>
            <w:tcW w:w="54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7"/>
              </w:rPr>
              <w:t>(3)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37,795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27, 2014</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37,795</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4"/>
              <w:spacing w:after="0"/>
              <w:rPr>
                <w:sz w:val="20"/>
                <w:szCs w:val="20"/>
                <w:color w:val="auto"/>
              </w:rPr>
            </w:pPr>
            <w:r>
              <w:rPr>
                <w:rFonts w:ascii="Times New Roman" w:cs="Times New Roman" w:eastAsia="Times New Roman" w:hAnsi="Times New Roman"/>
                <w:sz w:val="18"/>
                <w:szCs w:val="18"/>
                <w:color w:val="auto"/>
              </w:rPr>
              <w:t>(821)</w:t>
            </w:r>
            <w:r>
              <w:rPr>
                <w:rFonts w:ascii="Times New Roman" w:cs="Times New Roman" w:eastAsia="Times New Roman" w:hAnsi="Times New Roman"/>
                <w:sz w:val="11"/>
                <w:szCs w:val="11"/>
                <w:color w:val="auto"/>
              </w:rPr>
              <w:t>(1)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22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29,845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June 2014, we sold our video camera segment, Cohu Electronics and all amounts presented above have been restated to exclude the impact of this segment as it is being presented as discontinued operations.</w:t>
      </w:r>
    </w:p>
    <w:p>
      <w:pPr>
        <w:spacing w:after="0" w:line="39"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reserve balances resulting from foreign currency impact.</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$0.4 million resulting from Ismeca Acquisition on December 31, 2012 and foreign currency impact.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$6.8 million resulting from Ismeca Acquisition on December 31, 2012, foreign currency impact and reclass from other reserves.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60" w:type="dxa"/>
            <w:vAlign w:val="bottom"/>
            <w:gridSpan w:val="2"/>
          </w:tcPr>
          <w:p>
            <w:pPr>
              <w:ind w:left="2960"/>
              <w:spacing w:after="0"/>
              <w:rPr>
                <w:sz w:val="20"/>
                <w:szCs w:val="20"/>
                <w:color w:val="auto"/>
              </w:rPr>
            </w:pPr>
            <w:r>
              <w:rPr>
                <w:rFonts w:ascii="Times New Roman" w:cs="Times New Roman" w:eastAsia="Times New Roman" w:hAnsi="Times New Roman"/>
                <w:sz w:val="18"/>
                <w:szCs w:val="18"/>
                <w:b w:val="1"/>
                <w:bCs w:val="1"/>
                <w:color w:val="auto"/>
              </w:rPr>
              <w:t>SUBSIDIARIES OF COHU, INC.</w:t>
            </w:r>
          </w:p>
        </w:tc>
      </w:tr>
      <w:tr>
        <w:trPr>
          <w:trHeight w:val="353"/>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LEGAL ENTITY NAME</w:t>
            </w:r>
          </w:p>
        </w:tc>
        <w:tc>
          <w:tcPr>
            <w:tcW w:w="4580" w:type="dxa"/>
            <w:vAlign w:val="bottom"/>
          </w:tcPr>
          <w:p>
            <w:pPr>
              <w:spacing w:after="0"/>
              <w:rPr>
                <w:sz w:val="24"/>
                <w:szCs w:val="24"/>
                <w:color w:val="auto"/>
              </w:rPr>
            </w:pP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PLACE OF INCORPORATION</w:t>
            </w:r>
          </w:p>
        </w:tc>
      </w:tr>
      <w:tr>
        <w:trPr>
          <w:trHeight w:val="195"/>
        </w:trPr>
        <w:tc>
          <w:tcPr>
            <w:tcW w:w="606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Delta Design, Inc. (1)</w:t>
            </w:r>
          </w:p>
        </w:tc>
        <w:tc>
          <w:tcPr>
            <w:tcW w:w="18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FRL, Incorporated</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Broadcast Microwave Services, Inc. (2)</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Delta Design (Littleton), Inc.</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Cohu Foreign Sales Ltd.</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Barbados</w:t>
            </w:r>
          </w:p>
        </w:tc>
      </w:tr>
      <w:tr>
        <w:trPr>
          <w:trHeight w:val="218"/>
        </w:trPr>
        <w:tc>
          <w:tcPr>
            <w:tcW w:w="1160" w:type="dxa"/>
            <w:vAlign w:val="bottom"/>
            <w:tcBorders>
              <w:bottom w:val="single" w:sz="8" w:color="auto"/>
            </w:tcBorders>
          </w:tcPr>
          <w:p>
            <w:pPr>
              <w:spacing w:after="0"/>
              <w:rPr>
                <w:sz w:val="18"/>
                <w:szCs w:val="18"/>
                <w:color w:val="auto"/>
              </w:rPr>
            </w:pPr>
          </w:p>
        </w:tc>
        <w:tc>
          <w:tcPr>
            <w:tcW w:w="490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r>
      <w:tr>
        <w:trPr>
          <w:trHeight w:val="235"/>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Delta Design, Inc. owns the following subsidiaries:</w:t>
            </w:r>
          </w:p>
        </w:tc>
        <w:tc>
          <w:tcPr>
            <w:tcW w:w="1880" w:type="dxa"/>
            <w:vAlign w:val="bottom"/>
          </w:tcPr>
          <w:p>
            <w:pPr>
              <w:spacing w:after="0"/>
              <w:rPr>
                <w:sz w:val="20"/>
                <w:szCs w:val="20"/>
                <w:color w:val="auto"/>
              </w:rPr>
            </w:pPr>
          </w:p>
        </w:tc>
      </w:tr>
      <w:tr>
        <w:trPr>
          <w:trHeight w:val="366"/>
        </w:trPr>
        <w:tc>
          <w:tcPr>
            <w:tcW w:w="1160" w:type="dxa"/>
            <w:vAlign w:val="bottom"/>
          </w:tcPr>
          <w:p>
            <w:pPr>
              <w:spacing w:after="0"/>
              <w:rPr>
                <w:sz w:val="24"/>
                <w:szCs w:val="24"/>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Delta Design Luxembourg S.à r.l</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16"/>
        </w:trPr>
        <w:tc>
          <w:tcPr>
            <w:tcW w:w="116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Delta Design Singapore PTE LTD</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116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Delta Design Philippines LLC</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16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Cohu S.A.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Costa Rica</w:t>
            </w:r>
          </w:p>
        </w:tc>
      </w:tr>
      <w:tr>
        <w:trPr>
          <w:trHeight w:val="216"/>
        </w:trPr>
        <w:tc>
          <w:tcPr>
            <w:tcW w:w="116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Delta Design Europe GmbH</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6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Rasco GmbH</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6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Rosenheim Automation Systems Corporation</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28"/>
        </w:trPr>
        <w:tc>
          <w:tcPr>
            <w:tcW w:w="1160" w:type="dxa"/>
            <w:vAlign w:val="bottom"/>
          </w:tcPr>
          <w:p>
            <w:pPr>
              <w:spacing w:after="0"/>
              <w:rPr>
                <w:sz w:val="19"/>
                <w:szCs w:val="19"/>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Ismeca Semiconductor Holding SA (3)</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97"/>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Broadcast Microwave Services, Inc. owns the following subsidiary:</w:t>
            </w:r>
          </w:p>
        </w:tc>
        <w:tc>
          <w:tcPr>
            <w:tcW w:w="188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Broadcast Microwave Services Europe GmbH</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37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Ismeca Semiconductor Holding SA owns the following subsidiaries:</w:t>
            </w:r>
          </w:p>
        </w:tc>
        <w:tc>
          <w:tcPr>
            <w:tcW w:w="1880" w:type="dxa"/>
            <w:vAlign w:val="bottom"/>
          </w:tcPr>
          <w:p>
            <w:pPr>
              <w:spacing w:after="0"/>
              <w:rPr>
                <w:sz w:val="24"/>
                <w:szCs w:val="24"/>
                <w:color w:val="auto"/>
              </w:rPr>
            </w:pPr>
          </w:p>
        </w:tc>
      </w:tr>
      <w:tr>
        <w:trPr>
          <w:trHeight w:val="366"/>
        </w:trPr>
        <w:tc>
          <w:tcPr>
            <w:tcW w:w="1160" w:type="dxa"/>
            <w:vAlign w:val="bottom"/>
          </w:tcPr>
          <w:p>
            <w:pPr>
              <w:spacing w:after="0"/>
              <w:rPr>
                <w:sz w:val="24"/>
                <w:szCs w:val="24"/>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Ismeca Europe Semiconductor SA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16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CDF Holding USA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16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Ismeca USA, Inc.</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116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Ismeca Malaysia Sdn</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28"/>
        </w:trPr>
        <w:tc>
          <w:tcPr>
            <w:tcW w:w="1160" w:type="dxa"/>
            <w:vAlign w:val="bottom"/>
          </w:tcPr>
          <w:p>
            <w:pPr>
              <w:spacing w:after="0"/>
              <w:rPr>
                <w:sz w:val="19"/>
                <w:szCs w:val="19"/>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Ismeca Semiconductor (Suzhou) Co Ltd</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bl>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3"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(Form S-8 Nos. 333-62803, 333-27663, 333-40610, 333-66466, 333-97449, 333-117554, 333-132605, 333-142579, 333-160760, 333-177453 and 333-186973) pertaining to the Cohu, Inc. 1996 and 1998 Stock Option Plans, 1996 Outside Directors Stock Option Plan, 1997 Employee Stock Purchase Plan and 2005 Equity Incentive Plan of Cohu, Inc. of our reports dated February 24, 2015, with respect to the consolidated financial statements and schedule of Cohu, Inc., and the effectiveness of internal control over financial reporting of Cohu, Inc., included in this Annual Report (Form 10-K) for the year ended December 27, 2014, filed with the Securities and Exchange Commission.</w:t>
      </w:r>
    </w:p>
    <w:p>
      <w:pPr>
        <w:spacing w:after="0" w:line="10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2015</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A. Müller, certify that:</w:t>
      </w:r>
    </w:p>
    <w:p>
      <w:pPr>
        <w:spacing w:after="0" w:line="171" w:lineRule="exact"/>
        <w:rPr>
          <w:sz w:val="20"/>
          <w:szCs w:val="20"/>
          <w:color w:val="auto"/>
        </w:rPr>
      </w:pPr>
    </w:p>
    <w:p>
      <w:pPr>
        <w:ind w:left="640" w:hanging="176"/>
        <w:spacing w:after="0"/>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Cohu, Inc.;</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firstLine="464"/>
        <w:spacing w:after="0" w:line="262" w:lineRule="auto"/>
        <w:tabs>
          <w:tab w:leader="none" w:pos="63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60" w:firstLine="464"/>
        <w:spacing w:after="0" w:line="275" w:lineRule="auto"/>
        <w:tabs>
          <w:tab w:leader="none" w:pos="63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left="900" w:right="60" w:hanging="446"/>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24, 2015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Jones, certify that:</w:t>
      </w:r>
    </w:p>
    <w:p>
      <w:pPr>
        <w:spacing w:after="0" w:line="171" w:lineRule="exact"/>
        <w:rPr>
          <w:sz w:val="20"/>
          <w:szCs w:val="20"/>
          <w:color w:val="auto"/>
        </w:rPr>
      </w:pPr>
    </w:p>
    <w:p>
      <w:pPr>
        <w:ind w:left="640" w:hanging="176"/>
        <w:spacing w:after="0"/>
        <w:tabs>
          <w:tab w:leader="none" w:pos="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Cohu, Inc.;</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firstLine="464"/>
        <w:spacing w:after="0" w:line="262" w:lineRule="auto"/>
        <w:tabs>
          <w:tab w:leader="none" w:pos="63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60" w:firstLine="464"/>
        <w:spacing w:after="0" w:line="275" w:lineRule="auto"/>
        <w:tabs>
          <w:tab w:leader="none" w:pos="63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left="900" w:right="60" w:hanging="446"/>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24, 2015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9"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accompanying Annual Report of Cohu, Inc. (the “Company”) on Form 10-K for the fiscal year ended December 27, 2014 (the “Report”), I, Luis A. Müller, President and Chief Executive Officer of the Company, certify, pursuant to 18 U.S.C. Section 1350, as adopted pursuant to Section 906 of the Sarbanes-Oxley Act of 2002, that, based on my knowledge:</w:t>
      </w:r>
    </w:p>
    <w:p>
      <w:pPr>
        <w:spacing w:after="0" w:line="132"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980" w:firstLine="8"/>
        <w:spacing w:after="0" w:line="461" w:lineRule="auto"/>
        <w:tabs>
          <w:tab w:leader="none" w:pos="2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24, 2015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9"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accompanying Annual Report of Cohu, Inc. (the “Company”) on Form 10-K for the fiscal year ended December 27, 2014 (the “Report”), I, Jeffrey D. Jones, Vice President Finance and Chief Financial Officer of the Company, certify, pursuant to 18 U.S.C. Section 1350, as adopted pursuant to Section 906 of the Sarbanes-Oxley Act of 2002, that, based on my knowledge:</w:t>
      </w:r>
    </w:p>
    <w:p>
      <w:pPr>
        <w:spacing w:after="0" w:line="132"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980" w:firstLine="8"/>
        <w:spacing w:after="0" w:line="461" w:lineRule="auto"/>
        <w:tabs>
          <w:tab w:leader="none" w:pos="24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24, 2015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lowerRoman"/>
      <w:start w:val="1"/>
    </w:lvl>
  </w:abstractNum>
  <w:abstractNum w:abstractNumId="11">
    <w:nsid w:val="8EDBDAB"/>
    <w:multiLevelType w:val="hybridMultilevel"/>
    <w:lvl w:ilvl="0">
      <w:lvlJc w:val="left"/>
      <w:lvlText w:val="(%1)"/>
      <w:numFmt w:val="decimal"/>
      <w:start w:val="2"/>
    </w:lvl>
  </w:abstractNum>
  <w:abstractNum w:abstractNumId="12">
    <w:nsid w:val="79838CB2"/>
    <w:multiLevelType w:val="hybridMultilevel"/>
    <w:lvl w:ilvl="0">
      <w:lvlJc w:val="left"/>
      <w:lvlText w:val="(%1)"/>
      <w:numFmt w:val="lowerLetter"/>
      <w:start w:val="1"/>
    </w:lvl>
    <w:lvl w:ilvl="1">
      <w:lvlJc w:val="left"/>
      <w:lvlText w:val="(%2)"/>
      <w:numFmt w:val="decimal"/>
      <w:start w:val="1"/>
    </w:lvl>
  </w:abstractNum>
  <w:abstractNum w:abstractNumId="13">
    <w:nsid w:val="4353D0CD"/>
    <w:multiLevelType w:val="hybridMultilevel"/>
    <w:lvl w:ilvl="0">
      <w:lvlJc w:val="left"/>
      <w:lvlText w:val="(%1)"/>
      <w:numFmt w:val="decimal"/>
      <w:start w:val="3"/>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2"/>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decimal"/>
      <w:start w:val="4"/>
    </w:lvl>
  </w:abstractNum>
  <w:abstractNum w:abstractNumId="18">
    <w:nsid w:val="2CA88611"/>
    <w:multiLevelType w:val="hybridMultilevel"/>
    <w:lvl w:ilvl="0">
      <w:lvlJc w:val="left"/>
      <w:lvlText w:val="%1."/>
      <w:numFmt w:val="decimal"/>
      <w:start w:val="5"/>
    </w:lvl>
  </w:abstractNum>
  <w:abstractNum w:abstractNumId="19">
    <w:nsid w:val="836C40E"/>
    <w:multiLevelType w:val="hybridMultilevel"/>
    <w:lvl w:ilvl="0">
      <w:lvlJc w:val="left"/>
      <w:lvlText w:val="%1."/>
      <w:numFmt w:val="decimal"/>
      <w:start w:val="6"/>
    </w:lvl>
  </w:abstractNum>
  <w:abstractNum w:abstractNumId="20">
    <w:nsid w:val="2901D82"/>
    <w:multiLevelType w:val="hybridMultilevel"/>
    <w:lvl w:ilvl="0">
      <w:lvlJc w:val="left"/>
      <w:lvlText w:val="%1."/>
      <w:numFmt w:val="decimal"/>
      <w:start w:val="7"/>
    </w:lvl>
  </w:abstractNum>
  <w:abstractNum w:abstractNumId="21">
    <w:nsid w:val="3A95F874"/>
    <w:multiLevelType w:val="hybridMultilevel"/>
    <w:lvl w:ilvl="0">
      <w:lvlJc w:val="left"/>
      <w:lvlText w:val="%1."/>
      <w:numFmt w:val="decimal"/>
      <w:start w:val="8"/>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9"/>
    </w:lvl>
  </w:abstractNum>
  <w:abstractNum w:abstractNumId="24">
    <w:nsid w:val="7C3DBD3D"/>
    <w:multiLevelType w:val="hybridMultilevel"/>
    <w:lvl w:ilvl="0">
      <w:lvlJc w:val="left"/>
      <w:lvlText w:val="%1."/>
      <w:numFmt w:val="decimal"/>
      <w:start w:val="11"/>
    </w:lvl>
  </w:abstractNum>
  <w:abstractNum w:abstractNumId="25">
    <w:nsid w:val="737B8DDC"/>
    <w:multiLevelType w:val="hybridMultilevel"/>
    <w:lvl w:ilvl="0">
      <w:lvlJc w:val="left"/>
      <w:lvlText w:val="%1."/>
      <w:numFmt w:val="decimal"/>
      <w:start w:val="12"/>
    </w:lvl>
  </w:abstractNum>
  <w:abstractNum w:abstractNumId="26">
    <w:nsid w:val="6CEAF087"/>
    <w:multiLevelType w:val="hybridMultilevel"/>
    <w:lvl w:ilvl="0">
      <w:lvlJc w:val="left"/>
      <w:lvlText w:val="%1."/>
      <w:numFmt w:val="decimal"/>
      <w:start w:val="13"/>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lowerLetter"/>
      <w:start w:val="1"/>
    </w:lvl>
    <w:lvl w:ilvl="1">
      <w:lvlJc w:val="left"/>
      <w:lvlText w:val="%2."/>
      <w:numFmt w:val="decimal"/>
      <w:start w:val="1"/>
    </w:lvl>
  </w:abstractNum>
  <w:abstractNum w:abstractNumId="30">
    <w:nsid w:val="614FD4A1"/>
    <w:multiLevelType w:val="hybridMultilevel"/>
    <w:lvl w:ilvl="0">
      <w:lvlJc w:val="left"/>
      <w:lvlText w:val="%1)"/>
      <w:numFmt w:val="lowerLetter"/>
      <w:start w:val="1"/>
    </w:lvl>
    <w:lvl w:ilvl="1">
      <w:lvlJc w:val="left"/>
      <w:lvlText w:val="%2."/>
      <w:numFmt w:val="decimal"/>
      <w:start w:val="5"/>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lvl w:ilvl="1">
      <w:lvlJc w:val="left"/>
      <w:lvlText w:val="%2."/>
      <w:numFmt w:val="decimal"/>
      <w:start w:val="1"/>
    </w:lvl>
  </w:abstractNum>
  <w:abstractNum w:abstractNumId="33">
    <w:nsid w:val="440BADFC"/>
    <w:multiLevelType w:val="hybridMultilevel"/>
    <w:lvl w:ilvl="0">
      <w:lvlJc w:val="left"/>
      <w:lvlText w:val="%1)"/>
      <w:numFmt w:val="lowerLetter"/>
      <w:start w:val="1"/>
    </w:lvl>
    <w:lvl w:ilvl="1">
      <w:lvlJc w:val="left"/>
      <w:lvlText w:val="%2."/>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2019-12-29T18:01:48Z</dcterms:created>
  <dcterms:modified xsi:type="dcterms:W3CDTF">2019-12-29T18:01:48Z</dcterms:modified>
</cp:coreProperties>
</file>