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78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December 18, 2018</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160655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560" w:type="dxa"/>
            <w:vAlign w:val="bottom"/>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980" w:type="dxa"/>
            <w:vAlign w:val="bottom"/>
            <w:gridSpan w:val="3"/>
          </w:tcPr>
          <w:p>
            <w:pPr>
              <w:jc w:val="center"/>
              <w:ind w:left="510"/>
              <w:spacing w:after="0"/>
              <w:rPr>
                <w:sz w:val="20"/>
                <w:szCs w:val="20"/>
                <w:color w:val="auto"/>
              </w:rPr>
            </w:pPr>
            <w:r>
              <w:rPr>
                <w:rFonts w:ascii="Arial" w:cs="Arial" w:eastAsia="Arial" w:hAnsi="Arial"/>
                <w:sz w:val="18"/>
                <w:szCs w:val="18"/>
                <w:color w:val="auto"/>
                <w:w w:val="90"/>
              </w:rPr>
              <w:t>001-04298</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color w:val="auto"/>
              </w:rPr>
              <w:t>95-1934119</w:t>
            </w: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gridSpan w:val="3"/>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18"/>
        </w:trPr>
        <w:tc>
          <w:tcPr>
            <w:tcW w:w="3440" w:type="dxa"/>
            <w:vAlign w:val="bottom"/>
          </w:tcPr>
          <w:p>
            <w:pPr>
              <w:jc w:val="center"/>
              <w:spacing w:after="0"/>
              <w:rPr>
                <w:sz w:val="20"/>
                <w:szCs w:val="20"/>
                <w:color w:val="auto"/>
              </w:rPr>
            </w:pPr>
            <w:r>
              <w:rPr>
                <w:rFonts w:ascii="Arial" w:cs="Arial" w:eastAsia="Arial" w:hAnsi="Arial"/>
                <w:sz w:val="18"/>
                <w:szCs w:val="18"/>
                <w:color w:val="auto"/>
                <w:w w:val="91"/>
              </w:rPr>
              <w:t>12367 Crosthwaite Circle, Poway,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jc w:val="right"/>
              <w:ind w:right="1390"/>
              <w:spacing w:after="0"/>
              <w:rPr>
                <w:sz w:val="20"/>
                <w:szCs w:val="20"/>
                <w:color w:val="auto"/>
              </w:rPr>
            </w:pPr>
            <w:r>
              <w:rPr>
                <w:rFonts w:ascii="Arial" w:cs="Arial" w:eastAsia="Arial" w:hAnsi="Arial"/>
                <w:sz w:val="18"/>
                <w:szCs w:val="18"/>
                <w:color w:val="auto"/>
              </w:rPr>
              <w:t>92064</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18"/>
        </w:trPr>
        <w:tc>
          <w:tcPr>
            <w:tcW w:w="8000" w:type="dxa"/>
            <w:vAlign w:val="bottom"/>
            <w:gridSpan w:val="6"/>
          </w:tcPr>
          <w:p>
            <w:pPr>
              <w:ind w:left="1000"/>
              <w:spacing w:after="0"/>
              <w:rPr>
                <w:sz w:val="20"/>
                <w:szCs w:val="20"/>
                <w:color w:val="auto"/>
              </w:rPr>
            </w:pPr>
            <w:r>
              <w:rPr>
                <w:rFonts w:ascii="Arial" w:cs="Arial" w:eastAsia="Arial" w:hAnsi="Arial"/>
                <w:sz w:val="18"/>
                <w:szCs w:val="18"/>
                <w:color w:val="auto"/>
              </w:rPr>
              <w:t>Registrant’s telephone number, including area code:</w:t>
            </w:r>
          </w:p>
        </w:tc>
        <w:tc>
          <w:tcPr>
            <w:tcW w:w="3420" w:type="dxa"/>
            <w:vAlign w:val="bottom"/>
          </w:tcPr>
          <w:p>
            <w:pPr>
              <w:jc w:val="right"/>
              <w:ind w:right="2230"/>
              <w:spacing w:after="0"/>
              <w:rPr>
                <w:sz w:val="20"/>
                <w:szCs w:val="20"/>
                <w:color w:val="auto"/>
              </w:rPr>
            </w:pPr>
            <w:r>
              <w:rPr>
                <w:rFonts w:ascii="Arial" w:cs="Arial" w:eastAsia="Arial" w:hAnsi="Arial"/>
                <w:sz w:val="18"/>
                <w:szCs w:val="18"/>
                <w:color w:val="auto"/>
                <w:w w:val="96"/>
              </w:rPr>
              <w:t>858-848-8100</w:t>
            </w: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
          </w:tcPr>
          <w:p>
            <w:pPr>
              <w:jc w:val="center"/>
              <w:ind w:right="600"/>
              <w:spacing w:after="0"/>
              <w:rPr>
                <w:sz w:val="20"/>
                <w:szCs w:val="20"/>
                <w:color w:val="auto"/>
              </w:rPr>
            </w:pPr>
            <w:r>
              <w:rPr>
                <w:rFonts w:ascii="Arial" w:cs="Arial" w:eastAsia="Arial" w:hAnsi="Arial"/>
                <w:sz w:val="18"/>
                <w:szCs w:val="18"/>
                <w:color w:val="auto"/>
                <w:w w:val="94"/>
              </w:rPr>
              <w:t>Not Applicable</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560" w:type="dxa"/>
            <w:vAlign w:val="bottom"/>
            <w:vMerge w:val="restart"/>
          </w:tcPr>
          <w:p>
            <w:pPr>
              <w:ind w:left="120"/>
              <w:spacing w:after="0"/>
              <w:rPr>
                <w:sz w:val="20"/>
                <w:szCs w:val="20"/>
                <w:color w:val="auto"/>
              </w:rPr>
            </w:pPr>
            <w:r>
              <w:rPr>
                <w:rFonts w:ascii="Arial" w:cs="Arial" w:eastAsia="Arial" w:hAnsi="Arial"/>
                <w:sz w:val="18"/>
                <w:szCs w:val="18"/>
                <w:color w:val="auto"/>
                <w:w w:val="72"/>
              </w:rPr>
              <w:t>Former</w:t>
            </w:r>
          </w:p>
        </w:tc>
        <w:tc>
          <w:tcPr>
            <w:tcW w:w="3420" w:type="dxa"/>
            <w:vAlign w:val="bottom"/>
            <w:tcBorders>
              <w:bottom w:val="single" w:sz="8" w:color="auto"/>
            </w:tcBorders>
            <w:gridSpan w:val="2"/>
          </w:tcPr>
          <w:p>
            <w:pPr>
              <w:spacing w:after="0"/>
              <w:rPr>
                <w:sz w:val="18"/>
                <w:szCs w:val="18"/>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8"/>
                <w:szCs w:val="18"/>
                <w:color w:val="auto"/>
              </w:rPr>
              <w:t>report</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3420" w:type="dxa"/>
            <w:vAlign w:val="bottom"/>
            <w:gridSpan w:val="2"/>
          </w:tcPr>
          <w:p>
            <w:pPr>
              <w:ind w:left="140"/>
              <w:spacing w:after="0"/>
              <w:rPr>
                <w:sz w:val="20"/>
                <w:szCs w:val="20"/>
                <w:color w:val="auto"/>
              </w:rPr>
            </w:pPr>
            <w:r>
              <w:rPr>
                <w:rFonts w:ascii="Arial" w:cs="Arial" w:eastAsia="Arial" w:hAnsi="Arial"/>
                <w:sz w:val="18"/>
                <w:szCs w:val="18"/>
                <w:color w:val="auto"/>
                <w:w w:val="89"/>
              </w:rPr>
              <w:t>name or former address, if changed since last</w:t>
            </w:r>
          </w:p>
        </w:tc>
        <w:tc>
          <w:tcPr>
            <w:tcW w:w="580" w:type="dxa"/>
            <w:vAlign w:val="bottom"/>
            <w:gridSpan w:val="2"/>
            <w:vMerge w:val="continue"/>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 Appointment of New Director</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18, 2018, the Board of Directors (the “Board”) of Cohu, Inc. (“Cohu”) increased the size of the Board from eight to nine directors and filled the newly created vacancy on the Board by appointing Ritu Favre to join the Board as a Class 1 director whose term will expire at Cohu’s 2020 annual meeting of stockholders. Ms. Favre was also appointed to the Compensation Committee. Such increase and appointment are effective as of January 2, 2019. There is no arrangement or understanding between Ms. Favre and Cohu or any other person pursuant to which she was selected as a director.</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Ms. Favre will be compensated in accordance with the director compensation program as described in Cohu’s definitive Proxy Statement filed with the Securities and Exchange Commission (the “SEC”) on April 3, 2018, the description of which is incorporated herein by reference;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2019 the Board has increased the annual cash retainer to $60,000, paid in quarterly installments, and increased the total value of the director annual restricted stock unit (“RSU”) grant to $125,000. For the pro-rated period from appointment to the next scheduled director annual equity grant, Ms. Favre will receive RSUs with a total value of $43,151.</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Ms. Favre was provided, and is expected to sign, Cohu’s standard form of indemnification agreement for directors, which is attached as Exhibit 10.1 to Cohu’s Form 8-K filed with the SEC on December 13,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relating to this announcement is being furnished as Exhibit 99.1 to this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1008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7"/>
          <w:szCs w:val="17"/>
          <w:color w:val="auto"/>
        </w:rPr>
      </w:pPr>
      <w:r>
        <w:rPr>
          <w:rFonts w:ascii="Arial" w:cs="Arial" w:eastAsia="Arial" w:hAnsi="Arial"/>
          <w:sz w:val="18"/>
          <w:szCs w:val="18"/>
          <w:color w:val="auto"/>
        </w:rPr>
        <w:t>Description - Cohu Appoints Ritu Favre to its Board of Directors, dated December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0" w:type="dxa"/>
            <w:vAlign w:val="bottom"/>
          </w:tcPr>
          <w:p>
            <w:pPr>
              <w:ind w:left="3440"/>
              <w:spacing w:after="0"/>
              <w:rPr>
                <w:sz w:val="20"/>
                <w:szCs w:val="20"/>
                <w:color w:val="auto"/>
              </w:rPr>
            </w:pPr>
            <w:r>
              <w:rPr>
                <w:rFonts w:ascii="Arial" w:cs="Arial" w:eastAsia="Arial" w:hAnsi="Arial"/>
                <w:sz w:val="18"/>
                <w:szCs w:val="18"/>
                <w:b w:val="1"/>
                <w:bCs w:val="1"/>
                <w:color w:val="auto"/>
              </w:rPr>
              <w:t>Index of Exhibits</w:t>
            </w:r>
          </w:p>
        </w:tc>
      </w:tr>
      <w:tr>
        <w:trPr>
          <w:trHeight w:val="414"/>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234"/>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w:t>
            </w:r>
          </w:p>
        </w:tc>
        <w:tc>
          <w:tcPr>
            <w:tcW w:w="780" w:type="dxa"/>
            <w:vAlign w:val="bottom"/>
          </w:tcPr>
          <w:p>
            <w:pPr>
              <w:spacing w:after="0"/>
              <w:rPr>
                <w:sz w:val="20"/>
                <w:szCs w:val="20"/>
                <w:color w:val="auto"/>
              </w:rPr>
            </w:pPr>
          </w:p>
        </w:tc>
        <w:tc>
          <w:tcPr>
            <w:tcW w:w="980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6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Cohu Appoints Ritu Favre to its Board of Directors, dated December 19,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Date: December 19, 2018</w:t>
            </w:r>
          </w:p>
        </w:tc>
        <w:tc>
          <w:tcPr>
            <w:tcW w:w="7660" w:type="dxa"/>
            <w:vAlign w:val="bottom"/>
            <w:gridSpan w:val="2"/>
          </w:tcPr>
          <w:p>
            <w:pPr>
              <w:ind w:left="1900"/>
              <w:spacing w:after="0"/>
              <w:rPr>
                <w:sz w:val="20"/>
                <w:szCs w:val="20"/>
                <w:color w:val="auto"/>
              </w:rPr>
            </w:pPr>
            <w:r>
              <w:rPr>
                <w:rFonts w:ascii="Arial" w:cs="Arial" w:eastAsia="Arial" w:hAnsi="Arial"/>
                <w:sz w:val="18"/>
                <w:szCs w:val="18"/>
                <w:color w:val="auto"/>
              </w:rPr>
              <w:t>Cohu, Inc.</w:t>
            </w:r>
          </w:p>
        </w:tc>
      </w:tr>
      <w:tr>
        <w:trPr>
          <w:trHeight w:val="216"/>
        </w:trPr>
        <w:tc>
          <w:tcPr>
            <w:tcW w:w="3760" w:type="dxa"/>
            <w:vAlign w:val="bottom"/>
          </w:tcPr>
          <w:p>
            <w:pPr>
              <w:spacing w:after="0"/>
              <w:rPr>
                <w:sz w:val="18"/>
                <w:szCs w:val="18"/>
                <w:color w:val="auto"/>
              </w:rPr>
            </w:pPr>
          </w:p>
        </w:tc>
        <w:tc>
          <w:tcPr>
            <w:tcW w:w="7660" w:type="dxa"/>
            <w:vAlign w:val="bottom"/>
            <w:gridSpan w:val="2"/>
          </w:tcPr>
          <w:p>
            <w:pPr>
              <w:ind w:left="1900"/>
              <w:spacing w:after="0"/>
              <w:rPr>
                <w:sz w:val="20"/>
                <w:szCs w:val="20"/>
                <w:color w:val="auto"/>
              </w:rPr>
            </w:pPr>
            <w:r>
              <w:rPr>
                <w:rFonts w:ascii="Arial" w:cs="Arial" w:eastAsia="Arial" w:hAnsi="Arial"/>
                <w:sz w:val="18"/>
                <w:szCs w:val="18"/>
                <w:color w:val="auto"/>
              </w:rPr>
              <w:t>By:</w:t>
            </w:r>
          </w:p>
        </w:tc>
      </w:tr>
      <w:tr>
        <w:trPr>
          <w:trHeight w:val="230"/>
        </w:trPr>
        <w:tc>
          <w:tcPr>
            <w:tcW w:w="3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 Kampfer</w:t>
            </w:r>
          </w:p>
        </w:tc>
      </w:tr>
      <w:tr>
        <w:trPr>
          <w:trHeight w:val="195"/>
        </w:trPr>
        <w:tc>
          <w:tcPr>
            <w:tcW w:w="3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Name:Thomas D. Kampfer</w:t>
            </w:r>
          </w:p>
        </w:tc>
      </w:tr>
      <w:tr>
        <w:trPr>
          <w:trHeight w:val="216"/>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Title: Vice President, Corporate Development, General Counsel and</w:t>
            </w:r>
          </w:p>
        </w:tc>
      </w:tr>
      <w:tr>
        <w:trPr>
          <w:trHeight w:val="230"/>
        </w:trPr>
        <w:tc>
          <w:tcPr>
            <w:tcW w:w="3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80" w:type="dxa"/>
            <w:vAlign w:val="bottom"/>
          </w:tcPr>
          <w:p>
            <w:pPr>
              <w:ind w:left="48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3173095" cy="1500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30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Appoints Ritu Favre to its Board of Directors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POWAY, Calif., December 19, 2019 -- Cohu, Inc. (NASDAQ: COHU), a leading supplier of back-end semiconductor equipment, today announced that Ritu Favre has been appointed to the Cohu Board of Directors, effective January 2, 2019. The appointment will increase the size of the Cohu Board of Directors to nine members.</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Ms. Favre currently serves as Chief Executive Officer of NEXT Biometrics ASA (Oslo Bors: NEXT), a supplier of fingerprint recognition sensors, a position she has held since February 2017. She previously served as Senior Vice President and General Manager, Biometrics Products Division at Synaptics Incorporated from 2014 to 2016. Prior to Synaptics, she was Senior Vice President and General Manager, RF Division at Freescale Semiconductor, Inc. from 2012 to 2014. She also held several product, operations and supply chain management positions at Freescale and Motorola, Inc. from 1988 until 2012.</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pleased to add Ritu to Cohu’s Board of Directors. She is a proven senior executive, with significant experience in the semiconductor industry. We look forward to being able to draw upon her expertise,” said James A. Donahue, Chairman of the Board.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Yerganian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(781) 467-5063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rich.yerganian@cohu.com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2019-12-28T17:14:49Z</dcterms:created>
  <dcterms:modified xsi:type="dcterms:W3CDTF">2019-12-28T17:14:49Z</dcterms:modified>
</cp:coreProperties>
</file>