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Jeffrey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Sr. VP Finance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POWAY</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30,333</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315,682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45,500</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361,182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3,283</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357,899</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three equal annual installments beginning March 11, 2026 (assuming continued employment).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vest only after the achievement of specified performance goals (total shareholder return). Provided such goals are achieved and subject to continued employment through the vesting date, vesting is scheduled to occur in full on the third anniversary of the date of the grant (March 11, 2028).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172,800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Luis Muller,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572"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2025-03-13T19:16:48Z</dcterms:created>
  <dcterms:modified xsi:type="dcterms:W3CDTF">2025-03-13T19:16:48Z</dcterms:modified>
</cp:coreProperties>
</file>