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jc w:val="center"/>
        <w:ind w:right="-1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November 5, 2018</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4160" w:type="dxa"/>
            <w:vAlign w:val="bottom"/>
          </w:tcPr>
          <w:p>
            <w:pPr>
              <w:jc w:val="center"/>
              <w:ind w:right="310"/>
              <w:spacing w:after="0"/>
              <w:rPr>
                <w:sz w:val="20"/>
                <w:szCs w:val="20"/>
                <w:color w:val="auto"/>
              </w:rPr>
            </w:pPr>
            <w:r>
              <w:rPr>
                <w:rFonts w:ascii="Arial" w:cs="Arial" w:eastAsia="Arial" w:hAnsi="Arial"/>
                <w:sz w:val="18"/>
                <w:szCs w:val="18"/>
                <w:color w:val="auto"/>
                <w:w w:val="90"/>
              </w:rPr>
              <w:t>(Exact name of registrant as specified in its charter)</w:t>
            </w:r>
          </w:p>
        </w:tc>
        <w:tc>
          <w:tcPr>
            <w:tcW w:w="2360" w:type="dxa"/>
            <w:vAlign w:val="bottom"/>
          </w:tcPr>
          <w:p>
            <w:pPr>
              <w:spacing w:after="0"/>
              <w:rPr>
                <w:sz w:val="20"/>
                <w:szCs w:val="20"/>
                <w:color w:val="auto"/>
              </w:rPr>
            </w:pPr>
          </w:p>
        </w:tc>
      </w:tr>
      <w:tr>
        <w:trPr>
          <w:trHeight w:val="418"/>
        </w:trPr>
        <w:tc>
          <w:tcPr>
            <w:tcW w:w="32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160" w:type="dxa"/>
            <w:vAlign w:val="bottom"/>
          </w:tcPr>
          <w:p>
            <w:pPr>
              <w:jc w:val="right"/>
              <w:ind w:right="1350"/>
              <w:spacing w:after="0"/>
              <w:rPr>
                <w:sz w:val="20"/>
                <w:szCs w:val="20"/>
                <w:color w:val="auto"/>
              </w:rPr>
            </w:pPr>
            <w:r>
              <w:rPr>
                <w:rFonts w:ascii="Arial" w:cs="Arial" w:eastAsia="Arial" w:hAnsi="Arial"/>
                <w:sz w:val="18"/>
                <w:szCs w:val="18"/>
                <w:color w:val="auto"/>
              </w:rPr>
              <w:t>001-04298</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89"/>
              </w:rPr>
              <w:t>95-1934119</w:t>
            </w:r>
          </w:p>
        </w:tc>
      </w:tr>
      <w:tr>
        <w:trPr>
          <w:trHeight w:val="216"/>
        </w:trPr>
        <w:tc>
          <w:tcPr>
            <w:tcW w:w="3260" w:type="dxa"/>
            <w:vAlign w:val="bottom"/>
          </w:tcPr>
          <w:p>
            <w:pPr>
              <w:jc w:val="right"/>
              <w:ind w:right="610"/>
              <w:spacing w:after="0"/>
              <w:rPr>
                <w:sz w:val="20"/>
                <w:szCs w:val="20"/>
                <w:color w:val="auto"/>
              </w:rPr>
            </w:pPr>
            <w:r>
              <w:rPr>
                <w:rFonts w:ascii="Arial" w:cs="Arial" w:eastAsia="Arial" w:hAnsi="Arial"/>
                <w:sz w:val="18"/>
                <w:szCs w:val="18"/>
                <w:color w:val="auto"/>
              </w:rPr>
              <w:t>_____________________</w:t>
            </w:r>
          </w:p>
        </w:tc>
        <w:tc>
          <w:tcPr>
            <w:tcW w:w="4160" w:type="dxa"/>
            <w:vAlign w:val="bottom"/>
          </w:tcPr>
          <w:p>
            <w:pPr>
              <w:jc w:val="right"/>
              <w:ind w:right="1150"/>
              <w:spacing w:after="0"/>
              <w:rPr>
                <w:sz w:val="20"/>
                <w:szCs w:val="20"/>
                <w:color w:val="auto"/>
              </w:rPr>
            </w:pPr>
            <w:r>
              <w:rPr>
                <w:rFonts w:ascii="Arial" w:cs="Arial" w:eastAsia="Arial" w:hAnsi="Arial"/>
                <w:sz w:val="18"/>
                <w:szCs w:val="18"/>
                <w:color w:val="auto"/>
              </w:rPr>
              <w:t>_____________</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89"/>
              </w:rPr>
              <w:t>______________</w:t>
            </w:r>
          </w:p>
        </w:tc>
      </w:tr>
      <w:tr>
        <w:trPr>
          <w:trHeight w:val="216"/>
        </w:trPr>
        <w:tc>
          <w:tcPr>
            <w:tcW w:w="32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4160" w:type="dxa"/>
            <w:vAlign w:val="bottom"/>
          </w:tcPr>
          <w:p>
            <w:pPr>
              <w:ind w:left="1840"/>
              <w:spacing w:after="0"/>
              <w:rPr>
                <w:sz w:val="20"/>
                <w:szCs w:val="20"/>
                <w:color w:val="auto"/>
              </w:rPr>
            </w:pPr>
            <w:r>
              <w:rPr>
                <w:rFonts w:ascii="Arial" w:cs="Arial" w:eastAsia="Arial" w:hAnsi="Arial"/>
                <w:sz w:val="18"/>
                <w:szCs w:val="18"/>
                <w:color w:val="auto"/>
              </w:rPr>
              <w:t>(Commission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4160" w:type="dxa"/>
            <w:vAlign w:val="bottom"/>
          </w:tcPr>
          <w:p>
            <w:pPr>
              <w:ind w:left="1840"/>
              <w:spacing w:after="0"/>
              <w:rPr>
                <w:sz w:val="20"/>
                <w:szCs w:val="20"/>
                <w:color w:val="auto"/>
              </w:rPr>
            </w:pPr>
            <w:r>
              <w:rPr>
                <w:rFonts w:ascii="Arial" w:cs="Arial" w:eastAsia="Arial" w:hAnsi="Arial"/>
                <w:sz w:val="18"/>
                <w:szCs w:val="18"/>
                <w:color w:val="auto"/>
              </w:rPr>
              <w:t>File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260" w:type="dxa"/>
            <w:vAlign w:val="bottom"/>
          </w:tcPr>
          <w:p>
            <w:pPr>
              <w:jc w:val="center"/>
              <w:spacing w:after="0"/>
              <w:rPr>
                <w:sz w:val="20"/>
                <w:szCs w:val="20"/>
                <w:color w:val="auto"/>
              </w:rPr>
            </w:pPr>
            <w:r>
              <w:rPr>
                <w:rFonts w:ascii="Arial" w:cs="Arial" w:eastAsia="Arial" w:hAnsi="Arial"/>
                <w:sz w:val="18"/>
                <w:szCs w:val="18"/>
                <w:color w:val="auto"/>
                <w:w w:val="91"/>
              </w:rPr>
              <w:t>12367 Crosthwaite Circle, Poway, California</w:t>
            </w:r>
          </w:p>
        </w:tc>
        <w:tc>
          <w:tcPr>
            <w:tcW w:w="4160" w:type="dxa"/>
            <w:vAlign w:val="bottom"/>
          </w:tcPr>
          <w:p>
            <w:pPr>
              <w:spacing w:after="0"/>
              <w:rPr>
                <w:sz w:val="24"/>
                <w:szCs w:val="24"/>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92064</w:t>
            </w:r>
          </w:p>
        </w:tc>
      </w:tr>
      <w:tr>
        <w:trPr>
          <w:trHeight w:val="216"/>
        </w:trPr>
        <w:tc>
          <w:tcPr>
            <w:tcW w:w="3260" w:type="dxa"/>
            <w:vAlign w:val="bottom"/>
          </w:tcPr>
          <w:p>
            <w:pPr>
              <w:jc w:val="right"/>
              <w:ind w:right="70"/>
              <w:spacing w:after="0"/>
              <w:rPr>
                <w:sz w:val="20"/>
                <w:szCs w:val="20"/>
                <w:color w:val="auto"/>
              </w:rPr>
            </w:pPr>
            <w:r>
              <w:rPr>
                <w:rFonts w:ascii="Arial" w:cs="Arial" w:eastAsia="Arial" w:hAnsi="Arial"/>
                <w:sz w:val="18"/>
                <w:szCs w:val="18"/>
                <w:color w:val="auto"/>
                <w:w w:val="93"/>
              </w:rPr>
              <w:t>_________________________________</w:t>
            </w:r>
          </w:p>
        </w:tc>
        <w:tc>
          <w:tcPr>
            <w:tcW w:w="416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88"/>
              </w:rPr>
              <w:t>___________</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432"/>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Registrant’s telephone number, including area code:</w:t>
            </w:r>
          </w:p>
        </w:tc>
        <w:tc>
          <w:tcPr>
            <w:tcW w:w="2360" w:type="dxa"/>
            <w:vAlign w:val="bottom"/>
          </w:tcPr>
          <w:p>
            <w:pPr>
              <w:jc w:val="right"/>
              <w:ind w:right="830"/>
              <w:spacing w:after="0"/>
              <w:rPr>
                <w:sz w:val="20"/>
                <w:szCs w:val="20"/>
                <w:color w:val="auto"/>
              </w:rPr>
            </w:pPr>
            <w:r>
              <w:rPr>
                <w:rFonts w:ascii="Arial" w:cs="Arial" w:eastAsia="Arial" w:hAnsi="Arial"/>
                <w:sz w:val="18"/>
                <w:szCs w:val="18"/>
                <w:color w:val="auto"/>
              </w:rPr>
              <w:t>858-848-8100</w:t>
            </w:r>
          </w:p>
        </w:tc>
      </w:tr>
      <w:tr>
        <w:trPr>
          <w:trHeight w:val="432"/>
        </w:trPr>
        <w:tc>
          <w:tcPr>
            <w:tcW w:w="3260" w:type="dxa"/>
            <w:vAlign w:val="bottom"/>
          </w:tcPr>
          <w:p>
            <w:pPr>
              <w:spacing w:after="0"/>
              <w:rPr>
                <w:sz w:val="24"/>
                <w:szCs w:val="24"/>
                <w:color w:val="auto"/>
              </w:rPr>
            </w:pPr>
          </w:p>
        </w:tc>
        <w:tc>
          <w:tcPr>
            <w:tcW w:w="4160" w:type="dxa"/>
            <w:vAlign w:val="bottom"/>
          </w:tcPr>
          <w:p>
            <w:pPr>
              <w:jc w:val="center"/>
              <w:ind w:right="330"/>
              <w:spacing w:after="0"/>
              <w:rPr>
                <w:sz w:val="20"/>
                <w:szCs w:val="20"/>
                <w:color w:val="auto"/>
              </w:rPr>
            </w:pPr>
            <w:r>
              <w:rPr>
                <w:rFonts w:ascii="Arial" w:cs="Arial" w:eastAsia="Arial" w:hAnsi="Arial"/>
                <w:sz w:val="18"/>
                <w:szCs w:val="18"/>
                <w:color w:val="auto"/>
                <w:w w:val="94"/>
              </w:rPr>
              <w:t>Not Applicable</w:t>
            </w:r>
          </w:p>
        </w:tc>
        <w:tc>
          <w:tcPr>
            <w:tcW w:w="2360" w:type="dxa"/>
            <w:vAlign w:val="bottom"/>
          </w:tcPr>
          <w:p>
            <w:pPr>
              <w:spacing w:after="0"/>
              <w:rPr>
                <w:sz w:val="24"/>
                <w:szCs w:val="24"/>
                <w:color w:val="auto"/>
              </w:rPr>
            </w:pPr>
          </w:p>
        </w:tc>
      </w:tr>
    </w:tbl>
    <w:p>
      <w:pPr>
        <w:ind w:left="364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November 5, 2018, Cohu, Inc. (the “Company”) issued a press release regarding its financial results for the third quarter ended September 29, 2018. The Company’s press release is attached as Exhibit 99.1 to this Current Report on Form 8-K and incorporated by reference herein.</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to financial results determined in accordance with generally accepted accounting principles (“GAAP”), this press release refers to financial information determined by methods other than in accordance with GAAP, including non-GAAP Gross Margin, Income, Income (adjusted earnings) per share and adjusted EBITDA percentage, that supplement the Company’s Condensed Consolidated Statements of Income prepared under generally accepted accounting principles (GAAP). These non-GAAP financial measures adjust the Company’s actual results prepared under GAAP to exclude charges and the related income tax effect for share-based compensation, the amortization of acquired intangible assets, restructuring costs, manufacturing transition costs, acquisition related costs, fair value adjustment to contingent consideration and purchase accounting inventory step-up included in cost of sales. Reconciliations of GAAP to non-GAAP amounts for the periods presented herein are provided in schedules accompanying this release and should be considered together with the Condensed Consolidated Statements of Income.</w:t>
      </w:r>
    </w:p>
    <w:p>
      <w:pPr>
        <w:spacing w:after="0" w:line="1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Certain statements contained in this release may be considered forward-looking statements within the meaning of the U.S. Private Securities Litigation Reform Act of 1995, including statements regarding the Xcerra acquisition, integration and cost synergy savings, timing and targets; market conditions in the mobility market; long-term cross-selling opportunities across our product portfolio; breadth of our product portfolio; the addressable market size; go to market strategy for China/Taiwan; growth in auto, industrial and 5G markets; growth and market size in contactor business; expected benefits of Spirox termination; Cohu’s fourth quarter 2018 sales forecast, guidance and effective tax rate;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and trade wars; ERP system implementation issues; the seasonal, volatile and unpredictable nature of capital expenditures by semiconductor manufacturers;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transaction will not be realized, (iii) litigation relating to the transaction that has been or could be instituted against Cohu and/or Xcerra, (iv) possible disruptions from the transaction that could harm Cohu’s and/or Xcerra’s respective businesses, (v) the ability of Cohu or Xcerra to retain, attract and hire key personnel, (vi) potential adverse reactions or changes to relationships with customers, employees, suppliers or other parties resulting from the completion of the acquisition,</w:t>
      </w:r>
    </w:p>
    <w:p>
      <w:pPr>
        <w:spacing w:after="0" w:line="12" w:lineRule="exact"/>
        <w:rPr>
          <w:sz w:val="20"/>
          <w:szCs w:val="20"/>
          <w:color w:val="auto"/>
        </w:rPr>
      </w:pPr>
    </w:p>
    <w:p>
      <w:pPr>
        <w:ind w:right="20" w:firstLine="8"/>
        <w:spacing w:after="0" w:line="252" w:lineRule="auto"/>
        <w:tabs>
          <w:tab w:leader="none" w:pos="3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impact to Cohu’s operating results from interest expense on the financing debt, rising interest rates, and any restrictions on operations related to such debt, and (viii) continued availability of capital and financing and rating agency actions. These and other risks and uncertainties are discussed more fully in Cohu’s filings with the Securities and Exchange Commission, including the most recently filed Form 10-K and Form 10-Q, in the Registration Statement on Form S-4 that was filed by Cohu with the SEC containing a prospectus with respect to the Cohu common stock that was issued in the transaction and the joint proxy statement of Cohu and Xcerra in connection with the transaction that is contained therein,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For press releases and other information of interest to investors, please visit Cohu’s website at www.cohu.com.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8899" w:firstLine="8"/>
        <w:spacing w:after="0" w:line="53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color w:val="auto"/>
        </w:rPr>
      </w:pPr>
      <w:r>
        <w:rPr>
          <w:rFonts w:ascii="Arial" w:cs="Arial" w:eastAsia="Arial" w:hAnsi="Arial"/>
          <w:sz w:val="18"/>
          <w:szCs w:val="18"/>
          <w:color w:val="auto"/>
        </w:rPr>
        <w:t xml:space="preserve">Description – </w:t>
      </w:r>
      <w:hyperlink w:anchor="page6">
        <w:r>
          <w:rPr>
            <w:rFonts w:ascii="Arial" w:cs="Arial" w:eastAsia="Arial" w:hAnsi="Arial"/>
            <w:sz w:val="18"/>
            <w:szCs w:val="18"/>
            <w:u w:val="single" w:color="auto"/>
            <w:color w:val="0000EE"/>
          </w:rPr>
          <w:t>Third Quarter 2018 Earnings Release, dated November 5, 2018,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900" w:type="dxa"/>
            <w:vAlign w:val="bottom"/>
          </w:tcPr>
          <w:p>
            <w:pPr>
              <w:ind w:left="2100"/>
              <w:spacing w:after="0"/>
              <w:rPr>
                <w:sz w:val="20"/>
                <w:szCs w:val="20"/>
                <w:color w:val="auto"/>
              </w:rPr>
            </w:pPr>
            <w:r>
              <w:rPr>
                <w:rFonts w:ascii="Arial" w:cs="Arial" w:eastAsia="Arial" w:hAnsi="Arial"/>
                <w:sz w:val="18"/>
                <w:szCs w:val="18"/>
                <w:color w:val="auto"/>
                <w:w w:val="95"/>
              </w:rPr>
              <w:t>Cohu, Inc.</w:t>
            </w:r>
          </w:p>
        </w:tc>
        <w:tc>
          <w:tcPr>
            <w:tcW w:w="6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i w:val="1"/>
                <w:iCs w:val="1"/>
                <w:color w:val="auto"/>
              </w:rPr>
              <w:t>November 5, 2018</w:t>
            </w:r>
          </w:p>
        </w:tc>
        <w:tc>
          <w:tcPr>
            <w:tcW w:w="2900" w:type="dxa"/>
            <w:vAlign w:val="bottom"/>
          </w:tcPr>
          <w:p>
            <w:pPr>
              <w:ind w:left="2080"/>
              <w:spacing w:after="0"/>
              <w:rPr>
                <w:sz w:val="20"/>
                <w:szCs w:val="20"/>
                <w:color w:val="auto"/>
              </w:rPr>
            </w:pPr>
            <w:r>
              <w:rPr>
                <w:rFonts w:ascii="Arial" w:cs="Arial" w:eastAsia="Arial" w:hAnsi="Arial"/>
                <w:sz w:val="18"/>
                <w:szCs w:val="18"/>
                <w:i w:val="1"/>
                <w:iCs w:val="1"/>
                <w:color w:val="auto"/>
              </w:rPr>
              <w:t>By:</w:t>
            </w:r>
          </w:p>
        </w:tc>
        <w:tc>
          <w:tcPr>
            <w:tcW w:w="60" w:type="dxa"/>
            <w:vAlign w:val="bottom"/>
          </w:tcPr>
          <w:p>
            <w:pPr>
              <w:spacing w:after="0"/>
              <w:rPr>
                <w:sz w:val="24"/>
                <w:szCs w:val="24"/>
                <w:color w:val="auto"/>
              </w:rPr>
            </w:pPr>
          </w:p>
        </w:tc>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 Jeffrey D. Jones</w:t>
            </w:r>
          </w:p>
        </w:tc>
      </w:tr>
      <w:tr>
        <w:trPr>
          <w:trHeight w:val="195"/>
        </w:trPr>
        <w:tc>
          <w:tcPr>
            <w:tcW w:w="3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i w:val="1"/>
                <w:iCs w:val="1"/>
                <w:color w:val="auto"/>
              </w:rPr>
              <w:t>Name: Jeffrey D. Jones</w:t>
            </w:r>
          </w:p>
        </w:tc>
      </w:tr>
      <w:tr>
        <w:trPr>
          <w:trHeight w:val="230"/>
        </w:trPr>
        <w:tc>
          <w:tcPr>
            <w:tcW w:w="3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20" w:type="dxa"/>
            <w:vAlign w:val="bottom"/>
            <w:gridSpan w:val="2"/>
          </w:tcPr>
          <w:p>
            <w:pPr>
              <w:ind w:left="60"/>
              <w:spacing w:after="0"/>
              <w:rPr>
                <w:sz w:val="20"/>
                <w:szCs w:val="20"/>
                <w:color w:val="auto"/>
              </w:rPr>
            </w:pPr>
            <w:r>
              <w:rPr>
                <w:rFonts w:ascii="Arial" w:cs="Arial" w:eastAsia="Arial" w:hAnsi="Arial"/>
                <w:sz w:val="18"/>
                <w:szCs w:val="18"/>
                <w:i w:val="1"/>
                <w:iCs w:val="1"/>
                <w:color w:val="auto"/>
              </w:rPr>
              <w:t>Title: VP Finance and Chief Financial Officer</w:t>
            </w:r>
          </w:p>
        </w:tc>
      </w:tr>
      <w:tr>
        <w:trPr>
          <w:trHeight w:val="574"/>
        </w:trPr>
        <w:tc>
          <w:tcPr>
            <w:tcW w:w="34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8360" w:type="dxa"/>
            <w:vAlign w:val="bottom"/>
            <w:gridSpan w:val="3"/>
          </w:tcPr>
          <w:p>
            <w:pPr>
              <w:ind w:left="2160"/>
              <w:spacing w:after="0"/>
              <w:rPr>
                <w:sz w:val="20"/>
                <w:szCs w:val="20"/>
                <w:color w:val="auto"/>
              </w:rPr>
            </w:pPr>
            <w:r>
              <w:rPr>
                <w:rFonts w:ascii="Arial" w:cs="Arial" w:eastAsia="Arial" w:hAnsi="Arial"/>
                <w:sz w:val="18"/>
                <w:szCs w:val="18"/>
                <w:color w:val="auto"/>
              </w:rPr>
              <w:t>Exhibit Index</w:t>
            </w:r>
          </w:p>
        </w:tc>
      </w:tr>
      <w:tr>
        <w:trPr>
          <w:trHeight w:val="648"/>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4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3060" w:type="dxa"/>
            <w:vAlign w:val="bottom"/>
          </w:tcPr>
          <w:p>
            <w:pPr>
              <w:spacing w:after="0"/>
              <w:rPr>
                <w:sz w:val="20"/>
                <w:szCs w:val="20"/>
                <w:color w:val="auto"/>
              </w:rPr>
            </w:pPr>
            <w:r>
              <w:rPr>
                <w:rFonts w:ascii="Arial" w:cs="Arial" w:eastAsia="Arial" w:hAnsi="Arial"/>
                <w:sz w:val="18"/>
                <w:szCs w:val="18"/>
                <w:color w:val="auto"/>
              </w:rPr>
              <w:t>99.1</w:t>
            </w:r>
          </w:p>
        </w:tc>
        <w:tc>
          <w:tcPr>
            <w:tcW w:w="2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tcPr>
          <w:p>
            <w:pPr>
              <w:ind w:left="60"/>
              <w:spacing w:after="0"/>
              <w:rPr>
                <w:sz w:val="20"/>
                <w:szCs w:val="20"/>
                <w:color w:val="auto"/>
              </w:rPr>
            </w:pPr>
            <w:r>
              <w:rPr>
                <w:rFonts w:ascii="Arial" w:cs="Arial" w:eastAsia="Arial" w:hAnsi="Arial"/>
                <w:sz w:val="18"/>
                <w:szCs w:val="18"/>
                <w:color w:val="auto"/>
                <w:w w:val="98"/>
              </w:rPr>
              <w:t>Third Quarter 2018 Earnings Release, dated November 5, 2018, of</w:t>
            </w:r>
          </w:p>
        </w:tc>
      </w:tr>
      <w:tr>
        <w:trPr>
          <w:trHeight w:val="230"/>
        </w:trPr>
        <w:tc>
          <w:tcPr>
            <w:tcW w:w="30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Arial" w:cs="Arial" w:eastAsia="Arial" w:hAnsi="Arial"/>
                <w:sz w:val="18"/>
                <w:szCs w:val="18"/>
                <w:color w:val="auto"/>
              </w:rPr>
              <w:t>Cohu, Inc.</w:t>
            </w:r>
          </w:p>
        </w:tc>
      </w:tr>
    </w:tbl>
    <w:p>
      <w:pPr>
        <w:sectPr>
          <w:pgSz w:w="11900" w:h="16838" w:orient="portrait"/>
          <w:cols w:equalWidth="0" w:num="1">
            <w:col w:w="11420"/>
          </w:cols>
          <w:pgMar w:left="240" w:top="584" w:right="239"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169545</wp:posOffset>
            </wp:positionV>
            <wp:extent cx="3173095" cy="1500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30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Third Quarter 2018 Results</w:t>
      </w:r>
    </w:p>
    <w:p>
      <w:pPr>
        <w:spacing w:after="0" w:line="229" w:lineRule="exact"/>
        <w:rPr>
          <w:sz w:val="20"/>
          <w:szCs w:val="20"/>
          <w:color w:val="auto"/>
        </w:rPr>
      </w:pPr>
    </w:p>
    <w:p>
      <w:pPr>
        <w:ind w:left="480" w:hanging="229"/>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Sales of $281 million in the first nine months of 2018, up 5% year-over-year</w:t>
      </w:r>
    </w:p>
    <w:p>
      <w:pPr>
        <w:spacing w:after="0" w:line="225" w:lineRule="exact"/>
        <w:rPr>
          <w:rFonts w:ascii="Arial" w:cs="Arial" w:eastAsia="Arial" w:hAnsi="Arial"/>
          <w:sz w:val="18"/>
          <w:szCs w:val="18"/>
          <w:i w:val="1"/>
          <w:iCs w:val="1"/>
          <w:color w:val="auto"/>
        </w:rPr>
      </w:pPr>
    </w:p>
    <w:p>
      <w:pPr>
        <w:ind w:left="480" w:hanging="229"/>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GAAP gross margin of 39.9%; non-GAAP gross margin of 40.8%</w:t>
      </w:r>
    </w:p>
    <w:p>
      <w:pPr>
        <w:spacing w:after="0" w:line="225" w:lineRule="exact"/>
        <w:rPr>
          <w:rFonts w:ascii="Arial" w:cs="Arial" w:eastAsia="Arial" w:hAnsi="Arial"/>
          <w:sz w:val="18"/>
          <w:szCs w:val="18"/>
          <w:i w:val="1"/>
          <w:iCs w:val="1"/>
          <w:color w:val="auto"/>
        </w:rPr>
      </w:pPr>
    </w:p>
    <w:p>
      <w:pPr>
        <w:ind w:left="480" w:hanging="229"/>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GAAP earnings per share of $0.16; non-GAAP adjusted earnings per share of $0.30</w:t>
      </w:r>
    </w:p>
    <w:p>
      <w:pPr>
        <w:spacing w:after="0" w:line="225" w:lineRule="exact"/>
        <w:rPr>
          <w:rFonts w:ascii="Arial" w:cs="Arial" w:eastAsia="Arial" w:hAnsi="Arial"/>
          <w:sz w:val="18"/>
          <w:szCs w:val="18"/>
          <w:i w:val="1"/>
          <w:iCs w:val="1"/>
          <w:color w:val="auto"/>
        </w:rPr>
      </w:pPr>
    </w:p>
    <w:p>
      <w:pPr>
        <w:ind w:left="480" w:hanging="229"/>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Recently completed the acquisition of Xcerra and already implemented $9.1 million annual run rate cost synergies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POWAY, Calif., November 5, 2018 -- Cohu, Inc. (NASDAQ: COHU), a leading supplier of semiconductor equipment, today reported fiscal 2018 third quarter net sales of $86.2 million and GAAP income of $4.8 million or $0.16 per share. Net sales for the first nine months of 2018 were $281.1 million and GAAP income was $24.6 million or $0.83 per share. </w:t>
      </w:r>
      <w:r>
        <w:rPr>
          <w:rFonts w:ascii="Arial" w:cs="Arial" w:eastAsia="Arial" w:hAnsi="Arial"/>
          <w:sz w:val="30"/>
          <w:szCs w:val="30"/>
          <w:color w:val="auto"/>
          <w:vertAlign w:val="superscript"/>
        </w:rPr>
        <w:t>(1)</w:t>
      </w:r>
    </w:p>
    <w:p>
      <w:pPr>
        <w:spacing w:after="0" w:line="54"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 xml:space="preserve">Cohu also reported non-GAAP results, with third quarter 2018 income of $9.0 million or $0.30 per share and income of $38.3 million or $1.29 per share for the first nine months of 2018. </w:t>
      </w:r>
      <w:r>
        <w:rPr>
          <w:rFonts w:ascii="Arial" w:cs="Arial" w:eastAsia="Arial" w:hAnsi="Arial"/>
          <w:sz w:val="30"/>
          <w:szCs w:val="30"/>
          <w:color w:val="auto"/>
          <w:vertAlign w:val="superscript"/>
        </w:rPr>
        <w:t>(1)</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70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30"/>
                <w:szCs w:val="30"/>
                <w:b w:val="1"/>
                <w:bCs w:val="1"/>
                <w:color w:val="auto"/>
                <w:vertAlign w:val="superscript"/>
              </w:rPr>
              <w:t>(1)</w:t>
            </w: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6"/>
              </w:rPr>
              <w:t>Q3 FY</w:t>
            </w: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Q2 FY</w:t>
            </w: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6"/>
              </w:rPr>
              <w:t>Q3 FY</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9 Months</w:t>
            </w: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9 Months</w:t>
            </w:r>
          </w:p>
        </w:tc>
        <w:tc>
          <w:tcPr>
            <w:tcW w:w="0" w:type="dxa"/>
            <w:vAlign w:val="bottom"/>
          </w:tcPr>
          <w:p>
            <w:pPr>
              <w:spacing w:after="0"/>
              <w:rPr>
                <w:sz w:val="1"/>
                <w:szCs w:val="1"/>
                <w:color w:val="auto"/>
              </w:rPr>
            </w:pPr>
          </w:p>
        </w:tc>
      </w:tr>
      <w:tr>
        <w:trPr>
          <w:trHeight w:val="60"/>
        </w:trPr>
        <w:tc>
          <w:tcPr>
            <w:tcW w:w="47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70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Income per share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0.39</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0.83</w:t>
            </w: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47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30"/>
                <w:szCs w:val="30"/>
                <w:b w:val="1"/>
                <w:bCs w:val="1"/>
                <w:color w:val="auto"/>
                <w:vertAlign w:val="superscript"/>
              </w:rPr>
              <w:t>(1)</w:t>
            </w:r>
          </w:p>
        </w:tc>
        <w:tc>
          <w:tcPr>
            <w:tcW w:w="200" w:type="dxa"/>
            <w:vAlign w:val="bottom"/>
          </w:tcPr>
          <w:p>
            <w:pPr>
              <w:spacing w:after="0"/>
              <w:rPr>
                <w:sz w:val="24"/>
                <w:szCs w:val="2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6"/>
              </w:rPr>
              <w:t>Q3 FY</w:t>
            </w:r>
          </w:p>
        </w:tc>
        <w:tc>
          <w:tcPr>
            <w:tcW w:w="200" w:type="dxa"/>
            <w:vAlign w:val="bottom"/>
          </w:tcPr>
          <w:p>
            <w:pPr>
              <w:spacing w:after="0"/>
              <w:rPr>
                <w:sz w:val="24"/>
                <w:szCs w:val="2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Q2 FY</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6"/>
              </w:rPr>
              <w:t>Q3 FY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9 Months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9 Months</w:t>
            </w:r>
          </w:p>
        </w:tc>
        <w:tc>
          <w:tcPr>
            <w:tcW w:w="0" w:type="dxa"/>
            <w:vAlign w:val="bottom"/>
          </w:tcPr>
          <w:p>
            <w:pPr>
              <w:spacing w:after="0"/>
              <w:rPr>
                <w:sz w:val="1"/>
                <w:szCs w:val="1"/>
                <w:color w:val="auto"/>
              </w:rPr>
            </w:pPr>
          </w:p>
        </w:tc>
      </w:tr>
      <w:tr>
        <w:trPr>
          <w:trHeight w:val="60"/>
        </w:trPr>
        <w:tc>
          <w:tcPr>
            <w:tcW w:w="47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70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Income per share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0.64</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0.43</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ind w:right="1820" w:firstLine="170"/>
        <w:spacing w:after="0" w:line="492" w:lineRule="auto"/>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amounts presented are from continuing operations and exclude operating results from Xcerra acquired on October 1, 2018. Total cash and investments at the end of third quarter 2018 were $171.2 million.</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Luis Müller, President and Chief Executive Officer of Cohu stated, “Cohu delivered solid 14.8% adjusted EBITDA on sales of $86 million, demonstrating the resilience of our business model despite further softening conditions in the mobility market.”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Müller continued, “With the completion of the Xcerra acquisition, Cohu is now a global leader in back-end semiconductor equipment and services and printed circuit board test, with a breadth of products that is unmatched in the industry serving an approximate $5 billion addressable market. We’ve received strong positive feedback from customers and are encouraged by the cross-selling opportunities across our product portfolio. The integration of the two companies is off to a good start and we have already implemented $9.1 million in annual run rate cost synergies. We expect to meet our initial cost synergy target of $20 million within the first two years and later achieve our goal of $40 million within three to five years.”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Cohu expects fourth quarter 2018 sales, which include Xcerra, to be between $168 million and $183 million. Cohu's Board of Directors approved a quarterly cash dividend of $0.06 per share payable on January 2, 2019 to shareholders of record on November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third quarter 2018 results at 1:30 p.m. Pacific Time/4:30 p.m. Eastern Time on November 5, 2018. Interested investors and analysts are invited to dial into the conference call by using 1-866-434-5330 (domestic) or +1-213-660-0873 (international) and entering the pass code 9996488. Webcast access is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teleconference replay will be available through December 6, 2018. The replay dial-in number is 1-855-859-2056 (domestic) or +1-404-537-3406 (international) using pass code 9996488. The webcast replay will be available on the Company’s website through November 5, 2019 at www.cohu.com.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Included within this press release are non-GAAP financial measures, including non-GAAP Gross Margin, Income, Income (adjusted earnings) per share and adjusted EBITDA percentage, that supplement the Company’s Condensed Consolidated Statements of Income prepared under generally accepted accounting principles (GAAP). These non-GAAP financial measures adjust the Company’s actual results prepared under GAAP to exclude charges and the related income tax effect for share-based compensation, the amortization of acquired intangible assets, restructuring costs, manufacturing transition costs, acquisition related costs, fair value adjustment to contingent consideration and purchase accounting inventory step-up included in cost of sales. Reconciliations of GAAP to non-GAAP amounts for the periods presented herein are provided in schedules accompanying this release and should be considered together with the Condensed Consolidated Statements of Income.</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contained in this release may be considered forward-looking statements within the meaning of the U.S. Private Securities Litigation Reform Act of 1995, including statements regarding the Xcerra acquisition, integration and cost synergy savings, timing and targets; market conditions in the mobility market; long-term cross-selling opportunities across our product portfolio; breadth of our product portfolio; the addressable market size; Cohu’s fourth quarter 2018 sales forecast, guidance and effective tax rate;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and trade wars; ERP system implementation issues; the seasonal, volatile and unpredictable nature of capital expenditures by semiconductor manufacturers;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transaction will not be realized, (iii) litigation relating to the transaction that still could be instituted against Cohu and/or Xcerra, (iv) possible disruptions from the transaction that could harm Cohu’s and/or Xcerra’s respective businesses, (v) the ability of Cohu or Xcerra to retain, attract and hire key personnel, (vi) potential adverse reactions or changes to relationships with customers, employees, suppliers or other parties resulting from the completion of the acquisition, (vii) the adverse impact to Cohu’s operating results from interest expense on the financing debt, rising interest rates, and any restrictions on operations related to such debt, and (viii) continued availability of capital and financing and rating agency actions. These and other risks and uncertainties are discussed more fully in Cohu’s filings with the Securities and Exchange Commission, including the most recently filed Form 10-K and Form 10-Q, in the Registration Statement on Form S-4 that was filed by Cohu with the SEC containing a prospectus with respect to the Cohu common stock that was issued in the transaction and the joint proxy statement of Cohu and Xcerra in connection with the transaction that is contained therein,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Yerganian, 781-467-5063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rich.yerganian@cohu.com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99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8"/>
                <w:szCs w:val="18"/>
                <w:color w:val="auto"/>
                <w:w w:val="95"/>
              </w:rPr>
              <w:t xml:space="preserve">Three Months Ended </w:t>
            </w:r>
            <w:r>
              <w:rPr>
                <w:rFonts w:ascii="Arial" w:cs="Arial" w:eastAsia="Arial" w:hAnsi="Arial"/>
                <w:sz w:val="30"/>
                <w:szCs w:val="30"/>
                <w:color w:val="auto"/>
                <w:w w:val="95"/>
                <w:vertAlign w:val="superscript"/>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8"/>
                <w:szCs w:val="18"/>
                <w:color w:val="auto"/>
              </w:rPr>
              <w:t xml:space="preserve">Nine Months Ended </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September 29,</w:t>
            </w: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86,164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93,651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281,131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and expenses: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165,701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28,851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320"/>
              <w:spacing w:after="0" w:line="243" w:lineRule="exact"/>
              <w:rPr>
                <w:sz w:val="20"/>
                <w:szCs w:val="20"/>
                <w:color w:val="auto"/>
              </w:rPr>
            </w:pPr>
            <w:r>
              <w:rPr>
                <w:rFonts w:ascii="Arial" w:cs="Arial" w:eastAsia="Arial" w:hAnsi="Arial"/>
                <w:sz w:val="17"/>
                <w:szCs w:val="17"/>
                <w:color w:val="auto"/>
              </w:rPr>
              <w:t xml:space="preserve">Selling, general and administrative </w:t>
            </w:r>
            <w:r>
              <w:rPr>
                <w:rFonts w:ascii="Arial" w:cs="Arial" w:eastAsia="Arial" w:hAnsi="Arial"/>
                <w:sz w:val="28"/>
                <w:szCs w:val="28"/>
                <w:color w:val="auto"/>
                <w:vertAlign w:val="superscript"/>
              </w:rPr>
              <w:t>(2)</w:t>
            </w: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50,926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83,233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250,541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30,590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and other, net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provision</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Loss from discontinued operations before taxes </w:t>
            </w:r>
            <w:r>
              <w:rPr>
                <w:rFonts w:ascii="Arial" w:cs="Arial" w:eastAsia="Arial" w:hAnsi="Arial"/>
                <w:sz w:val="29"/>
                <w:szCs w:val="29"/>
                <w:color w:val="auto"/>
                <w:vertAlign w:val="superscript"/>
              </w:rPr>
              <w:t>(3)</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4,803</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Income per share: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8"/>
              </w:rPr>
              <w:t xml:space="preserve">Weighted average shares used in computing income per share: </w:t>
            </w:r>
            <w:r>
              <w:rPr>
                <w:rFonts w:ascii="Arial" w:cs="Arial" w:eastAsia="Arial" w:hAnsi="Arial"/>
                <w:sz w:val="29"/>
                <w:szCs w:val="29"/>
                <w:color w:val="auto"/>
                <w:w w:val="98"/>
                <w:vertAlign w:val="superscript"/>
              </w:rPr>
              <w:t>(4)</w:t>
            </w:r>
          </w:p>
        </w:tc>
        <w:tc>
          <w:tcPr>
            <w:tcW w:w="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28,948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28,814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29,770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29,105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29,650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28,640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280" w:type="dxa"/>
            <w:vAlign w:val="bottom"/>
            <w:tcBorders>
              <w:top w:val="single" w:sz="8" w:color="CCEEFF"/>
              <w:bottom w:val="single" w:sz="8" w:color="auto"/>
            </w:tcBorders>
          </w:tcPr>
          <w:p>
            <w:pPr>
              <w:spacing w:after="0"/>
              <w:rPr>
                <w:sz w:val="3"/>
                <w:szCs w:val="3"/>
                <w:color w:val="auto"/>
              </w:rPr>
            </w:pPr>
          </w:p>
        </w:tc>
        <w:tc>
          <w:tcPr>
            <w:tcW w:w="580" w:type="dxa"/>
            <w:vAlign w:val="bottom"/>
            <w:tcBorders>
              <w:top w:val="single" w:sz="8" w:color="CCEEFF"/>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right="380" w:hanging="330"/>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three- and nine-month periods ended September 29, 2018 were comprised of 13 weeks and 39 weeks, respectively. The three- and nine-month periods ended September 30, 2017 were comprised of 14 weeks and 39 weeks, respectively. Excludes operating results from Xcerra acquired on October 1, 2018.</w:t>
      </w:r>
    </w:p>
    <w:p>
      <w:pPr>
        <w:ind w:left="500" w:right="920" w:hanging="330"/>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expense for the three- and nine-month periods ended September 29, 2018 include Xcerra transaction costs totaling $1.0 million and $5.2 million, respectively.</w:t>
      </w:r>
    </w:p>
    <w:p>
      <w:pPr>
        <w:ind w:left="500" w:right="400" w:hanging="330"/>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amounts presented result from an adjustment to the fair value of a contingent consideration receivable recorded in conjunction with the sale of BMS in 2015.</w:t>
      </w:r>
    </w:p>
    <w:p>
      <w:pPr>
        <w:ind w:left="500" w:right="180" w:hanging="330"/>
        <w:spacing w:after="0" w:line="25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198" w:lineRule="auto"/>
        <w:rPr>
          <w:sz w:val="20"/>
          <w:szCs w:val="20"/>
          <w:color w:val="auto"/>
        </w:rPr>
      </w:pPr>
      <w:r>
        <w:rPr>
          <w:rFonts w:ascii="Arial" w:cs="Arial" w:eastAsia="Arial" w:hAnsi="Arial"/>
          <w:sz w:val="18"/>
          <w:szCs w:val="18"/>
          <w:b w:val="1"/>
          <w:bCs w:val="1"/>
          <w:color w:val="auto"/>
        </w:rPr>
        <w:t xml:space="preserve">CONDENSED CONSOLIDATED BALANCE SHEETS </w:t>
      </w:r>
      <w:r>
        <w:rPr>
          <w:rFonts w:ascii="Arial" w:cs="Arial" w:eastAsia="Arial" w:hAnsi="Arial"/>
          <w:sz w:val="30"/>
          <w:szCs w:val="30"/>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September 29,</w:t>
            </w:r>
          </w:p>
        </w:tc>
        <w:tc>
          <w:tcPr>
            <w:tcW w:w="18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assets: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78,575</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63,824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322,286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32,922</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64,579</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13,512</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443,006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420,457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Deferred profit</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1,894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88,031</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89,925</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44,074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Stockholders’ equity</w:t>
            </w: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309,007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&amp; stockholders’ equity</w:t>
            </w:r>
          </w:p>
        </w:tc>
        <w:tc>
          <w:tcPr>
            <w:tcW w:w="2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443,006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Excludes impact of Xcerra acquisition that closed on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COHU, INC.</w:t>
      </w:r>
    </w:p>
    <w:p>
      <w:pPr>
        <w:spacing w:after="0" w:line="4" w:lineRule="exact"/>
        <w:rPr>
          <w:sz w:val="20"/>
          <w:szCs w:val="20"/>
          <w:color w:val="auto"/>
        </w:rPr>
      </w:pPr>
    </w:p>
    <w:p>
      <w:pPr>
        <w:ind w:right="5540"/>
        <w:spacing w:after="0" w:line="237" w:lineRule="auto"/>
        <w:rPr>
          <w:sz w:val="20"/>
          <w:szCs w:val="20"/>
          <w:color w:val="auto"/>
        </w:rPr>
      </w:pPr>
      <w:r>
        <w:rPr>
          <w:rFonts w:ascii="Arial" w:cs="Arial" w:eastAsia="Arial" w:hAnsi="Arial"/>
          <w:sz w:val="14"/>
          <w:szCs w:val="14"/>
          <w:b w:val="1"/>
          <w:bCs w:val="1"/>
          <w:color w:val="auto"/>
        </w:rPr>
        <w:t xml:space="preserve">Supplemental Reconciliation of GAAP Results to Non-GAAP Financial Measures (Unaudited) * </w:t>
      </w:r>
      <w:r>
        <w:rPr>
          <w:rFonts w:ascii="Arial" w:cs="Arial" w:eastAsia="Arial" w:hAnsi="Arial"/>
          <w:sz w:val="14"/>
          <w:szCs w:val="14"/>
          <w:i w:val="1"/>
          <w:iCs w:val="1"/>
          <w:color w:val="auto"/>
        </w:rPr>
        <w:t>(in thousands, except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Three Months Ended</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September 29,</w:t>
            </w:r>
          </w:p>
        </w:tc>
        <w:tc>
          <w:tcPr>
            <w:tcW w:w="1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June 30,</w:t>
            </w:r>
          </w:p>
        </w:tc>
        <w:tc>
          <w:tcPr>
            <w:tcW w:w="200" w:type="dxa"/>
            <w:vAlign w:val="bottom"/>
          </w:tcPr>
          <w:p>
            <w:pPr>
              <w:spacing w:after="0"/>
              <w:rPr>
                <w:sz w:val="12"/>
                <w:szCs w:val="12"/>
                <w:color w:val="auto"/>
              </w:rPr>
            </w:pPr>
          </w:p>
        </w:tc>
        <w:tc>
          <w:tcPr>
            <w:tcW w:w="14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2018</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operations - GAAP basis (a)</w:t>
            </w:r>
          </w:p>
        </w:tc>
        <w:tc>
          <w:tcPr>
            <w:tcW w:w="126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6,779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13,798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Non-GAAP adjustments: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Share-based compensation included in (b):</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Cost of sales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395</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Selling, general and administrative (SG&amp;A)</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1,401</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1,391</w:t>
            </w:r>
          </w:p>
        </w:tc>
        <w:tc>
          <w:tcPr>
            <w:tcW w:w="20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1,880</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1,948</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intangible assets included in (c):</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Cost of sales</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639</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SG&amp;A</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380</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380</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1,019</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Restructuring costs included in (d):</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SG&amp;A</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Manufacturing transition and severance costs included in SG&amp;A (e)</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Adjustment to contingent consideration included in SG&amp;A (f)</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577</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Acquisition costs included in SG&amp;A (g)</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1,034</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3,848</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Inventory step-up included in cost of sales (h)</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gridSpan w:val="2"/>
          </w:tcPr>
          <w:p>
            <w:pPr>
              <w:spacing w:after="0" w:line="142" w:lineRule="exact"/>
              <w:rPr>
                <w:sz w:val="20"/>
                <w:szCs w:val="20"/>
                <w:color w:val="auto"/>
              </w:rPr>
            </w:pPr>
            <w:r>
              <w:rPr>
                <w:rFonts w:ascii="Arial" w:cs="Arial" w:eastAsia="Arial" w:hAnsi="Arial"/>
                <w:sz w:val="14"/>
                <w:szCs w:val="14"/>
                <w:color w:val="auto"/>
              </w:rPr>
              <w:t>Income from operations - non-GAAP basis (i)</w:t>
            </w:r>
          </w:p>
        </w:tc>
        <w:tc>
          <w:tcPr>
            <w:tcW w:w="10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11,347</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21,290</w:t>
            </w: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14,710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Income from continuing operations - GAAP basis</w:t>
            </w:r>
          </w:p>
        </w:tc>
        <w:tc>
          <w:tcPr>
            <w:tcW w:w="1260" w:type="dxa"/>
            <w:vAlign w:val="bottom"/>
            <w:gridSpan w:val="2"/>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4,803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11,648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8,755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Arial" w:cs="Arial" w:eastAsia="Arial" w:hAnsi="Arial"/>
                <w:sz w:val="14"/>
                <w:szCs w:val="14"/>
                <w:color w:val="auto"/>
              </w:rPr>
              <w:t>Non-GAAP adjustments (as scheduled above)</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4,568</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7,492</w:t>
            </w:r>
          </w:p>
        </w:tc>
        <w:tc>
          <w:tcPr>
            <w:tcW w:w="20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Tax effect of non-GAAP adjustments (j)</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gridSpan w:val="2"/>
          </w:tcPr>
          <w:p>
            <w:pPr>
              <w:spacing w:after="0" w:line="142" w:lineRule="exact"/>
              <w:rPr>
                <w:sz w:val="20"/>
                <w:szCs w:val="20"/>
                <w:color w:val="auto"/>
              </w:rPr>
            </w:pPr>
            <w:r>
              <w:rPr>
                <w:rFonts w:ascii="Arial" w:cs="Arial" w:eastAsia="Arial" w:hAnsi="Arial"/>
                <w:sz w:val="14"/>
                <w:szCs w:val="14"/>
                <w:color w:val="auto"/>
              </w:rPr>
              <w:t>Income from continuing operations - non-GAAP basis</w:t>
            </w:r>
          </w:p>
        </w:tc>
        <w:tc>
          <w:tcPr>
            <w:tcW w:w="10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8,998</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18,835</w:t>
            </w: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12,595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GAAP income from continuing operations per share - diluted</w:t>
            </w:r>
          </w:p>
        </w:tc>
        <w:tc>
          <w:tcPr>
            <w:tcW w:w="1260" w:type="dxa"/>
            <w:vAlign w:val="bottom"/>
            <w:gridSpan w:val="2"/>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0.39</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Non-GAAP income from continuing operations per share - diluted (k)</w:t>
            </w:r>
          </w:p>
        </w:tc>
        <w:tc>
          <w:tcPr>
            <w:tcW w:w="12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0.64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Gross Profit Reconciliation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 - GAAP basis</w:t>
            </w:r>
          </w:p>
        </w:tc>
        <w:tc>
          <w:tcPr>
            <w:tcW w:w="12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34,378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41,501</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Non-GAAP adjustments to cost of sales (as scheduled above)</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801</w:t>
            </w:r>
          </w:p>
        </w:tc>
        <w:tc>
          <w:tcPr>
            <w:tcW w:w="20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Gross profit - Non-GAAP basis</w:t>
            </w:r>
          </w:p>
        </w:tc>
        <w:tc>
          <w:tcPr>
            <w:tcW w:w="10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35,147</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42,302</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38,301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line="129" w:lineRule="exact"/>
              <w:rPr>
                <w:sz w:val="20"/>
                <w:szCs w:val="20"/>
                <w:color w:val="auto"/>
              </w:rPr>
            </w:pPr>
            <w:r>
              <w:rPr>
                <w:rFonts w:ascii="Arial" w:cs="Arial" w:eastAsia="Arial" w:hAnsi="Arial"/>
                <w:sz w:val="14"/>
                <w:szCs w:val="14"/>
                <w:color w:val="auto"/>
              </w:rPr>
              <w:t>Non-GAAP gross profit as a percentage of net sales</w:t>
            </w: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40.8%</w:t>
            </w:r>
          </w:p>
        </w:tc>
        <w:tc>
          <w:tcPr>
            <w:tcW w:w="100" w:type="dxa"/>
            <w:vAlign w:val="bottom"/>
          </w:tcPr>
          <w:p>
            <w:pPr>
              <w:spacing w:after="0"/>
              <w:rPr>
                <w:sz w:val="11"/>
                <w:szCs w:val="11"/>
                <w:color w:val="auto"/>
              </w:rPr>
            </w:pPr>
          </w:p>
        </w:tc>
        <w:tc>
          <w:tcPr>
            <w:tcW w:w="164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42.4%</w:t>
            </w:r>
          </w:p>
        </w:tc>
        <w:tc>
          <w:tcPr>
            <w:tcW w:w="200" w:type="dxa"/>
            <w:vAlign w:val="bottom"/>
          </w:tcPr>
          <w:p>
            <w:pPr>
              <w:spacing w:after="0"/>
              <w:rPr>
                <w:sz w:val="11"/>
                <w:szCs w:val="11"/>
                <w:color w:val="auto"/>
              </w:rPr>
            </w:pPr>
          </w:p>
        </w:tc>
        <w:tc>
          <w:tcPr>
            <w:tcW w:w="14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Adjusted EBITDA Reconciliation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 - GAAP basis</w:t>
            </w:r>
          </w:p>
        </w:tc>
        <w:tc>
          <w:tcPr>
            <w:tcW w:w="12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11,648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Income tax provision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2,302</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2,468</w:t>
            </w:r>
          </w:p>
        </w:tc>
        <w:tc>
          <w:tcPr>
            <w:tcW w:w="20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 and other, net</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Amortizaton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1,019</w:t>
            </w:r>
          </w:p>
        </w:tc>
        <w:tc>
          <w:tcPr>
            <w:tcW w:w="20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Depreciation</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1,378</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1,398</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Other non-GAAP adjustments (as scheduled above)</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3,544</w:t>
            </w:r>
          </w:p>
        </w:tc>
        <w:tc>
          <w:tcPr>
            <w:tcW w:w="10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6,473</w:t>
            </w:r>
          </w:p>
        </w:tc>
        <w:tc>
          <w:tcPr>
            <w:tcW w:w="200" w:type="dxa"/>
            <w:vAlign w:val="bottom"/>
          </w:tcPr>
          <w:p>
            <w:pPr>
              <w:spacing w:after="0"/>
              <w:rPr>
                <w:sz w:val="12"/>
                <w:szCs w:val="12"/>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tcBorders>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Adjusted EBITDA</w:t>
            </w:r>
          </w:p>
        </w:tc>
        <w:tc>
          <w:tcPr>
            <w:tcW w:w="10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12,725</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22,688</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16,022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ind w:left="160"/>
              <w:spacing w:after="0" w:line="129" w:lineRule="exact"/>
              <w:rPr>
                <w:sz w:val="20"/>
                <w:szCs w:val="20"/>
                <w:color w:val="auto"/>
              </w:rPr>
            </w:pPr>
            <w:r>
              <w:rPr>
                <w:rFonts w:ascii="Arial" w:cs="Arial" w:eastAsia="Arial" w:hAnsi="Arial"/>
                <w:sz w:val="14"/>
                <w:szCs w:val="14"/>
                <w:color w:val="auto"/>
              </w:rPr>
              <w:t>Adjusted EBITDA as a percentage of net sales</w:t>
            </w: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1"/>
                <w:szCs w:val="11"/>
                <w:color w:val="auto"/>
              </w:rPr>
            </w:pPr>
          </w:p>
        </w:tc>
        <w:tc>
          <w:tcPr>
            <w:tcW w:w="164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22.7%</w:t>
            </w:r>
          </w:p>
        </w:tc>
        <w:tc>
          <w:tcPr>
            <w:tcW w:w="200" w:type="dxa"/>
            <w:vAlign w:val="bottom"/>
          </w:tcPr>
          <w:p>
            <w:pPr>
              <w:spacing w:after="0"/>
              <w:rPr>
                <w:sz w:val="11"/>
                <w:szCs w:val="11"/>
                <w:color w:val="auto"/>
              </w:rPr>
            </w:pPr>
          </w:p>
        </w:tc>
        <w:tc>
          <w:tcPr>
            <w:tcW w:w="14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 Reconciliation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Operating Expense - GAAP basis</w:t>
            </w:r>
          </w:p>
        </w:tc>
        <w:tc>
          <w:tcPr>
            <w:tcW w:w="12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27,703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Non-GAAP adjustments to R&amp;D and SG&amp;A (as scheduled above)</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(3,799)</w:t>
            </w:r>
          </w:p>
        </w:tc>
        <w:tc>
          <w:tcPr>
            <w:tcW w:w="10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(6,691)</w:t>
            </w:r>
          </w:p>
        </w:tc>
        <w:tc>
          <w:tcPr>
            <w:tcW w:w="2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tcBorders>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Operating Expenses - Non-GAAP basis</w:t>
            </w:r>
          </w:p>
        </w:tc>
        <w:tc>
          <w:tcPr>
            <w:tcW w:w="10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23,800</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21,012</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23,591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 Excludes operating results from Xcerra acquired on October 1, 2018</w:t>
      </w:r>
    </w:p>
    <w:p>
      <w:pPr>
        <w:ind w:right="80"/>
        <w:spacing w:after="0" w:line="238"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anticipation of the completion of the merger with Xcerra. Restructuring costs have been excluded because such expense is not used by Management to assess the core profitability of Cohu’s business operations. Manufacturing transition costs relate principally to employee severance expenses incurred as a result of moving certain manufacturing activities to Asia as part of our ongoing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and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ind w:left="500" w:hanging="330"/>
        <w:spacing w:after="0" w:line="22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7.9%, 13.8% and 11.1% of net sales, respectively.</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restructuring costs incurred during third quarter of 2018 in anticipation of the closing of the Xcerra acquisition.</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manufacturing transition costs.</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fair value adjustment to contingent consideration related to the acquisition of Kita.</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acquisitions.</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Kita.</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13.2%, 21.3% and 15.7% of net sales, respectively.</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COHU, INC.</w:t>
      </w:r>
    </w:p>
    <w:p>
      <w:pPr>
        <w:spacing w:after="0" w:line="4" w:lineRule="exact"/>
        <w:rPr>
          <w:sz w:val="20"/>
          <w:szCs w:val="20"/>
          <w:color w:val="auto"/>
        </w:rPr>
      </w:pPr>
    </w:p>
    <w:p>
      <w:pPr>
        <w:ind w:right="5540"/>
        <w:spacing w:after="0" w:line="237" w:lineRule="auto"/>
        <w:rPr>
          <w:sz w:val="20"/>
          <w:szCs w:val="20"/>
          <w:color w:val="auto"/>
        </w:rPr>
      </w:pPr>
      <w:r>
        <w:rPr>
          <w:rFonts w:ascii="Arial" w:cs="Arial" w:eastAsia="Arial" w:hAnsi="Arial"/>
          <w:sz w:val="14"/>
          <w:szCs w:val="14"/>
          <w:b w:val="1"/>
          <w:bCs w:val="1"/>
          <w:color w:val="auto"/>
        </w:rPr>
        <w:t xml:space="preserve">Supplemental Reconciliation of GAAP Results to Non-GAAP Financial Measures (Unaudited) * </w:t>
      </w:r>
      <w:r>
        <w:rPr>
          <w:rFonts w:ascii="Arial" w:cs="Arial" w:eastAsia="Arial" w:hAnsi="Arial"/>
          <w:sz w:val="14"/>
          <w:szCs w:val="14"/>
          <w:i w:val="1"/>
          <w:iCs w:val="1"/>
          <w:color w:val="auto"/>
        </w:rPr>
        <w:t>(in thousands, except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5"/>
          </w:tcPr>
          <w:p>
            <w:pPr>
              <w:jc w:val="right"/>
              <w:ind w:right="12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September 29,</w:t>
            </w:r>
          </w:p>
        </w:tc>
        <w:tc>
          <w:tcPr>
            <w:tcW w:w="220" w:type="dxa"/>
            <w:vAlign w:val="bottom"/>
          </w:tcPr>
          <w:p>
            <w:pPr>
              <w:spacing w:after="0"/>
              <w:rPr>
                <w:sz w:val="12"/>
                <w:szCs w:val="12"/>
                <w:color w:val="auto"/>
              </w:rPr>
            </w:pPr>
          </w:p>
        </w:tc>
        <w:tc>
          <w:tcPr>
            <w:tcW w:w="14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operations - GAAP basis (a)</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30,590</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30,082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Non-GAAP adjustments:</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Share-based compensation included in (b):</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SG&amp;A</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3,991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5,497</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intangible assets included in (c):</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Cost of sales</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SG&amp;A</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1,158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3,117</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Restructuring costs included in (d):</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SG&amp;A</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380</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Manufacturing transition and severance costs included in SG&amp;A (e)</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Adjustment to contingent consideration included in SG&amp;A (f)</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Acquisition costs included in SG&amp;A (g)</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5,178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Inventory step-up included in cost of sales (h)</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0" w:type="dxa"/>
            <w:vAlign w:val="bottom"/>
            <w:gridSpan w:val="2"/>
          </w:tcPr>
          <w:p>
            <w:pPr>
              <w:spacing w:after="0" w:line="142" w:lineRule="exact"/>
              <w:rPr>
                <w:sz w:val="20"/>
                <w:szCs w:val="20"/>
                <w:color w:val="auto"/>
              </w:rPr>
            </w:pPr>
            <w:r>
              <w:rPr>
                <w:rFonts w:ascii="Arial" w:cs="Arial" w:eastAsia="Arial" w:hAnsi="Arial"/>
                <w:sz w:val="14"/>
                <w:szCs w:val="14"/>
                <w:color w:val="auto"/>
              </w:rPr>
              <w:t>Income from operations - non-GAAP basis (i)</w:t>
            </w: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45,529</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41,434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Income from continuing operations - GAAP basis</w:t>
            </w:r>
          </w:p>
        </w:tc>
        <w:tc>
          <w:tcPr>
            <w:tcW w:w="20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24,573</w:t>
            </w:r>
          </w:p>
        </w:tc>
        <w:tc>
          <w:tcPr>
            <w:tcW w:w="22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26,226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Non-GAAP adjustments (as scheduled above)</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14,939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Tax effect of non-GAAP adjustments (j)</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(1,179)</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0" w:type="dxa"/>
            <w:vAlign w:val="bottom"/>
            <w:gridSpan w:val="2"/>
          </w:tcPr>
          <w:p>
            <w:pPr>
              <w:spacing w:after="0" w:line="142" w:lineRule="exact"/>
              <w:rPr>
                <w:sz w:val="20"/>
                <w:szCs w:val="20"/>
                <w:color w:val="auto"/>
              </w:rPr>
            </w:pPr>
            <w:r>
              <w:rPr>
                <w:rFonts w:ascii="Arial" w:cs="Arial" w:eastAsia="Arial" w:hAnsi="Arial"/>
                <w:sz w:val="14"/>
                <w:szCs w:val="14"/>
                <w:color w:val="auto"/>
              </w:rPr>
              <w:t>Income from continuing operations - non-GAAP basis</w:t>
            </w: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38,333</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36,262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GAAP income per share - diluted</w:t>
            </w:r>
          </w:p>
        </w:tc>
        <w:tc>
          <w:tcPr>
            <w:tcW w:w="20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0.83</w:t>
            </w:r>
          </w:p>
        </w:tc>
        <w:tc>
          <w:tcPr>
            <w:tcW w:w="22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Non-GAAP income per share - diluted (k)</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22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b w:val="1"/>
                <w:bCs w:val="1"/>
                <w:color w:val="auto"/>
              </w:rPr>
              <w:t>Gross Profit Reconciliation</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Gross profit - GAAP basis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115,430</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Non-GAAP adjustments to cost of sales (as scheduled above)</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2,367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80" w:type="dxa"/>
            <w:vAlign w:val="bottom"/>
            <w:tcBorders>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Gross profit - Non-GAAP basis</w:t>
            </w: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117,797</w:t>
            </w:r>
          </w:p>
        </w:tc>
        <w:tc>
          <w:tcPr>
            <w:tcW w:w="220" w:type="dxa"/>
            <w:vAlign w:val="bottom"/>
            <w:tcBorders>
              <w:left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110,041</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tcPr>
          <w:p>
            <w:pPr>
              <w:ind w:left="160"/>
              <w:spacing w:after="0" w:line="129" w:lineRule="exact"/>
              <w:rPr>
                <w:sz w:val="20"/>
                <w:szCs w:val="20"/>
                <w:color w:val="auto"/>
              </w:rPr>
            </w:pPr>
            <w:r>
              <w:rPr>
                <w:rFonts w:ascii="Arial" w:cs="Arial" w:eastAsia="Arial" w:hAnsi="Arial"/>
                <w:sz w:val="14"/>
                <w:szCs w:val="14"/>
                <w:color w:val="auto"/>
              </w:rPr>
              <w:t>Non-GAAP gross profit as a percentage of net sales</w:t>
            </w:r>
          </w:p>
        </w:tc>
        <w:tc>
          <w:tcPr>
            <w:tcW w:w="200" w:type="dxa"/>
            <w:vAlign w:val="bottom"/>
          </w:tcPr>
          <w:p>
            <w:pPr>
              <w:spacing w:after="0"/>
              <w:rPr>
                <w:sz w:val="11"/>
                <w:szCs w:val="11"/>
                <w:color w:val="auto"/>
              </w:rPr>
            </w:pPr>
          </w:p>
        </w:tc>
        <w:tc>
          <w:tcPr>
            <w:tcW w:w="154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41.9%</w:t>
            </w:r>
          </w:p>
        </w:tc>
        <w:tc>
          <w:tcPr>
            <w:tcW w:w="220" w:type="dxa"/>
            <w:vAlign w:val="bottom"/>
          </w:tcPr>
          <w:p>
            <w:pPr>
              <w:spacing w:after="0"/>
              <w:rPr>
                <w:sz w:val="11"/>
                <w:szCs w:val="11"/>
                <w:color w:val="auto"/>
              </w:rPr>
            </w:pPr>
          </w:p>
        </w:tc>
        <w:tc>
          <w:tcPr>
            <w:tcW w:w="1460" w:type="dxa"/>
            <w:vAlign w:val="bottom"/>
            <w:gridSpan w:val="2"/>
          </w:tcPr>
          <w:p>
            <w:pPr>
              <w:jc w:val="right"/>
              <w:ind w:right="20"/>
              <w:spacing w:after="0" w:line="12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b w:val="1"/>
                <w:bCs w:val="1"/>
                <w:color w:val="auto"/>
              </w:rPr>
              <w:t>Adjusted EBITDA Reconciliation</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 - GAAP basis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24,573</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Loss from discontinued operations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provision</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6,897</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Interest and other, net</w:t>
            </w:r>
          </w:p>
        </w:tc>
        <w:tc>
          <w:tcPr>
            <w:tcW w:w="200" w:type="dxa"/>
            <w:vAlign w:val="bottom"/>
          </w:tcPr>
          <w:p>
            <w:pPr>
              <w:spacing w:after="0"/>
              <w:rPr>
                <w:sz w:val="12"/>
                <w:szCs w:val="12"/>
                <w:color w:val="auto"/>
              </w:rPr>
            </w:pPr>
          </w:p>
        </w:tc>
        <w:tc>
          <w:tcPr>
            <w:tcW w:w="1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(880)</w:t>
            </w:r>
          </w:p>
        </w:tc>
        <w:tc>
          <w:tcPr>
            <w:tcW w:w="220" w:type="dxa"/>
            <w:vAlign w:val="bottom"/>
          </w:tcPr>
          <w:p>
            <w:pPr>
              <w:spacing w:after="0"/>
              <w:rPr>
                <w:sz w:val="12"/>
                <w:szCs w:val="12"/>
                <w:color w:val="auto"/>
              </w:rPr>
            </w:pPr>
          </w:p>
        </w:tc>
        <w:tc>
          <w:tcPr>
            <w:tcW w:w="1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Amortizaton</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3,117</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320"/>
              <w:spacing w:after="0" w:line="149" w:lineRule="exact"/>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4,159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non-GAAP adjustments (as scheduled above)</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11,822</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top w:val="single" w:sz="8" w:color="CCEEFF"/>
              <w:bottom w:val="single" w:sz="8" w:color="CCEEFF"/>
            </w:tcBorders>
          </w:tcPr>
          <w:p>
            <w:pPr>
              <w:ind w:left="160"/>
              <w:spacing w:after="0" w:line="142" w:lineRule="exact"/>
              <w:rPr>
                <w:sz w:val="20"/>
                <w:szCs w:val="20"/>
                <w:color w:val="auto"/>
              </w:rPr>
            </w:pPr>
            <w:r>
              <w:rPr>
                <w:rFonts w:ascii="Arial" w:cs="Arial" w:eastAsia="Arial" w:hAnsi="Arial"/>
                <w:sz w:val="14"/>
                <w:szCs w:val="14"/>
                <w:color w:val="auto"/>
              </w:rPr>
              <w:t>Adjusted EBITDA</w:t>
            </w: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49,688</w:t>
            </w:r>
          </w:p>
        </w:tc>
        <w:tc>
          <w:tcPr>
            <w:tcW w:w="2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45,001</w:t>
            </w:r>
          </w:p>
        </w:tc>
        <w:tc>
          <w:tcPr>
            <w:tcW w:w="14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rPr>
              <w:t>Adjusted EBITDA as a percentage of net sales</w:t>
            </w:r>
          </w:p>
        </w:tc>
        <w:tc>
          <w:tcPr>
            <w:tcW w:w="2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17.7%</w:t>
            </w:r>
          </w:p>
        </w:tc>
        <w:tc>
          <w:tcPr>
            <w:tcW w:w="2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 Reconciliation</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ind w:left="160"/>
              <w:spacing w:after="0" w:line="149" w:lineRule="exact"/>
              <w:rPr>
                <w:sz w:val="20"/>
                <w:szCs w:val="20"/>
                <w:color w:val="auto"/>
              </w:rPr>
            </w:pPr>
            <w:r>
              <w:rPr>
                <w:rFonts w:ascii="Arial" w:cs="Arial" w:eastAsia="Arial" w:hAnsi="Arial"/>
                <w:sz w:val="14"/>
                <w:szCs w:val="14"/>
                <w:color w:val="auto"/>
              </w:rPr>
              <w:t>Operating Expense - GAAP basis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84,840</w:t>
            </w:r>
          </w:p>
        </w:tc>
        <w:tc>
          <w:tcPr>
            <w:tcW w:w="22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Non-GAAP adjustments to R&amp;D and SG&amp;A (as scheduled above)</w:t>
            </w:r>
          </w:p>
        </w:tc>
        <w:tc>
          <w:tcPr>
            <w:tcW w:w="2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(12,572)</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top w:val="single" w:sz="8" w:color="CCEEFF"/>
              <w:bottom w:val="single" w:sz="8" w:color="CCEEFF"/>
            </w:tcBorders>
          </w:tcPr>
          <w:p>
            <w:pPr>
              <w:ind w:left="160"/>
              <w:spacing w:after="0" w:line="142" w:lineRule="exact"/>
              <w:rPr>
                <w:sz w:val="20"/>
                <w:szCs w:val="20"/>
                <w:color w:val="auto"/>
              </w:rPr>
            </w:pPr>
            <w:r>
              <w:rPr>
                <w:rFonts w:ascii="Arial" w:cs="Arial" w:eastAsia="Arial" w:hAnsi="Arial"/>
                <w:sz w:val="14"/>
                <w:szCs w:val="14"/>
                <w:color w:val="auto"/>
              </w:rPr>
              <w:t>Operating Expenses - Non-GAAP basis</w:t>
            </w: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72,268</w:t>
            </w: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68,607</w:t>
            </w:r>
          </w:p>
        </w:tc>
        <w:tc>
          <w:tcPr>
            <w:tcW w:w="14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7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 Excludes operating results from Xcerra acquired on October 1, 2018</w:t>
      </w:r>
    </w:p>
    <w:p>
      <w:pPr>
        <w:ind w:right="80"/>
        <w:spacing w:after="0" w:line="238"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has initiated certain restructuring activities including employee headcount reductions and other organizational changes to align our business strategies in anticipation of the completion of the merger with Xcerra. Restructuring costs have been excluded because such expense is not used by Management to assess the core profitability of Cohu’s business operations.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and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ind w:left="500" w:hanging="330"/>
        <w:spacing w:after="0" w:line="22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10.9% and 11.2% of net sales, respectively.</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restructuring costs incurred during third quarter of 2018 in anticipation of the closing of the Xcerra acquisition.</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manufacturing transition costs.</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fair value adjustment to contingent consideration related to the acquisition of Kita.</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the acquisitions.</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acquisitions.</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16.2% and 15.4% of net sales, respectively.</w:t>
      </w:r>
    </w:p>
    <w:p>
      <w:pPr>
        <w:ind w:left="500" w:hanging="330"/>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All periods presented were computed using the number of GAAP diluted shares outstanding.</w:t>
      </w: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7"/>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2019-12-28T18:39:56Z</dcterms:created>
  <dcterms:modified xsi:type="dcterms:W3CDTF">2019-12-28T18:39:56Z</dcterms:modified>
</cp:coreProperties>
</file>