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200" w:lineRule="exact"/>
        <w:rPr>
          <w:sz w:val="24"/>
          <w:szCs w:val="24"/>
          <w:color w:val="auto"/>
        </w:rPr>
      </w:pPr>
    </w:p>
    <w:p>
      <w:pPr>
        <w:spacing w:after="0" w:line="20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FORM SD</w:t>
      </w:r>
    </w:p>
    <w:p>
      <w:pPr>
        <w:spacing w:after="0" w:line="20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COHU, INC.</w:t>
      </w:r>
    </w:p>
    <w:p>
      <w:pPr>
        <w:spacing w:after="0" w:line="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760" w:type="dxa"/>
        <w:tblCellMar>
          <w:top w:w="0" w:type="dxa"/>
          <w:left w:w="0" w:type="dxa"/>
          <w:bottom w:w="0" w:type="dxa"/>
          <w:right w:w="0" w:type="dxa"/>
        </w:tblCellMar>
      </w:tblPr>
      <w:tr>
        <w:trPr>
          <w:trHeight w:val="218"/>
        </w:trPr>
        <w:tc>
          <w:tcPr>
            <w:tcW w:w="330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001-04298</w:t>
            </w:r>
          </w:p>
        </w:tc>
        <w:tc>
          <w:tcPr>
            <w:tcW w:w="262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95-1934119</w:t>
            </w:r>
          </w:p>
        </w:tc>
      </w:tr>
      <w:tr>
        <w:trPr>
          <w:trHeight w:val="216"/>
        </w:trPr>
        <w:tc>
          <w:tcPr>
            <w:tcW w:w="3300" w:type="dxa"/>
            <w:vAlign w:val="bottom"/>
          </w:tcPr>
          <w:p>
            <w:pPr>
              <w:jc w:val="center"/>
              <w:ind w:right="97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3340" w:type="dxa"/>
            <w:vAlign w:val="bottom"/>
          </w:tcPr>
          <w:p>
            <w:pPr>
              <w:jc w:val="center"/>
              <w:ind w:right="130"/>
              <w:spacing w:after="0"/>
              <w:rPr>
                <w:sz w:val="20"/>
                <w:szCs w:val="20"/>
                <w:color w:val="auto"/>
              </w:rPr>
            </w:pPr>
            <w:r>
              <w:rPr>
                <w:rFonts w:ascii="Times New Roman" w:cs="Times New Roman" w:eastAsia="Times New Roman" w:hAnsi="Times New Roman"/>
                <w:sz w:val="18"/>
                <w:szCs w:val="18"/>
                <w:i w:val="1"/>
                <w:iCs w:val="1"/>
                <w:color w:val="auto"/>
              </w:rPr>
              <w:t>(Commission</w:t>
            </w:r>
          </w:p>
        </w:tc>
        <w:tc>
          <w:tcPr>
            <w:tcW w:w="2620" w:type="dxa"/>
            <w:vAlign w:val="bottom"/>
          </w:tcPr>
          <w:p>
            <w:pPr>
              <w:jc w:val="center"/>
              <w:ind w:left="121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3300" w:type="dxa"/>
            <w:vAlign w:val="bottom"/>
          </w:tcPr>
          <w:p>
            <w:pPr>
              <w:jc w:val="center"/>
              <w:ind w:right="99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3340" w:type="dxa"/>
            <w:vAlign w:val="bottom"/>
          </w:tcPr>
          <w:p>
            <w:pPr>
              <w:jc w:val="center"/>
              <w:ind w:right="130"/>
              <w:spacing w:after="0"/>
              <w:rPr>
                <w:sz w:val="20"/>
                <w:szCs w:val="20"/>
                <w:color w:val="auto"/>
              </w:rPr>
            </w:pPr>
            <w:r>
              <w:rPr>
                <w:rFonts w:ascii="Times New Roman" w:cs="Times New Roman" w:eastAsia="Times New Roman" w:hAnsi="Times New Roman"/>
                <w:sz w:val="18"/>
                <w:szCs w:val="18"/>
                <w:i w:val="1"/>
                <w:iCs w:val="1"/>
                <w:color w:val="auto"/>
                <w:w w:val="98"/>
              </w:rPr>
              <w:t>File Number)</w:t>
            </w:r>
          </w:p>
        </w:tc>
        <w:tc>
          <w:tcPr>
            <w:tcW w:w="2620" w:type="dxa"/>
            <w:vAlign w:val="bottom"/>
          </w:tcPr>
          <w:p>
            <w:pPr>
              <w:jc w:val="center"/>
              <w:ind w:left="1210"/>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628"/>
        </w:trPr>
        <w:tc>
          <w:tcPr>
            <w:tcW w:w="6640" w:type="dxa"/>
            <w:vAlign w:val="bottom"/>
            <w:gridSpan w:val="2"/>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12367 Crosthwaite Circle, Poway, California</w:t>
            </w:r>
          </w:p>
        </w:tc>
        <w:tc>
          <w:tcPr>
            <w:tcW w:w="262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92064-6817</w:t>
            </w:r>
          </w:p>
        </w:tc>
      </w:tr>
      <w:tr>
        <w:trPr>
          <w:trHeight w:val="236"/>
        </w:trPr>
        <w:tc>
          <w:tcPr>
            <w:tcW w:w="6640" w:type="dxa"/>
            <w:vAlign w:val="bottom"/>
            <w:gridSpan w:val="2"/>
          </w:tcPr>
          <w:p>
            <w:pPr>
              <w:jc w:val="center"/>
              <w:ind w:right="57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2620" w:type="dxa"/>
            <w:vAlign w:val="bottom"/>
          </w:tcPr>
          <w:p>
            <w:pPr>
              <w:jc w:val="center"/>
              <w:ind w:left="123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Jeffrey D. Jones (858) 848-8100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378" w:lineRule="exact"/>
        <w:rPr>
          <w:sz w:val="24"/>
          <w:szCs w:val="24"/>
          <w:color w:val="auto"/>
        </w:rPr>
      </w:pPr>
    </w:p>
    <w:p>
      <w:pPr>
        <w:ind w:left="500" w:hanging="317"/>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216"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29" w:lineRule="exact"/>
        <w:rPr>
          <w:sz w:val="20"/>
          <w:szCs w:val="20"/>
          <w:color w:val="auto"/>
        </w:rPr>
      </w:pPr>
    </w:p>
    <w:p>
      <w:pPr>
        <w:ind w:right="320" w:firstLine="576"/>
        <w:spacing w:after="0" w:line="282" w:lineRule="auto"/>
        <w:rPr>
          <w:sz w:val="20"/>
          <w:szCs w:val="20"/>
          <w:color w:val="auto"/>
        </w:rPr>
      </w:pPr>
      <w:r>
        <w:rPr>
          <w:rFonts w:ascii="Times New Roman" w:cs="Times New Roman" w:eastAsia="Times New Roman" w:hAnsi="Times New Roman"/>
          <w:sz w:val="18"/>
          <w:szCs w:val="18"/>
          <w:color w:val="auto"/>
        </w:rPr>
        <w:t>Cohu, Inc. (“Cohu”, “we”, “our” and “us”) is committed to sourcing components and materials from companies that share our values regarding respect for human rights, integrity and environmental responsibility.</w:t>
      </w:r>
    </w:p>
    <w:p>
      <w:pPr>
        <w:spacing w:after="0" w:line="162"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Section 1502 of the Dodd Frank Financial Reform Act and U.S. Securities and Exchange Commission‘s Final Regulation to Implement Section 1502 of the Dodd-Frank Act both require reporting entities to exercise due diligence regarding the origin and chain of custody of the conflict minerals contained in their manufactured products. If the due diligence inquiry determines that the conflict minerals originated in the Democratic Republic of Congo or any of the covered adjoining countries the company is then obligated to determine whether the minerals financed or benefitted armed groups in these countries.</w:t>
      </w:r>
    </w:p>
    <w:p>
      <w:pPr>
        <w:spacing w:after="0" w:line="183" w:lineRule="exact"/>
        <w:rPr>
          <w:sz w:val="20"/>
          <w:szCs w:val="20"/>
          <w:color w:val="auto"/>
        </w:rPr>
      </w:pPr>
    </w:p>
    <w:p>
      <w:pPr>
        <w:ind w:right="60" w:firstLine="576"/>
        <w:spacing w:after="0" w:line="266" w:lineRule="auto"/>
        <w:rPr>
          <w:sz w:val="20"/>
          <w:szCs w:val="20"/>
          <w:color w:val="auto"/>
        </w:rPr>
      </w:pPr>
      <w:r>
        <w:rPr>
          <w:rFonts w:ascii="Times New Roman" w:cs="Times New Roman" w:eastAsia="Times New Roman" w:hAnsi="Times New Roman"/>
          <w:sz w:val="18"/>
          <w:szCs w:val="18"/>
          <w:color w:val="auto"/>
        </w:rPr>
        <w:t xml:space="preserve">The foregoing description is qualified in its entirety by our Conflict Minerals Report, which is attached hereto as Exhibit 1.01 and is incorporated by reference. A copy of Cohu’s Conflict Minerals Report is also publicly available at: </w:t>
      </w:r>
      <w:r>
        <w:rPr>
          <w:rFonts w:ascii="Times New Roman" w:cs="Times New Roman" w:eastAsia="Times New Roman" w:hAnsi="Times New Roman"/>
          <w:sz w:val="18"/>
          <w:szCs w:val="18"/>
          <w:u w:val="single" w:color="auto"/>
          <w:color w:val="auto"/>
        </w:rPr>
        <w:t>www.cohu.com/corporate-responsibility</w:t>
      </w:r>
      <w:r>
        <w:rPr>
          <w:rFonts w:ascii="Times New Roman" w:cs="Times New Roman" w:eastAsia="Times New Roman" w:hAnsi="Times New Roman"/>
          <w:sz w:val="18"/>
          <w:szCs w:val="18"/>
          <w:color w:val="auto"/>
        </w:rPr>
        <w:t>. The content of any website referred to in this Form SD is included for general information only and is not incorporated by reference in this Form SD.</w:t>
      </w:r>
    </w:p>
    <w:p>
      <w:pPr>
        <w:spacing w:after="0" w:line="176"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This Form SD and the exhibit attached hereto contain certain forward-looking statements relating to due diligence and compliance process improvements. Such forward-looking statements are based on management’s current expectations and beliefs and are not a guarantee of future performance and are subject to a number of uncertainties and other factors, including primarily whether industry organizations and initiatives such as the Responsible Business Alliance (“RBA”) (formerly the Electronic Industry Citizenship Coalition) and Responsible Minerals Initiative (formerly the Conflict-Free Sourcing Initiative) remain effective as a recognized source of external support in the conflict minerals compliance process and whether suppliers satisfy their obligations under those processes. Such risks and uncertainties may be outside of management’s control which could cause actual events to differ materially from those expressed or implied by the statements made herein and we undertake no obligation to publicly update any forward-looking statements.</w:t>
      </w:r>
    </w:p>
    <w:p>
      <w:pPr>
        <w:spacing w:after="0" w:line="18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Exhibit</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See Item 1.01 and Item 2.01.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No. 1.01 - Conflict Minerals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duly authorized undersigned.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Cohu, Inc.</w:t>
            </w:r>
          </w:p>
        </w:tc>
        <w:tc>
          <w:tcPr>
            <w:tcW w:w="1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(Registrant)</w:t>
            </w:r>
          </w:p>
        </w:tc>
        <w:tc>
          <w:tcPr>
            <w:tcW w:w="1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Jeffrey D. Jones</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19, 2022</w:t>
            </w:r>
          </w:p>
        </w:tc>
        <w:tc>
          <w:tcPr>
            <w:tcW w:w="0" w:type="dxa"/>
            <w:vAlign w:val="bottom"/>
          </w:tcPr>
          <w:p>
            <w:pPr>
              <w:spacing w:after="0"/>
              <w:rPr>
                <w:sz w:val="1"/>
                <w:szCs w:val="1"/>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700" w:type="dxa"/>
            <w:vAlign w:val="bottom"/>
            <w:vMerge w:val="restart"/>
          </w:tcPr>
          <w:p>
            <w:pPr>
              <w:spacing w:after="0" w:line="20" w:lineRule="exact"/>
              <w:rPr>
                <w:sz w:val="1"/>
                <w:szCs w:val="1"/>
                <w:color w:val="auto"/>
              </w:rPr>
            </w:pPr>
          </w:p>
        </w:tc>
        <w:tc>
          <w:tcPr>
            <w:tcW w:w="100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(Date)</w:t>
            </w:r>
          </w:p>
        </w:tc>
        <w:tc>
          <w:tcPr>
            <w:tcW w:w="0" w:type="dxa"/>
            <w:vAlign w:val="bottom"/>
          </w:tcPr>
          <w:p>
            <w:pPr>
              <w:spacing w:after="0"/>
              <w:rPr>
                <w:sz w:val="1"/>
                <w:szCs w:val="1"/>
                <w:color w:val="auto"/>
              </w:rPr>
            </w:pPr>
          </w:p>
        </w:tc>
      </w:tr>
      <w:tr>
        <w:trPr>
          <w:trHeight w:val="191"/>
        </w:trPr>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Jeffrey D. Jones</w:t>
            </w:r>
          </w:p>
        </w:tc>
        <w:tc>
          <w:tcPr>
            <w:tcW w:w="54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Finance &amp; Chief Financial Officer</w:t>
            </w:r>
          </w:p>
        </w:tc>
        <w:tc>
          <w:tcPr>
            <w:tcW w:w="1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576" w:right="6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1.01 Conflict Minerals Report of Cohu, Inc.</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report for the twelve months ended December 31, 2021, is presented to comply with Rule 13p-1 under the Securities Exchange Act of 1934 (the “Rule”).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In 2010, the United States Congress enacted Section 1502 of the Dodd Frank Financial Reform Act (the “Act”), which, together with the Rule, requires certain companies to disclose their use of conflict minerals if those minerals are “necessary to the functionality or production of a product” manufactured by those companies. Under the Act, those minerals include tantalum, tin, tungsten and gold (3TG) and herein are referred to as “Conflict Minerals”.</w:t>
      </w:r>
    </w:p>
    <w:p>
      <w:pPr>
        <w:spacing w:after="0" w:line="15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Congress enacted this legislation due to concerns that the exploitation and trade of Conflict Minerals by armed groups is helping to finance conflict in the Democratic Republic of Congo (“DRC”) region and surrounding areas (Angola, Burundi, Central Africa Republic, Republic of the Congo, Rwanda, South Sudan, Tanzania, Uganda, and Zambia, collectively, the “Covered Countries”) and is contributing to a humanitarian crisis.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Responsible Sourcing and Adherence to the Law</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Cohu, Inc. (“Cohu”, “we”, “our” and “us”) is committed to sourcing components and materials from companies that share our corporate values regarding respect for human rights and integrity. Cohu corporate responsibility involves taking meaningful steps to ensure that the raw materials, components and sub-assemblies we receive from our supply chain are responsibly sourced. We will not support any vendor or other entity in our supply chain that extracts or transports materials defined as Conflict Minerals and uses the resulting financial or other resources to fund or support conflict in the DRC or any other country that could potentially contribute to human rights violations.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Cohu has adopted and published policies on Conflict Minerals and Supplier Code of Conduct, which are publicly available on our website at </w:t>
      </w:r>
      <w:r>
        <w:rPr>
          <w:rFonts w:ascii="Times New Roman" w:cs="Times New Roman" w:eastAsia="Times New Roman" w:hAnsi="Times New Roman"/>
          <w:sz w:val="18"/>
          <w:szCs w:val="18"/>
          <w:u w:val="single" w:color="auto"/>
          <w:color w:val="auto"/>
        </w:rPr>
        <w:t>www.cohu.com/corporate-responsibility</w:t>
      </w:r>
      <w:r>
        <w:rPr>
          <w:rFonts w:ascii="Times New Roman" w:cs="Times New Roman" w:eastAsia="Times New Roman" w:hAnsi="Times New Roman"/>
          <w:sz w:val="18"/>
          <w:szCs w:val="18"/>
          <w:color w:val="auto"/>
        </w:rPr>
        <w:t>. Since the adoption of the Act and the Rule, we have worked to strengthen our engagement with our suppliers through the fulfillment of the supplier code of conduct and by incorporating portions of the code of conduct into contracts with our suppliers. In summary, Cohu expects all vendors and suppliers to:</w:t>
      </w:r>
    </w:p>
    <w:p>
      <w:pPr>
        <w:spacing w:after="0" w:line="18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materials from legitimate sources not involved in funding conflict in the DRC and surrounding areas.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the use of Conflict Minerals which may directly or indirectly finance or benefit armed groups in the DRC or adjoining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that all Conflict Minerals purchased are conflict-free, based on personal knowledge and / or written guarantees provided by the supplier.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our due diligence process that Cohu has established to comply with the Act and the Rule.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 and Products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Cohu is a leading supplier of semiconductor test and inspection handlers, micro-electromechanical system (“MEMS”) test modules, test contactors, thermal sub-systems and semiconductor automated test equipment used by global semiconductor and electronics manufacturers and semiconductor test subcontractors. We offer a wide range of products and services, and revenue from our capital equipment products is driven by the capital expenditure budgets and spending patterns of our customers, who often delay or accelerate purchases in reaction to variations in their business. The level of capital expenditures by these companies depends on the current and anticipated market demand for semiconductor devices and the products that incorporate them. Our recurring revenues are driven by an increase in the number of semiconductor devices that are tested and by the continuous introduction of new products and technologies by our customers. On June 24, 2021, we completed the sale of our PCB Test Equipment (“PCB Test”) business and our attestation as it relates to those products is only made through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We currently sell the following products:</w:t>
      </w:r>
    </w:p>
    <w:p>
      <w:pPr>
        <w:spacing w:after="0" w:line="223"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8"/>
          <w:szCs w:val="18"/>
          <w:i w:val="1"/>
          <w:iCs w:val="1"/>
          <w:color w:val="auto"/>
        </w:rPr>
        <w:t xml:space="preserve">Semiconductor Test. </w:t>
      </w:r>
      <w:r>
        <w:rPr>
          <w:rFonts w:ascii="Times New Roman" w:cs="Times New Roman" w:eastAsia="Times New Roman" w:hAnsi="Times New Roman"/>
          <w:sz w:val="18"/>
          <w:szCs w:val="18"/>
          <w:color w:val="auto"/>
        </w:rPr>
        <w:t>Semiconductor Automated Test Equipment (“ATE”) is used both for wafer level and device package testing. Our semiconductor 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consist primarily of two platforms focused on the system on a chip (“SoC”) device market. The Diamond series platform, which includes the flagship Diamond</w:t>
      </w:r>
      <w:r>
        <w:rPr>
          <w:rFonts w:ascii="Times New Roman" w:cs="Times New Roman" w:eastAsia="Times New Roman" w:hAnsi="Times New Roman"/>
          <w:sz w:val="29"/>
          <w:szCs w:val="29"/>
          <w:color w:val="auto"/>
          <w:vertAlign w:val="subscript"/>
        </w:rPr>
        <w:t>x</w:t>
      </w:r>
      <w:r>
        <w:rPr>
          <w:rFonts w:ascii="Times New Roman" w:cs="Times New Roman" w:eastAsia="Times New Roman" w:hAnsi="Times New Roman"/>
          <w:sz w:val="18"/>
          <w:szCs w:val="18"/>
          <w:color w:val="auto"/>
        </w:rPr>
        <w:t xml:space="preserve"> test system, offers high-density instrumentation for low-cost testing of microcontrollers, application specific standard products (“ASSP”), power management, display drivers, sensors and other mixed signal devices. The PAx series of testers is focused primarily on the RF Front End IC and Module market.</w:t>
      </w:r>
    </w:p>
    <w:p>
      <w:pPr>
        <w:spacing w:after="0" w:line="19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Semiconductor Handlers. </w:t>
      </w:r>
      <w:r>
        <w:rPr>
          <w:rFonts w:ascii="Times New Roman" w:cs="Times New Roman" w:eastAsia="Times New Roman" w:hAnsi="Times New Roman"/>
          <w:sz w:val="18"/>
          <w:szCs w:val="18"/>
          <w:color w:val="auto"/>
        </w:rPr>
        <w:t>Semiconductor test handlers are used in conjunction with semiconductor ATE to automate the testing of packaged semiconductor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devices. Our handlers support a variety of package sizes and device types, including those used in automotive, mobile, industrial, computing applications, among others. We offer a broad range of test handlers, including pick-and-place, turret, gravity, strip, MEMS and thermal sub-systems, along with inspection handlers that perform automated optical inspection of semiconductor devices.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Interface Products. </w:t>
      </w:r>
      <w:r>
        <w:rPr>
          <w:rFonts w:ascii="Times New Roman" w:cs="Times New Roman" w:eastAsia="Times New Roman" w:hAnsi="Times New Roman"/>
          <w:sz w:val="18"/>
          <w:szCs w:val="18"/>
          <w:color w:val="auto"/>
        </w:rPr>
        <w:t>Our interface products are comprised of test contactors, probe heads and probe pins. Test contactors serve as the interface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 handler and the semiconductor device under test such as digital semiconductor devices utilizing spring probe technology, power management and LED semiconductor devices utilizing cantilever technology, and RF semiconductor devices based on contacts designed to operate at high frequencies. Test contactors and probe heads are specific to individual semiconductor device designs, need to be replaced frequently and increase in size with the number of devices tested in parallel. Interface Products are included in our recurring revenues.</w:t>
      </w:r>
    </w:p>
    <w:p>
      <w:pPr>
        <w:spacing w:after="0" w:line="183"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Data Analytics. </w:t>
      </w:r>
      <w:r>
        <w:rPr>
          <w:rFonts w:ascii="Times New Roman" w:cs="Times New Roman" w:eastAsia="Times New Roman" w:hAnsi="Times New Roman"/>
          <w:sz w:val="18"/>
          <w:szCs w:val="18"/>
          <w:color w:val="auto"/>
        </w:rPr>
        <w:t>Our data analytics product, DI-Core, is a comprehensive software suite used to optimize Cohu equipment performance. DI-Core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real-time online performance monitoring and process control to improve utilization, manages preventative and predictive maintenance to improve overall equipment efficiency, links semiconductor tester, handler and test contactor data for intelligence and extended device tracking, and provides a knowledge database and unified reports for quickly identifying issues and retaining historical performance data.</w:t>
      </w:r>
    </w:p>
    <w:p>
      <w:pPr>
        <w:spacing w:after="0" w:line="18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Spares and Kits. </w:t>
      </w:r>
      <w:r>
        <w:rPr>
          <w:rFonts w:ascii="Times New Roman" w:cs="Times New Roman" w:eastAsia="Times New Roman" w:hAnsi="Times New Roman"/>
          <w:sz w:val="18"/>
          <w:szCs w:val="18"/>
          <w:color w:val="auto"/>
        </w:rPr>
        <w:t>We provide consumable, non-consumable and spare items that are used to maintain, sustain or otherwise enable customers’ equipment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its performance, availability and production requirements. We also design and manufacture a wide range of device dedication kits that enable handlers to process different semiconductor packages. Spares and Kits are included in our recurring revenues.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products, like virtually all companies in the semiconductor and electronics industries, contain various metals including tantalum, tin, tungsten and gold, which originate in mines throughout the world. Like other companies in the semiconductor and electronics industries, we have a complex globally dispersed supply chain with multiple tiers of suppliers between Cohu and the actual mining of the Conflict Minerals used in our products. As a downstream company, we do not directly purchase these minerals, nor do we have any direct relationship with mines or smelters that process these minerals. Therefore, we must rely on the good faith efforts of our suppliers and component manufacturers, including sub-tier suppliers, to provide us with information on the origin of the materials contained in our products and product components.</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the Act and the Rule, we are required to make certain inquires and perform certain due diligence with respect to any Conflict Minerals that are necessary to the functionality or production of a product manufactured or contracted to be manufactured by us or any of our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Conflict Minerals Report contains forward-looking statements, which are based on our current expectations and involve numerous risks and uncertainties that may cause these forward-looking statements to be inaccurate. These statements include information regarding our goals for future improvements to our due diligence process and to mitigate the risk about the sourcing of our conflict minerals. All forward-looking statements involve risk and uncertainty. Risks that may cause these forward-looking statements to be inaccurate include: failure to carry out these plans in a timely manner or at all; lack of cooperation or progress by our suppliers, their respective suppliers and smelters; lack of progress by smelter or refiner validation programs for conflict minerals (including the possibility of inaccurate information, fraud and other irregularities) or these plans may not be effective. In addition, you should also consider the important factors described in reports and documents that we file from time to time with the SEC, including the factors described under the sections titled “Risk Factors” in the Company’s most recently submitted Quarterly or Annual Reports. Except as required by law, we disclaim any obligation to update information contained in these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Due Diligence Process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 the current reporting period we conducted a Reasonable Country of Origin Inquiry (“RCOI”), regarding sub-assemblies, parts and raw materials parts provided by our suppliers. Consistent with prior years, we utilized the due diligence framework advocated by the Organization for Economic Co-operation and Development (“OECD”), as tailored for downstream companies and among other actions, implemented the internal due diligence guidance of the OECD as it pertains to Conflict Minerals sourcing. We continued to employ an internal Conflict Minerals Compliance Team (“Team”) to support our supply chain due diligence. The Team includes members of our Senior Management and appropriate employees within our quality, supply chain, finance and operations departments. Our due diligence includes, but is not limited to, the following steps:</w:t>
      </w:r>
    </w:p>
    <w:p>
      <w:pPr>
        <w:spacing w:after="0" w:line="187" w:lineRule="exact"/>
        <w:rPr>
          <w:sz w:val="20"/>
          <w:szCs w:val="20"/>
          <w:color w:val="auto"/>
        </w:rPr>
      </w:pPr>
    </w:p>
    <w:p>
      <w:pPr>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step of our internal due diligence was to evaluate our products to determine if they contain any Conflict Minerals that are necessary to the product’s functionality or production. After determining that certain of our products contained Conflict Minerals necessary to product functionality, we performed a review of our list of suppliers that provide us with those items identified as containing Conflict Minerals.</w:t>
      </w:r>
    </w:p>
    <w:p>
      <w:pPr>
        <w:spacing w:after="0" w:line="175" w:lineRule="exact"/>
        <w:rPr>
          <w:rFonts w:ascii="Times New Roman" w:cs="Times New Roman" w:eastAsia="Times New Roman" w:hAnsi="Times New Roman"/>
          <w:sz w:val="18"/>
          <w:szCs w:val="18"/>
          <w:color w:val="auto"/>
        </w:rPr>
      </w:pPr>
    </w:p>
    <w:p>
      <w:pPr>
        <w:ind w:left="660" w:right="3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Team conducted a RCOI with our suppliers to determine whether in-scope Conflict Mineral content originated in the DRC or one of the Covered Countries. We utilized the Responsible Minerals Initiative (“RMI”) standardized supplier survey and its Conflict Minerals Reporting Template (“CMRT”) to gather information that would enable us to evaluate the source and chain of custody of the materials that suppliers provided.</w:t>
      </w:r>
    </w:p>
    <w:p>
      <w:pPr>
        <w:spacing w:after="0" w:line="179"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purpose of the CMRT is to determine the source of the identified Conflict Minerals to identify whether (i) Conflict Minerals sourced by our suppliers originated in the DRC and (ii) smelters used by our suppliers (or our supplier’s suppliers) have been validated as compliant in accordance with the RMI’s Conflict Free Smelter Program (“CFSP”), including the country of origin, location of the mine or the smelter from which the materials were produced, or determine if the materials originated from scrap or recycled sources.</w:t>
      </w:r>
    </w:p>
    <w:p>
      <w:pPr>
        <w:spacing w:after="0" w:line="179"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Team categorized our suppliers into three types: manufacturing partners; component suppliers; and logistics and service providers. For purposes of our current year RCOI, logistics and service providers were excluded as we concluded that they do not provide us with any materials within the scope of the Act and the Rule. Subsequently, as it relates to our manufacturing partners and components suppliers surveyed (collectively referred to as “in-scope suppliers”), our RCOI due diligence performed was conducted per guidelines fostered by the OCED and the Global e-Sustainability Initiative (“GeSI”) as follows:</w:t>
      </w:r>
    </w:p>
    <w:p>
      <w:pPr>
        <w:spacing w:after="0" w:line="183" w:lineRule="exact"/>
        <w:rPr>
          <w:sz w:val="20"/>
          <w:szCs w:val="20"/>
          <w:color w:val="auto"/>
        </w:rPr>
      </w:pPr>
    </w:p>
    <w:p>
      <w:pPr>
        <w:ind w:left="1060" w:right="140" w:hanging="323"/>
        <w:spacing w:after="0" w:line="261"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defined our supply chain due diligence scope of work to include our in-scope suppliers and we encouraged them to join RBA to further provide transparency evidencing their commitment to becoming conflict-free and to engage with our industry’s effort to achieve the OCED mission of cultivating transparent mineral supply chains and sustainable corporate engagement in creating a responsible global minerals supply chain.</w:t>
      </w:r>
    </w:p>
    <w:p>
      <w:pPr>
        <w:spacing w:after="0" w:line="179" w:lineRule="exact"/>
        <w:rPr>
          <w:rFonts w:ascii="Times New Roman" w:cs="Times New Roman" w:eastAsia="Times New Roman" w:hAnsi="Times New Roman"/>
          <w:sz w:val="18"/>
          <w:szCs w:val="18"/>
          <w:color w:val="auto"/>
        </w:rPr>
      </w:pPr>
    </w:p>
    <w:p>
      <w:pPr>
        <w:ind w:left="1060" w:right="40" w:hanging="323"/>
        <w:spacing w:after="0" w:line="261"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utilization of the industry standard templates and tools aids us in establishing consistency and transparency throughout our supply chain. We employed iPoint-Systems (“iPoint”), a leading provider of software for environmental and social product compliance to collect CMRT’s posted by our suppliers. The Team validated, managed and aggregated the data reported within iPoint and reported the results to senior management.</w:t>
      </w:r>
    </w:p>
    <w:p>
      <w:pPr>
        <w:spacing w:after="0" w:line="179" w:lineRule="exact"/>
        <w:rPr>
          <w:rFonts w:ascii="Times New Roman" w:cs="Times New Roman" w:eastAsia="Times New Roman" w:hAnsi="Times New Roman"/>
          <w:sz w:val="18"/>
          <w:szCs w:val="18"/>
          <w:color w:val="auto"/>
        </w:rPr>
      </w:pPr>
    </w:p>
    <w:p>
      <w:pPr>
        <w:ind w:left="1060" w:right="560" w:hanging="323"/>
        <w:spacing w:after="0" w:line="266"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of our suppliers execute and post their CMRT’s on the online site documenting smelters and countries of origin for the conflict minerals contained in their products. Some suppliers forwarded their CMRT’s directly to us. We contacted suppliers whose responses contained incomplete or unclear information to request further clarification.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 w:name="page7"/>
    <w:bookmarkEnd w:id="6"/>
    <w:p>
      <w:pPr>
        <w:ind w:left="1060" w:hanging="323"/>
        <w:spacing w:after="0" w:line="258"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cross referenced the smelter information provided by our suppliers against the RMI Standard Conflict Free Smelter list to validate our supplier conformance and results compiled for reference in Annex A. The RMI Standard Smelter List was developed for verification of those Smelters that are compliant in accordance with OECD guidance and have been subject to an independent third-party audit to assess whether a smelter entity employed RMI policies, practices, and procedures to source conflict free minerals. Some of these Smelters listed may still be actively in the process of gaining certification.</w:t>
      </w:r>
    </w:p>
    <w:p>
      <w:pPr>
        <w:spacing w:after="0" w:line="183" w:lineRule="exact"/>
        <w:rPr>
          <w:rFonts w:ascii="Times New Roman" w:cs="Times New Roman" w:eastAsia="Times New Roman" w:hAnsi="Times New Roman"/>
          <w:sz w:val="18"/>
          <w:szCs w:val="18"/>
          <w:color w:val="auto"/>
        </w:rPr>
      </w:pPr>
    </w:p>
    <w:p>
      <w:pPr>
        <w:ind w:left="1060" w:right="60" w:hanging="323"/>
        <w:spacing w:after="0" w:line="282"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risk mitigation efforts with suppliers we identified to be out of conformity with our conflict minerals policy and supplier code of conduct by working with them to bring them into compliance.</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There are inherent limitations in our due diligence process. Cohu is an indirect purchaser of Conflict Minerals and our due diligence measures provide reasonable, not absolute, assurance regarding the source and chain of custody of the Conflict Minerals we utilize. As we do not have a direct relationship with smelters and refineries, we rely on the efforts of our suppliers to provide us with up-to-date and accurate smelter and refinery sourcing information. In turn, our suppliers seek similar information within their own supply chains to identify the original sources of Conflict Minerals and such sources of information may produce inaccurate or incomplete information.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Cohu utilizes certain small businesses, both domestic and international, within our supply chain. We have been informed that some of these suppliers have difficulty performing due diligence at their level of the supply chain. In addition, certain responding suppliers provided information that was incomplete. We were unable to obtain verifiable smelter data from such suppliers as a result. Non-responding suppliers failing to report produce a gap in smelter source determination for certain commodities.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continue to work with our suppliers on continuous improvement and strive to attain greater year over year reporting effectiveness. During the current year, we successfully achieved a 95.3% response rate of in-scope suppliers surveyed.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Identified 3TG Sourcing Information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Based on our due diligence process and the information received from our suppliers, the facilities presented in Annex A were identified by our suppliers as the smelters and refiners of the tin, tantalum, tungsten and gold present in and necessary to the functionality of our products manufactured in the twelve months ended December 31, 2021. The information from our suppliers is still evolving and the smelter list presented in Annex A is based on our good faith efforts.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RCOI Results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Based on the results of our due diligence efforts as described herein, we do not have sufficient information to conclusively determine the countries of origin of the Conflict Minerals in our products or whether the minerals in our products are from recycled or scrap sources, however, we have not identified any instances of sourcing that directly or indirectly supported conflict in the Covered Countries. Therefore, we are not declaring any of our products as DRC Conflict Free for the current reporting period and, accordingly, are not required to obtain an independent private sector audit of our Conflict Minerals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Steps towards Conflict Mineral Compliance</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Cohu will continue to exercise due diligence to identify risk of exposure to Conflict Minerals originating from Covered Countries. Moving forward, we intend to take the following steps with respect to our due diligence process to further mitigate the risk that Conflict Minerals in our products are sourced from the DRC or a Covered Country:</w:t>
      </w:r>
    </w:p>
    <w:p>
      <w:pPr>
        <w:spacing w:after="0" w:line="176" w:lineRule="exact"/>
        <w:rPr>
          <w:sz w:val="20"/>
          <w:szCs w:val="20"/>
          <w:color w:val="auto"/>
        </w:rPr>
      </w:pPr>
    </w:p>
    <w:p>
      <w:pPr>
        <w:ind w:left="660" w:right="2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invest in our strong management systems which include our global team of professionals from across our organization. Supply Chain, Quality and managers throughout our organization will continue to enforce our established policies with regard to the sourcing of Conflict Minerals, conduct due diligence and report the result of their efforts to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ind w:left="328" w:right="140" w:hanging="328"/>
        <w:spacing w:after="0" w:line="266"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incorporate Conflict Minerals compliance requirements into our supplier contracts, supplier performance review and retention process and require that all new suppliers agree to provide us with their Conflict Minerals compliance status during the supplier on-boarding and qualification process.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identify Conflict Minerals associated with new product launches.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encourage our suppliers to purchase materials from smelters listed in the Conflict Free Smelter List.</w:t>
      </w:r>
    </w:p>
    <w:p>
      <w:pPr>
        <w:spacing w:after="0" w:line="225" w:lineRule="exact"/>
        <w:rPr>
          <w:rFonts w:ascii="Times New Roman" w:cs="Times New Roman" w:eastAsia="Times New Roman" w:hAnsi="Times New Roman"/>
          <w:sz w:val="18"/>
          <w:szCs w:val="18"/>
          <w:color w:val="auto"/>
        </w:rPr>
      </w:pPr>
    </w:p>
    <w:p>
      <w:pPr>
        <w:ind w:left="328" w:hanging="328"/>
        <w:spacing w:after="0" w:line="261"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Conflict Minerals originating in the DRC are identified, after providing the opportunity to change, we expect to disengage from any suppliers found to be persisting in supplying us with Conflict Minerals from sources that support conflict in the DRC or any adjoining country. We intend to continue supporting, promoting and relying on industry initiatives, such as the RBA, GeSI and RMI, to validate that the sources of the minerals used in our products are not contributing to human rights violations.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348615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580"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Annex A. Smelter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information that was provided by our suppliers and otherwise obtained through the due diligence process, we believe that, to the extent reasonably determinable, the facilities that were used to process the Conflict Minerals contained in our products include the smelters and refiners listed below.</w:t>
      </w:r>
    </w:p>
    <w:p>
      <w:pPr>
        <w:spacing w:after="0" w:line="387"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88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82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Standard Smelter Name</w:t>
            </w:r>
          </w:p>
        </w:tc>
        <w:tc>
          <w:tcPr>
            <w:tcW w:w="28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Smelter Facility</w:t>
            </w:r>
          </w:p>
        </w:tc>
        <w:tc>
          <w:tcPr>
            <w:tcW w:w="270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Smelter Identification</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L'Orfebre S.A.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ANDORRA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CID002762</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Morris and Watson Gold Coast</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CID002866</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Western Australian Mint (T/a The</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AUSTRALIA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CID002030</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Perth Mint)</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Ogussa Osterreichische Gold- und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AUSTRIA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CID002779</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Silber-Scheideanstalt GmbH</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Tony Goetz NV</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CID002587</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Umicore S.A. Business Unit Precious</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BELGIUM</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CID001980</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Metals Refining</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AngloGold Ashanti Corrego do Sitio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CID000058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Mineracao</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Marsam Metals</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CID002606</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Umicore Brasil Ltda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CID001977</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Asahi Refining Canada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CID000924</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CCR Refinery - Glencore Canada</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CANADA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CID000185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Corporation</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Royal Canadian Mint</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CID001534</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CHILE</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CID002919</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Daye Non-Ferrous Metals Mining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CID000343</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Gold Refinery of Zijin Mining Group</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CID002243</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Great Wall Precious Metals Co., Ltd.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CID001909</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 CBPM</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CID002312</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Guoda Safina High-Tech</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CID000651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Environmental Refinery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Hangzhou Fuchunjiang Smelting Co.,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CID000671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Henan Yuguang Gold &amp; Lead Co.,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CID002519</w:t>
            </w:r>
          </w:p>
        </w:tc>
      </w:tr>
      <w:tr>
        <w:trPr>
          <w:trHeight w:val="231"/>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59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8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28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CID000707</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CID000767</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Hunan Guiyang yinxing Nonferrous</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CID000773</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Smelting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Inner Mongolia Qiankun Gold and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CID000801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Silver Refinery Share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Copper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CID000855</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Lingbao Gold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CID001056</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Lingbao Jinyuan Tonghui Refinery</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CID001058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Luoyang Zijin Yinhui Gold Refinery</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CID001093</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Metalor Technologies (Hong Kong)</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CID001149</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CID001147</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Penglai Penggang Gold Industry Co.,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CID001362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CID000522</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CID002525</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Shandong Tiancheng Biological 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CID001619</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Industrial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Shandong Zhaojin Gold &amp; Silver</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CID001622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Refinery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Shenzhen Zhonghenglong Real</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CID002527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Industry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Sichuan Tianze Precious Metals Co.,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CID001736</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Refinery of Shandong 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CID001916</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Mining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Tongling Nonferrous Metals Group</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CID001947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CID000197</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Zhongkuang Gold Industry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CID002214</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Zhongyuan Gold Smelter of Zhongjin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CID002224</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 Corporation</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 Metales Procesados Industriales</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COLOMBIA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CID003421</w:t>
            </w:r>
          </w:p>
        </w:tc>
      </w:tr>
      <w:tr>
        <w:trPr>
          <w:trHeight w:val="231"/>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SAS</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59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8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Sancus ZFS (L’Orfebre, SA)</w:t>
            </w:r>
          </w:p>
        </w:tc>
        <w:tc>
          <w:tcPr>
            <w:tcW w:w="28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COLOMBIA</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CID003529</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SAFINA A.S.</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CZECHIA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CID002290</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SAAMP</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FRANCE</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CID002761</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Allgemeine Gold-und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CID000035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Silberscheideanstalt A.G.</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Aurubis AG</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CID000113</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 Hafner GmbH + Co. KG</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CID000176</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Degussa Sonne / Mond Goldhandel</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CID002867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GmbH</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DODUCO Contacts and Refining</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CID000362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GmbH</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Heimerle + Meule GmbH</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CID000694</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Heraeus Precious Metals GmbH &amp;</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Co.GERMANY</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CID000711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KG</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SAXONIA Edelmetalle GmbH</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CID002777</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WIELAND Edelmetalle GmbH</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CID002778</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 Coast Refinery</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GHANA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CID003186</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CID003461</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Bangalore Refinery</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CID002863</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CGR Metalloys Pvt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CID003382</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Emerald Jewel Industry India Limited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CID003487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 1)</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Emerald Jewel Industry India Limited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CID003488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 2)</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Emerald Jewel Industry India Limited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CID003489</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 3)</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Emerald Jewel Industry India Limited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CID003490</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 4)</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GCC Gujrat Gold Centre Pvt.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CID002852</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JALAN &amp; Company</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CID002893</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Kundan Care Products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CID003463</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MD Overseas</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CID003548</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MMTC-PAMP India Pvt.,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CID002509</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Sai Refinery</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CID002853</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Shirpur Gold Refinery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CID002588</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Sovereign Metals</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CID003383</w:t>
            </w:r>
          </w:p>
        </w:tc>
      </w:tr>
      <w:tr>
        <w:trPr>
          <w:trHeight w:val="206"/>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CID001397</w:t>
            </w:r>
          </w:p>
        </w:tc>
      </w:tr>
      <w:tr>
        <w:trPr>
          <w:trHeight w:val="59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8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8853 S.p.A.</w:t>
            </w:r>
          </w:p>
        </w:tc>
        <w:tc>
          <w:tcPr>
            <w:tcW w:w="28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CID002763</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Chimet S.p.A.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CID000233</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Italpreziosi</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CID002765</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Safimet S.p.A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CID002973</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T.C.A S.p.A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CID002580</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CID000019</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Asahi Pretec Corp.</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CID000082</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Asaka Riken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CID000090</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Chugai Mining</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CID000264</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Dowa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CID000401</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Eco-System Recycling Co., Ltd. East</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CID000425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Plant</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Eco-System Recycling Co., Ltd. North</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CID003424</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Plant</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Eco-System Recycling Co., Ltd. West</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CID003425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Plant</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CID000807</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 Mint</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CID000823</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CID000937</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Kojima Chemicals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CID000981</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Matsuda Sangyo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CID001119</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CID001188</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CID001193</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Nihon Material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CID001259</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Ohura Precious Metal Industry Co.,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CID001325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CID001798</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Tanaka Kikinzoku Kogyo K.K.</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CID001875</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Tokuriki Honten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CID001938</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YAMAKIN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CID002100</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Yokohama Metal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CID002129</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Kazakhmys Smelting LLC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CID000956</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Kazzinc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CID000957</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TOO Tau-Ken-Altyn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CID002615</w:t>
            </w:r>
          </w:p>
        </w:tc>
      </w:tr>
      <w:tr>
        <w:trPr>
          <w:trHeight w:val="206"/>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Daejin Indus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CID000328</w:t>
            </w:r>
          </w:p>
        </w:tc>
      </w:tr>
      <w:tr>
        <w:trPr>
          <w:trHeight w:val="59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8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DSC (Do Sung Corporation)</w:t>
            </w:r>
          </w:p>
        </w:tc>
        <w:tc>
          <w:tcPr>
            <w:tcW w:w="28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CID000359</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Hwasung CJ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CID000778</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Metal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CID000988</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Zinc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CID002605</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LS-NIKKO Copper Inc.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CID001078</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 Metal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CID000689</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NH Recytech Company</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CID003189</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Samduck Precious Metals</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CID001555</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Samwon Metals Corp.</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CID001562</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SungEel HiMetal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CID002918</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Torecom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CID001955</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TSK Pretech</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CID003195</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Kyrgyzaltyn JSC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KYRGYZSTAN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CID001029</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State Research Institute Center for</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LITHUANIA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CID003153</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Physical Sciences and Technology</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Modeltech Sdn Bhd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CID002857</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Sellem Industries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MAURITANIA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CID003540</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Caridad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CID000180</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Metalurgica Met-Mex Penoles S.A.</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MEXICO</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CID001161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 C.V.</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REMONDIS PMR B.V.</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CID002582</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Schone Edelmetaal</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CID001573</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Morris and Watson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ZEALAND</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CID002282</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 Rasmussen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NORWAY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CID003497</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Bangko Sentral ng Pilipinas (Central</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PHILIPPINES</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CID000128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Bank of the Philippines)</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KGHM Polska Miedz Spolka Akcyjna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POLAND</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CID002511</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JSC Ekaterinburg Non-Ferrous Metal</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CID000927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Processing Plant</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JSC Novosibirsk Refinery</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CID000493</w:t>
            </w:r>
          </w:p>
        </w:tc>
      </w:tr>
      <w:tr>
        <w:trPr>
          <w:trHeight w:val="206"/>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JSC Uralelectromed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CID000929</w:t>
            </w:r>
          </w:p>
        </w:tc>
      </w:tr>
      <w:tr>
        <w:trPr>
          <w:trHeight w:val="59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8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Kyshtym Copper-Electrolytic Plant</w:t>
            </w:r>
          </w:p>
        </w:tc>
        <w:tc>
          <w:tcPr>
            <w:tcW w:w="28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CID002865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ZAO</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Moscow Special Alloys Processing</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CID001204</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Plant</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OJSC "The Gulidov Krasnoyarsk</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CID001326</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Non-Ferrous Metals Plant" (OJSC</w:t>
            </w:r>
          </w:p>
        </w:tc>
        <w:tc>
          <w:tcPr>
            <w:tcW w:w="284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Krastsvetmet)</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OJSC Kolyma Refinery</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CID001328</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CID001386</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SOE Shyolkovsky Factory of</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CID001756</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Secondary Precious Metals</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CID001032</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Metalor Technologies (Singapore)</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SINGAPORE</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CID001152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Pte.,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 Traders and Refiners</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CID002850</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CID003575</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Rand Refinery (Pty)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CID001512</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SEMPSA Joyería Platería SA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CID001585</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Sudan Gold Refinery</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SUDAN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CID002567</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Boliden AB</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SWEDEN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CID000157</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Argor-Heraeus S.A.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CID000077</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Cendres + Metaux S.A.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CID000189</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Metalor Technologies S.A.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CID001153</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PAMP S.A.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CID001352</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PX Precinox S.A.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CID001498</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Valcambi S.A.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CID002003</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Singway Technology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 OF 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CID002516</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Solar Applied Materials Technology</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TAIWAN, PROVINCE OF 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CID001761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Corp.</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 OF 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CID001810</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CID002314</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8"/>
              </w:rPr>
              <w:t>Atasay Kuyumculuk Sanayi Ve Ticaret</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TURKEY</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CID000103</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Istanbul Gold Refinery</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TURKEY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CID000814</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Nadir Metal Rafineri San. Ve Tic. A.S.</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TURKEY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CID001220</w:t>
            </w:r>
          </w:p>
        </w:tc>
      </w:tr>
      <w:tr>
        <w:trPr>
          <w:trHeight w:val="206"/>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African Gold Refinery</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UGANDA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CID003185</w:t>
            </w:r>
          </w:p>
        </w:tc>
      </w:tr>
      <w:tr>
        <w:trPr>
          <w:trHeight w:val="59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8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28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CID002560</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Dijllah Gold Refinery FZC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CID003348</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Emirates Gold DMCC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CID002561</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Fujairah Gold FZC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CID002584</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CID002562</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Kaloti Precious Metals</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CID002563</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CID002708</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Advanced Chemical Company</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CID000015</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Alexy Metals</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CID003500</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Asahi Refining USA Inc.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CID000920</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Elemetal Refining, LLC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CID001322</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Geib Refining Corporation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CID002459</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Kennecott Utah Copper LLC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CID000969</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Materion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CID001113</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Metallix Refining Inc.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CID003557</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CID001157</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Pease &amp; Curren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CID002872</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QG Refining, LLC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CID003324</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Republic Metals Corporation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CID002510</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Sabin Metal Corp.</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CID001546</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 Accurate Group, Inc.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CID001754</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CID001993</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Almalyk Mining and Metallurgical</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UZBEKISTAN</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CID000041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Complex (AMMC)</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Navoi Mining and Metallurgical</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UZBEKISTAN</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CID001236</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Combinat</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Universal Precious Metals Refining</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ZAMBIA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CID002854</w:t>
            </w:r>
          </w:p>
        </w:tc>
      </w:tr>
      <w:tr>
        <w:trPr>
          <w:trHeight w:val="231"/>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Zambia</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59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8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28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ZIMBABWE</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CID002515</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Plansee</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CID001368</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LSM Brasil S.A.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CID001076</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Mineracao Taboca S.A.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CID001175</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CID002707</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Changsha South Tantalum Niobium</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CID000211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Duoluoshan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CID000410</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CID000460</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CID002505</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Guangdong Rising Rare Metals-EO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CID000291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Materials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Guangdong Zhiyuan New Material</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CID000616</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Hengyang King Xing Lifeng New</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CID002492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Materials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Jiangxi Dinghai Tantalum &amp; Niobium</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CID002512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CID002842</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Jiujiang Janny New Material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CID003191</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JiuJiang JinXin Nonferrous Metals</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CID000914</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Jiujiang Tanbre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CID000917</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Jiujiang Zhongao Tantalum &amp;</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CID002506</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Niobium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8"/>
              </w:rPr>
              <w:t>Ningxia Orient Tantalum Industry Co.,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CID001277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RFH Yancheng Jinye New Material</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CID003583</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Technology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XIMEI RESOURCES</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CID000616</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(GUANGDONG) LIMITED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XinXing HaoRong Electronic Material</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CID002508</w:t>
            </w:r>
          </w:p>
        </w:tc>
      </w:tr>
      <w:tr>
        <w:trPr>
          <w:trHeight w:val="231"/>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59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8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Yanling Jincheng Tantalum &amp;</w:t>
            </w:r>
          </w:p>
        </w:tc>
        <w:tc>
          <w:tcPr>
            <w:tcW w:w="28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CID001522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Niobium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Zhuzhou Cemented Carbide Group</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CID002232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NPM Silmet AS</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ESTONIA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CID001200</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H.C. Starck Group</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CID000654</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H.C. Starck Hermsdorf GmbH</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CID002547</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H.C. Starck Smelting GmbH &amp; Co.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CID002550</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KG</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H.C. Starck Tantalum and Niobium</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CID002545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GmbH</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TANIOBIS Smelting GmbH &amp; Co.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CID002550</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KG</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CID001163</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Asaka Riken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CID000092</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CID002558</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H.C. Starck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CID002549</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 New Metals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CID000825</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CID001192</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Taki Chemical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CID001869</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TANIOBIS Japan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CID002549</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CID001969</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KEMET Blue Metals</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CID002539</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PRG Dooel</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NORTH MACEDONIA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CID002847</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CID001769</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H.C. Starck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CID002544</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CP Metals Inc.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CID003402</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 Block Metals, LLC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CID002504</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Exotech Inc.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CID000456</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Global Advanced Metals</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CID000564</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CID002557</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H.C. Starck Inc.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CID002548</w:t>
            </w:r>
          </w:p>
        </w:tc>
      </w:tr>
      <w:tr>
        <w:trPr>
          <w:trHeight w:val="206"/>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Hi-Temp Specialty Metals, Inc.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CID000731</w:t>
            </w:r>
          </w:p>
        </w:tc>
      </w:tr>
      <w:tr>
        <w:trPr>
          <w:trHeight w:val="59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8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KEMET Blue Powder</w:t>
            </w:r>
          </w:p>
        </w:tc>
        <w:tc>
          <w:tcPr>
            <w:tcW w:w="28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CID002568</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QuantumClean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CID001508</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Telex Metals</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CID001891</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Metallo Belgium N.V.</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CID002773</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EM Vinto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BOLIVIA (PLURINATIONAL</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CID000438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STATE OF)</w:t>
            </w: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Operaciones Metalurgicas S.A.</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BOLIVIA (PLURINATIONAL</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CID001337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STATE OF)</w:t>
            </w: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Cooperativa Metalurgica de Rondonia</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CID000295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Ltda.</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CRM Fundicao De Metais E</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CID003486</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Comercio De Equipamentos</w:t>
            </w:r>
          </w:p>
        </w:tc>
        <w:tc>
          <w:tcPr>
            <w:tcW w:w="284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Eletronicos Do Brasil Ltda</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Estanho de Rondonia S.A.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CID000448</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Magnu's Minerais Metais e Ligas</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CID002468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Ltda.</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Melt Metais e Ligas S.A.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CID002500</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Mineracao Taboca S.A.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CID001173</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CID002706</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Soft Metais Ltda.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CID001758</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Super Ligas</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CID002756</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White Solder Metalurgia e Mineracao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CID002036</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Ltda.</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Chenzhou Yunxiang Mining and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CID000228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Metallurgy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Chifeng Dajingzi Tin Industry Co.,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CID003190</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 Tin Group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CID001070</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CNMC (Guangxi) PGMA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CID000278</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Dongguan CiEXPO Environmental</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CID003356</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Engineering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Gejiu City Fuxiang Industry and Trade</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CID003410</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Gejiu Fengming Metallurgy Chemical</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CID002848</w:t>
            </w:r>
          </w:p>
        </w:tc>
      </w:tr>
      <w:tr>
        <w:trPr>
          <w:trHeight w:val="231"/>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Plant</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59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8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Gejiu Jinye Mineral Company</w:t>
            </w:r>
          </w:p>
        </w:tc>
        <w:tc>
          <w:tcPr>
            <w:tcW w:w="28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CID002859</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Gejiu Kai Meng Industry and Trade</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CID000942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LLC</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Gejiu Non-Ferrous Metal Processing</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CID000538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Gejiu Yunxin Nonferrous Electrolysis</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CID001908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Gejiu Zili Mining And Metallurgy</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CID000555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Guangdong Hanhe Non-Ferrous Metal</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CID003116</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Guanyang Guida Nonferrous Metal</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CID002849</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Smelting Plant</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CID002844</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Huichang Jinshunda Tin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CID000760</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Jiangxi Ketai Advanced Material Co.,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CID000244</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Jiangxi New Nanshan Technology</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CID001231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Linwu Xianggui Ore Smelting Co.,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CID001063</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CID003379</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Yunnan Chengfeng Non-ferrous</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CID002158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Metals Co.,Ltd.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Yunnan Tin Company Limited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CID002180</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Yunnan Yunfan Non-ferrous Metals</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CID003397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Precious Minerals and Smelting</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CID003409</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Limited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CV Ayi Jaya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CID002570</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CV Dua Sekawan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CID002592</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CV Gita Pesona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CID000306</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CV Makmur Jaya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CID000308</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CV United Smelting</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CID000315</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CV Venus Inti Perkasa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CID002455</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Alam Lestari Kencana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CID001393</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CID000309</w:t>
            </w:r>
          </w:p>
        </w:tc>
      </w:tr>
      <w:tr>
        <w:trPr>
          <w:trHeight w:val="206"/>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Artha Cipta Langgeng</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CID001399</w:t>
            </w:r>
          </w:p>
        </w:tc>
      </w:tr>
      <w:tr>
        <w:trPr>
          <w:trHeight w:val="59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8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28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CID002503</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Babel Inti Perkasa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CID001402</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CID001406</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Bangka Kudai 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CID001409</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Bangka Prima 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CID002776</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Bangka Putra Karya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CID001412</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Bangka Serumpun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CID003205</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Bangka Timah Utama Sejahtera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CID001416</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Bangka Tin Industry</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CID001419</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Belitung Industri Sejahtera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CID001421</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BilliTin Makmur Lestari</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CID001424</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Bukit Timah</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CID001428</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Cipta Persada Mulia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CID002696</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DS Jaya Abadi</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CID001434</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Eunindo Usaha Mandiri</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CID001438</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Inti Stania Prima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CID002530</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Justindo</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CID000307</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Karimun Mining</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CID001448</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Kijang Jaya Mandiri</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CID002829</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Koba 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CID001449</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Lautan Harmonis Sejahtera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CID002870</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Menara Cipta Mulia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CID002835</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Mitra Stania Prima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CID001453</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CID003449</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Panca Mega Persada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CID001457</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Premium Tin Indonesia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CID000313</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Prima Timah Utama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CID001458</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Rajawali Rimba Perkasa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CID003381</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Rajehan Ariq</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CID002593</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Refined Bangka 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CID001460</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Sariwiguna Binasentosa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CID001463</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Seirama Tin Investment</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CID001466</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Stanindo Inti Perkasa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CID001468</w:t>
            </w:r>
          </w:p>
        </w:tc>
      </w:tr>
      <w:tr>
        <w:trPr>
          <w:trHeight w:val="206"/>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Sukses Inti Makmur</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CID002816</w:t>
            </w:r>
          </w:p>
        </w:tc>
      </w:tr>
      <w:tr>
        <w:trPr>
          <w:trHeight w:val="59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3808730</wp:posOffset>
            </wp:positionH>
            <wp:positionV relativeFrom="page">
              <wp:posOffset>378460</wp:posOffset>
            </wp:positionV>
            <wp:extent cx="8890" cy="5198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519874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3"/>
        </w:trPr>
        <w:tc>
          <w:tcPr>
            <w:tcW w:w="28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PT Sumber Jaya Indah</w:t>
            </w:r>
          </w:p>
        </w:tc>
        <w:tc>
          <w:tcPr>
            <w:tcW w:w="28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CID001471</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Timah Nusantara</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CID001486</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Timah Tbk Kundur</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CID001477</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Timah Tbk Mentok</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CID001482</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Tinindo Inter Nusa</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CID001490</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Tirus Putra Mandiri</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CID002478</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Tommy Utama</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CID001493</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Dowa</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CID000402</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CID001191</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Malaysia Smelting Corporation</w:t>
            </w:r>
          </w:p>
        </w:tc>
        <w:tc>
          <w:tcPr>
            <w:tcW w:w="286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MALAYSIA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CID001105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(MSC)</w:t>
            </w:r>
          </w:p>
        </w:tc>
        <w:tc>
          <w:tcPr>
            <w:tcW w:w="286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Modeltech Sdn Bhd</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CID002858</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Pongpipat Company Limited</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MYANMAR</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CID003208</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Minsur</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PERU</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CID001182</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CID002517</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Fenix Metals</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CID000468</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Novosibirsk Processing Plant Ltd.</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CID001305</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Luna Smelter, Ltd.</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RWANDA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CID003387</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CRM Synergies</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CID003524</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Metallo Spain S.L.U.</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CID002774</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Rui Da Hung</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CID001539</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O.M. Manufacturing (Thailand) Co.,</w:t>
            </w:r>
          </w:p>
        </w:tc>
        <w:tc>
          <w:tcPr>
            <w:tcW w:w="286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THAILAND</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CID001314</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6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Thaisarco</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CID001898</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Alpha</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CID000292</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Metallic Resources, Inc.</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CID001142</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CID003325</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 Vinh Joint Stock Mineral</w:t>
            </w:r>
          </w:p>
        </w:tc>
        <w:tc>
          <w:tcPr>
            <w:tcW w:w="286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CID002703</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Processing Company</w:t>
            </w:r>
          </w:p>
        </w:tc>
        <w:tc>
          <w:tcPr>
            <w:tcW w:w="286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66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Electro-Mechanical Facility of the CaoVIET NAM</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CID002572</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Bang Minerals &amp; Metallurgy Joint</w:t>
            </w:r>
          </w:p>
        </w:tc>
        <w:tc>
          <w:tcPr>
            <w:tcW w:w="286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 Company</w:t>
            </w:r>
          </w:p>
        </w:tc>
        <w:tc>
          <w:tcPr>
            <w:tcW w:w="286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Nghe Tinh Non-Ferrous Metals Joint</w:t>
            </w:r>
          </w:p>
        </w:tc>
        <w:tc>
          <w:tcPr>
            <w:tcW w:w="286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CID002573</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 Company</w:t>
            </w:r>
          </w:p>
        </w:tc>
        <w:tc>
          <w:tcPr>
            <w:tcW w:w="286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Thai Nguyen Mining and Metallurgy</w:t>
            </w:r>
          </w:p>
        </w:tc>
        <w:tc>
          <w:tcPr>
            <w:tcW w:w="286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CID002834</w:t>
            </w:r>
          </w:p>
        </w:tc>
      </w:tr>
      <w:tr>
        <w:trPr>
          <w:trHeight w:val="231"/>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6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598"/>
        </w:trPr>
        <w:tc>
          <w:tcPr>
            <w:tcW w:w="28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1" w:name="page22"/>
    <w:bookmarkEnd w:id="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8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Tuyen Quang Non-Ferrous Metals</w:t>
            </w:r>
          </w:p>
        </w:tc>
        <w:tc>
          <w:tcPr>
            <w:tcW w:w="28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CID002574</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Joint Stock Company</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CID002015</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CID002044</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ACL Metais Eireli</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CID002833</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Albasteel Industria e Comercio de</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CID003427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Ligas Para Fundicao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Cronimet Brasil Ltda</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CID003468</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Chenzhou Diamond 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CID002513</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Products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 Molybdenum Tungsten Co.,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CID002641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Chongyi Zhangyuan Tungsten Co.,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CID000258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CNMC (Guangxi) PGMA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CID000281</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Dayu Weiliang Tungsten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CID000345</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Fujian Ganmin RareMetal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CID003401</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Fujian Jinxin Tungsten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CID000499</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Ganzhou Haichuang Tungsten Co.,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CID002645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Ganzhou Huaxing Tungsten Products</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CID000875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Ganzhou Jiangwu Ferrotungsten Co.,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CID002315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Ganzhou Non-ferrous Metals Smelting</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CID000868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Ganzhou Seadragon W &amp; Mo Co.,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CID002494</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Ganzhou Yatai Tungsten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CID002536</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GEM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CID003417</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Guangdong Xianglu Tungsten Co.,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CID000218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CID000766</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Hunan Chuangda Vanadium 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CID002579</w:t>
            </w:r>
          </w:p>
        </w:tc>
      </w:tr>
      <w:tr>
        <w:trPr>
          <w:trHeight w:val="231"/>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 Wuji</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59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2" w:name="page23"/>
    <w:bookmarkEnd w:id="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8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Hunan Chun-Chang Nonferrous</w:t>
            </w:r>
          </w:p>
        </w:tc>
        <w:tc>
          <w:tcPr>
            <w:tcW w:w="28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CID000769</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Smelting &amp; Concentrating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Hunan Litian Tungsten Industry Co.,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CID003182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Jiangwu H.C. Starck 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CID002551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Products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CID002321</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Jiangxi Minmetals Gao'an Non-ferrous</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CID002313</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Metals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Jiangxi Tonggu Non-ferrous</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CID002318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Metallurgical &amp; Chemical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Jiangxi Tungsten Industries Group</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CID000875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Xianglu Tungsten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CID002647</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Jiangxi Xinsheng Tungsten Industry</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CID002317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CID002316</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CID002319</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South-East Nonferrous Metal</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CID002815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 Limited of Hengyang City</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Xiamen Tungsten (H.C.)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CID002320</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Xiamen Tungsten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CID002082</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Xinfeng Huarui Tungsten &amp;</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CID002830</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Molybdenum New Material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Xinhai Rendan Shaoguan 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CID002095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Zhuzhou Cemented Carbide Group Co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CID002236</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H.C. Starck Smelting GmbH &amp; Co.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CID002542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KG</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H.C. Starck Tungsten GmbH</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CID002541</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HC Starck GmbH</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CID000683</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TANIOBIS Smelting GmbH &amp; Co.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CID002542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KG</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6"/>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A.L.M.T Corp.</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CID000004</w:t>
            </w:r>
          </w:p>
        </w:tc>
      </w:tr>
      <w:tr>
        <w:trPr>
          <w:trHeight w:val="59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3" w:name="page24"/>
    <w:bookmarkEnd w:id="2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8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 New Metals Co., Ltd.</w:t>
            </w:r>
          </w:p>
        </w:tc>
        <w:tc>
          <w:tcPr>
            <w:tcW w:w="28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CID000825</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KGETS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CID003388</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Woltech Korea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CID002843</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Philippine Chuangxin Industrial Co.,</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PHILIPPINES</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CID002827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Inc.</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Artek LLC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CID003553</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Hydrometallurg, JSC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CID002649</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CID003408</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Moliren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CID002845</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NPP Tyazhmetprom LLC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CID003416</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CID002724</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Wolfram Company CJSC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CID002047</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Lianyou Metals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 OF 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CID003407</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Global Tungsten &amp; Powders Corp.</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CID000568</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Kennametal Fallon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CID000966</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Kennametal Huntsville</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CID000105</w:t>
            </w:r>
          </w:p>
        </w:tc>
      </w:tr>
      <w:tr>
        <w:trPr>
          <w:trHeight w:val="210"/>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Niagara Refining LLC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CID002589</w:t>
            </w: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CID002502</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Masan Tungsten Chemical LLC</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CID002543</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(MTC)</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Tejing (Vietnam) Tungsten Co., Ltd.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CID001889</w:t>
            </w: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Vietnam Youngsun Tungsten Industry</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CID002011</w:t>
            </w:r>
          </w:p>
        </w:tc>
      </w:tr>
      <w:tr>
        <w:trPr>
          <w:trHeight w:val="231"/>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5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o"/>
      <w:numFmt w:val="bullet"/>
      <w:start w:val="1"/>
    </w:lvl>
  </w:abstractNum>
  <w:abstractNum w:abstractNumId="4">
    <w:nsid w:val="507ED7AB"/>
    <w:multiLevelType w:val="hybridMultilevel"/>
    <w:lvl w:ilvl="0">
      <w:lvlJc w:val="left"/>
      <w:lvlText w:val="o"/>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2022-05-19T15:12:08Z</dcterms:created>
  <dcterms:modified xsi:type="dcterms:W3CDTF">2022-05-19T15:12:08Z</dcterms:modified>
</cp:coreProperties>
</file>