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t>UNITED STATES</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SECURITIES AND EXCHANGE COMMISSION</w:t>
      </w: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78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February 15, 2018</w:t>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tbl>
      <w:tblPr>
        <w:tblLayout w:type="fixed"/>
        <w:tblInd w:w="8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4600" w:type="dxa"/>
            <w:vAlign w:val="bottom"/>
          </w:tcPr>
          <w:p>
            <w:pPr>
              <w:jc w:val="center"/>
              <w:ind w:right="150"/>
              <w:spacing w:after="0"/>
              <w:rPr>
                <w:sz w:val="20"/>
                <w:szCs w:val="20"/>
                <w:color w:val="auto"/>
              </w:rPr>
            </w:pPr>
            <w:r>
              <w:rPr>
                <w:rFonts w:ascii="Arial" w:cs="Arial" w:eastAsia="Arial" w:hAnsi="Arial"/>
                <w:sz w:val="18"/>
                <w:szCs w:val="18"/>
                <w:color w:val="auto"/>
                <w:w w:val="90"/>
              </w:rPr>
              <w:t>(Exact name of registrant as specified in its charter)</w:t>
            </w:r>
          </w:p>
        </w:tc>
        <w:tc>
          <w:tcPr>
            <w:tcW w:w="2240" w:type="dxa"/>
            <w:vAlign w:val="bottom"/>
          </w:tcPr>
          <w:p>
            <w:pPr>
              <w:spacing w:after="0"/>
              <w:rPr>
                <w:sz w:val="20"/>
                <w:szCs w:val="20"/>
                <w:color w:val="auto"/>
              </w:rPr>
            </w:pPr>
          </w:p>
        </w:tc>
      </w:tr>
      <w:tr>
        <w:trPr>
          <w:trHeight w:val="418"/>
        </w:trPr>
        <w:tc>
          <w:tcPr>
            <w:tcW w:w="2720" w:type="dxa"/>
            <w:vAlign w:val="bottom"/>
          </w:tcPr>
          <w:p>
            <w:pPr>
              <w:jc w:val="center"/>
              <w:ind w:left="110"/>
              <w:spacing w:after="0"/>
              <w:rPr>
                <w:sz w:val="20"/>
                <w:szCs w:val="20"/>
                <w:color w:val="auto"/>
              </w:rPr>
            </w:pPr>
            <w:r>
              <w:rPr>
                <w:rFonts w:ascii="Arial" w:cs="Arial" w:eastAsia="Arial" w:hAnsi="Arial"/>
                <w:sz w:val="18"/>
                <w:szCs w:val="18"/>
                <w:color w:val="auto"/>
                <w:w w:val="89"/>
              </w:rPr>
              <w:t>Delaware</w:t>
            </w:r>
          </w:p>
        </w:tc>
        <w:tc>
          <w:tcPr>
            <w:tcW w:w="4600" w:type="dxa"/>
            <w:vAlign w:val="bottom"/>
          </w:tcPr>
          <w:p>
            <w:pPr>
              <w:jc w:val="right"/>
              <w:ind w:right="1370"/>
              <w:spacing w:after="0"/>
              <w:rPr>
                <w:sz w:val="20"/>
                <w:szCs w:val="20"/>
                <w:color w:val="auto"/>
              </w:rPr>
            </w:pPr>
            <w:r>
              <w:rPr>
                <w:rFonts w:ascii="Arial" w:cs="Arial" w:eastAsia="Arial" w:hAnsi="Arial"/>
                <w:sz w:val="18"/>
                <w:szCs w:val="18"/>
                <w:color w:val="auto"/>
              </w:rPr>
              <w:t>001-04298</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89"/>
              </w:rPr>
              <w:t>95-1934119</w:t>
            </w:r>
          </w:p>
        </w:tc>
      </w:tr>
      <w:tr>
        <w:trPr>
          <w:trHeight w:val="216"/>
        </w:trPr>
        <w:tc>
          <w:tcPr>
            <w:tcW w:w="2720" w:type="dxa"/>
            <w:vAlign w:val="bottom"/>
          </w:tcPr>
          <w:p>
            <w:pPr>
              <w:jc w:val="center"/>
              <w:ind w:left="150"/>
              <w:spacing w:after="0"/>
              <w:rPr>
                <w:sz w:val="20"/>
                <w:szCs w:val="20"/>
                <w:color w:val="auto"/>
              </w:rPr>
            </w:pPr>
            <w:r>
              <w:rPr>
                <w:rFonts w:ascii="Arial" w:cs="Arial" w:eastAsia="Arial" w:hAnsi="Arial"/>
                <w:sz w:val="18"/>
                <w:szCs w:val="18"/>
                <w:color w:val="auto"/>
                <w:w w:val="89"/>
              </w:rPr>
              <w:t>_____________________</w:t>
            </w:r>
          </w:p>
        </w:tc>
        <w:tc>
          <w:tcPr>
            <w:tcW w:w="4600" w:type="dxa"/>
            <w:vAlign w:val="bottom"/>
          </w:tcPr>
          <w:p>
            <w:pPr>
              <w:jc w:val="right"/>
              <w:ind w:right="1170"/>
              <w:spacing w:after="0"/>
              <w:rPr>
                <w:sz w:val="20"/>
                <w:szCs w:val="20"/>
                <w:color w:val="auto"/>
              </w:rPr>
            </w:pPr>
            <w:r>
              <w:rPr>
                <w:rFonts w:ascii="Arial" w:cs="Arial" w:eastAsia="Arial" w:hAnsi="Arial"/>
                <w:sz w:val="18"/>
                <w:szCs w:val="18"/>
                <w:color w:val="auto"/>
              </w:rPr>
              <w:t>_____________</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89"/>
              </w:rPr>
              <w:t>______________</w:t>
            </w:r>
          </w:p>
        </w:tc>
      </w:tr>
      <w:tr>
        <w:trPr>
          <w:trHeight w:val="216"/>
        </w:trPr>
        <w:tc>
          <w:tcPr>
            <w:tcW w:w="2720" w:type="dxa"/>
            <w:vAlign w:val="bottom"/>
          </w:tcPr>
          <w:p>
            <w:pPr>
              <w:jc w:val="center"/>
              <w:ind w:left="150"/>
              <w:spacing w:after="0"/>
              <w:rPr>
                <w:sz w:val="20"/>
                <w:szCs w:val="20"/>
                <w:color w:val="auto"/>
              </w:rPr>
            </w:pPr>
            <w:r>
              <w:rPr>
                <w:rFonts w:ascii="Arial" w:cs="Arial" w:eastAsia="Arial" w:hAnsi="Arial"/>
                <w:sz w:val="18"/>
                <w:szCs w:val="18"/>
                <w:color w:val="auto"/>
                <w:w w:val="91"/>
              </w:rPr>
              <w:t>(State or other jurisdiction</w:t>
            </w:r>
          </w:p>
        </w:tc>
        <w:tc>
          <w:tcPr>
            <w:tcW w:w="4600" w:type="dxa"/>
            <w:vAlign w:val="bottom"/>
          </w:tcPr>
          <w:p>
            <w:pPr>
              <w:ind w:left="2260"/>
              <w:spacing w:after="0"/>
              <w:rPr>
                <w:sz w:val="20"/>
                <w:szCs w:val="20"/>
                <w:color w:val="auto"/>
              </w:rPr>
            </w:pPr>
            <w:r>
              <w:rPr>
                <w:rFonts w:ascii="Arial" w:cs="Arial" w:eastAsia="Arial" w:hAnsi="Arial"/>
                <w:sz w:val="18"/>
                <w:szCs w:val="18"/>
                <w:color w:val="auto"/>
              </w:rPr>
              <w:t>(Commission</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2"/>
              </w:rPr>
              <w:t>(I.R.S. Employer</w:t>
            </w:r>
          </w:p>
        </w:tc>
      </w:tr>
      <w:tr>
        <w:trPr>
          <w:trHeight w:val="230"/>
        </w:trPr>
        <w:tc>
          <w:tcPr>
            <w:tcW w:w="2720" w:type="dxa"/>
            <w:vAlign w:val="bottom"/>
          </w:tcPr>
          <w:p>
            <w:pPr>
              <w:jc w:val="center"/>
              <w:ind w:left="130"/>
              <w:spacing w:after="0"/>
              <w:rPr>
                <w:sz w:val="20"/>
                <w:szCs w:val="20"/>
                <w:color w:val="auto"/>
              </w:rPr>
            </w:pPr>
            <w:r>
              <w:rPr>
                <w:rFonts w:ascii="Arial" w:cs="Arial" w:eastAsia="Arial" w:hAnsi="Arial"/>
                <w:sz w:val="18"/>
                <w:szCs w:val="18"/>
                <w:color w:val="auto"/>
                <w:w w:val="93"/>
              </w:rPr>
              <w:t>of incorporation)</w:t>
            </w:r>
          </w:p>
        </w:tc>
        <w:tc>
          <w:tcPr>
            <w:tcW w:w="4600" w:type="dxa"/>
            <w:vAlign w:val="bottom"/>
          </w:tcPr>
          <w:p>
            <w:pPr>
              <w:ind w:left="2260"/>
              <w:spacing w:after="0"/>
              <w:rPr>
                <w:sz w:val="20"/>
                <w:szCs w:val="20"/>
                <w:color w:val="auto"/>
              </w:rPr>
            </w:pPr>
            <w:r>
              <w:rPr>
                <w:rFonts w:ascii="Arial" w:cs="Arial" w:eastAsia="Arial" w:hAnsi="Arial"/>
                <w:sz w:val="18"/>
                <w:szCs w:val="18"/>
                <w:color w:val="auto"/>
              </w:rPr>
              <w:t>File Number)</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720" w:type="dxa"/>
            <w:vAlign w:val="bottom"/>
          </w:tcPr>
          <w:p>
            <w:pPr>
              <w:jc w:val="center"/>
              <w:ind w:left="130"/>
              <w:spacing w:after="0"/>
              <w:rPr>
                <w:sz w:val="20"/>
                <w:szCs w:val="20"/>
                <w:color w:val="auto"/>
              </w:rPr>
            </w:pPr>
            <w:r>
              <w:rPr>
                <w:rFonts w:ascii="Arial" w:cs="Arial" w:eastAsia="Arial" w:hAnsi="Arial"/>
                <w:sz w:val="18"/>
                <w:szCs w:val="18"/>
                <w:color w:val="auto"/>
                <w:w w:val="91"/>
              </w:rPr>
              <w:t>12367 Crosthwaite Circle, Poway,</w:t>
            </w:r>
          </w:p>
        </w:tc>
        <w:tc>
          <w:tcPr>
            <w:tcW w:w="4600" w:type="dxa"/>
            <w:vAlign w:val="bottom"/>
          </w:tcPr>
          <w:p>
            <w:pPr>
              <w:spacing w:after="0"/>
              <w:rPr>
                <w:sz w:val="24"/>
                <w:szCs w:val="24"/>
                <w:color w:val="auto"/>
              </w:rPr>
            </w:pP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1"/>
              </w:rPr>
              <w:t>92064</w:t>
            </w:r>
          </w:p>
        </w:tc>
      </w:tr>
      <w:tr>
        <w:trPr>
          <w:trHeight w:val="216"/>
        </w:trPr>
        <w:tc>
          <w:tcPr>
            <w:tcW w:w="2720" w:type="dxa"/>
            <w:vAlign w:val="bottom"/>
          </w:tcPr>
          <w:p>
            <w:pPr>
              <w:jc w:val="center"/>
              <w:ind w:left="90"/>
              <w:spacing w:after="0"/>
              <w:rPr>
                <w:sz w:val="20"/>
                <w:szCs w:val="20"/>
                <w:color w:val="auto"/>
              </w:rPr>
            </w:pPr>
            <w:r>
              <w:rPr>
                <w:rFonts w:ascii="Arial" w:cs="Arial" w:eastAsia="Arial" w:hAnsi="Arial"/>
                <w:sz w:val="18"/>
                <w:szCs w:val="18"/>
                <w:color w:val="auto"/>
                <w:w w:val="97"/>
              </w:rPr>
              <w:t>California</w:t>
            </w:r>
          </w:p>
        </w:tc>
        <w:tc>
          <w:tcPr>
            <w:tcW w:w="46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7320" w:type="dxa"/>
            <w:vAlign w:val="bottom"/>
            <w:gridSpan w:val="2"/>
          </w:tcPr>
          <w:p>
            <w:pPr>
              <w:jc w:val="right"/>
              <w:ind w:right="4270"/>
              <w:spacing w:after="0"/>
              <w:rPr>
                <w:sz w:val="20"/>
                <w:szCs w:val="20"/>
                <w:color w:val="auto"/>
              </w:rPr>
            </w:pPr>
            <w:r>
              <w:rPr>
                <w:rFonts w:ascii="Arial" w:cs="Arial" w:eastAsia="Arial" w:hAnsi="Arial"/>
                <w:sz w:val="18"/>
                <w:szCs w:val="18"/>
                <w:color w:val="auto"/>
                <w:w w:val="89"/>
              </w:rPr>
              <w:t>_________________________________</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88"/>
              </w:rPr>
              <w:t>___________</w:t>
            </w:r>
          </w:p>
        </w:tc>
      </w:tr>
      <w:tr>
        <w:trPr>
          <w:trHeight w:val="230"/>
        </w:trPr>
        <w:tc>
          <w:tcPr>
            <w:tcW w:w="7320" w:type="dxa"/>
            <w:vAlign w:val="bottom"/>
            <w:gridSpan w:val="2"/>
          </w:tcPr>
          <w:p>
            <w:pPr>
              <w:jc w:val="center"/>
              <w:ind w:right="4290"/>
              <w:spacing w:after="0"/>
              <w:rPr>
                <w:sz w:val="20"/>
                <w:szCs w:val="20"/>
                <w:color w:val="auto"/>
              </w:rPr>
            </w:pPr>
            <w:r>
              <w:rPr>
                <w:rFonts w:ascii="Arial" w:cs="Arial" w:eastAsia="Arial" w:hAnsi="Arial"/>
                <w:sz w:val="18"/>
                <w:szCs w:val="18"/>
                <w:color w:val="auto"/>
                <w:w w:val="92"/>
              </w:rPr>
              <w:t>(Address of principal executive offices)</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1"/>
              </w:rPr>
              <w:t>(Zip Code)</w:t>
            </w:r>
          </w:p>
        </w:tc>
      </w:tr>
      <w:tr>
        <w:trPr>
          <w:trHeight w:val="432"/>
        </w:trPr>
        <w:tc>
          <w:tcPr>
            <w:tcW w:w="7320" w:type="dxa"/>
            <w:vAlign w:val="bottom"/>
            <w:gridSpan w:val="2"/>
          </w:tcPr>
          <w:p>
            <w:pPr>
              <w:jc w:val="right"/>
              <w:ind w:right="3270"/>
              <w:spacing w:after="0"/>
              <w:rPr>
                <w:sz w:val="20"/>
                <w:szCs w:val="20"/>
                <w:color w:val="auto"/>
              </w:rPr>
            </w:pPr>
            <w:r>
              <w:rPr>
                <w:rFonts w:ascii="Arial" w:cs="Arial" w:eastAsia="Arial" w:hAnsi="Arial"/>
                <w:sz w:val="18"/>
                <w:szCs w:val="18"/>
                <w:color w:val="auto"/>
                <w:w w:val="94"/>
              </w:rPr>
              <w:t>Registrant’s telephone number, including area code:</w:t>
            </w:r>
          </w:p>
        </w:tc>
        <w:tc>
          <w:tcPr>
            <w:tcW w:w="2240" w:type="dxa"/>
            <w:vAlign w:val="bottom"/>
          </w:tcPr>
          <w:p>
            <w:pPr>
              <w:jc w:val="right"/>
              <w:ind w:right="870"/>
              <w:spacing w:after="0"/>
              <w:rPr>
                <w:sz w:val="20"/>
                <w:szCs w:val="20"/>
                <w:color w:val="auto"/>
              </w:rPr>
            </w:pPr>
            <w:r>
              <w:rPr>
                <w:rFonts w:ascii="Arial" w:cs="Arial" w:eastAsia="Arial" w:hAnsi="Arial"/>
                <w:sz w:val="18"/>
                <w:szCs w:val="18"/>
                <w:color w:val="auto"/>
              </w:rPr>
              <w:t>858-848-8100</w:t>
            </w:r>
          </w:p>
        </w:tc>
      </w:tr>
      <w:tr>
        <w:trPr>
          <w:trHeight w:val="418"/>
        </w:trPr>
        <w:tc>
          <w:tcPr>
            <w:tcW w:w="2720" w:type="dxa"/>
            <w:vAlign w:val="bottom"/>
          </w:tcPr>
          <w:p>
            <w:pPr>
              <w:spacing w:after="0"/>
              <w:rPr>
                <w:sz w:val="24"/>
                <w:szCs w:val="24"/>
                <w:color w:val="auto"/>
              </w:rPr>
            </w:pPr>
          </w:p>
        </w:tc>
        <w:tc>
          <w:tcPr>
            <w:tcW w:w="4600" w:type="dxa"/>
            <w:vAlign w:val="bottom"/>
          </w:tcPr>
          <w:p>
            <w:pPr>
              <w:jc w:val="center"/>
              <w:ind w:right="170"/>
              <w:spacing w:after="0"/>
              <w:rPr>
                <w:sz w:val="20"/>
                <w:szCs w:val="20"/>
                <w:color w:val="auto"/>
              </w:rPr>
            </w:pPr>
            <w:r>
              <w:rPr>
                <w:rFonts w:ascii="Arial" w:cs="Arial" w:eastAsia="Arial" w:hAnsi="Arial"/>
                <w:sz w:val="18"/>
                <w:szCs w:val="18"/>
                <w:color w:val="auto"/>
                <w:w w:val="94"/>
              </w:rPr>
              <w:t>Not Applicable</w:t>
            </w:r>
          </w:p>
        </w:tc>
        <w:tc>
          <w:tcPr>
            <w:tcW w:w="2240" w:type="dxa"/>
            <w:vAlign w:val="bottom"/>
          </w:tcPr>
          <w:p>
            <w:pPr>
              <w:spacing w:after="0"/>
              <w:rPr>
                <w:sz w:val="24"/>
                <w:szCs w:val="24"/>
                <w:color w:val="auto"/>
              </w:rPr>
            </w:pPr>
          </w:p>
        </w:tc>
      </w:tr>
      <w:tr>
        <w:trPr>
          <w:trHeight w:val="216"/>
        </w:trPr>
        <w:tc>
          <w:tcPr>
            <w:tcW w:w="2720" w:type="dxa"/>
            <w:vAlign w:val="bottom"/>
          </w:tcPr>
          <w:p>
            <w:pPr>
              <w:spacing w:after="0"/>
              <w:rPr>
                <w:sz w:val="18"/>
                <w:szCs w:val="18"/>
                <w:color w:val="auto"/>
              </w:rPr>
            </w:pPr>
          </w:p>
        </w:tc>
        <w:tc>
          <w:tcPr>
            <w:tcW w:w="4600" w:type="dxa"/>
            <w:vAlign w:val="bottom"/>
          </w:tcPr>
          <w:p>
            <w:pPr>
              <w:jc w:val="center"/>
              <w:ind w:right="170"/>
              <w:spacing w:after="0"/>
              <w:rPr>
                <w:sz w:val="20"/>
                <w:szCs w:val="20"/>
                <w:color w:val="auto"/>
              </w:rPr>
            </w:pPr>
            <w:r>
              <w:rPr>
                <w:rFonts w:ascii="Arial" w:cs="Arial" w:eastAsia="Arial" w:hAnsi="Arial"/>
                <w:sz w:val="18"/>
                <w:szCs w:val="18"/>
                <w:color w:val="auto"/>
                <w:w w:val="89"/>
              </w:rPr>
              <w:t>______________________________________________</w:t>
            </w:r>
          </w:p>
        </w:tc>
        <w:tc>
          <w:tcPr>
            <w:tcW w:w="224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4600" w:type="dxa"/>
            <w:vAlign w:val="bottom"/>
          </w:tcPr>
          <w:p>
            <w:pPr>
              <w:jc w:val="center"/>
              <w:ind w:right="17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240" w:type="dxa"/>
            <w:vAlign w:val="bottom"/>
          </w:tcPr>
          <w:p>
            <w:pPr>
              <w:spacing w:after="0"/>
              <w:rPr>
                <w:sz w:val="20"/>
                <w:szCs w:val="20"/>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4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February 15, 2018, Cohu, Inc. (the “Company”) issued a press release regarding its financial results for the fourth quarter and full year ended December 30, 2017. The Company’s press release is attached as Exhibit 99.1 to this Current Report on Form 8-K and incorporated by reference herein.</w:t>
      </w:r>
    </w:p>
    <w:p>
      <w:pPr>
        <w:spacing w:after="0" w:line="12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financial results determined in accordance with generally accepted accounting principles (“GAAP”), this press release refers to financial information determined by methods other than in accordance with GAAP, including non-GAAP gross margin, Income and Income (earnings) per share. These non-GAAP financial measures adjust the Company's actual results prepared under GAAP to exclude charges and the related income tax effect for share-based compensation, the amortization of acquired intangible assets, manufacturing transition costs, employee severance costs, acquisition related costs, fair value adjustment to contingent consideration, purchase accounting inventory step-up included in cost of sales, the reduction of an uncertain tax position liability and related indemnification receivable and U.S. Tax Reform. The use of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the Company’s financial performance using some of the same measures as management. These disclosures should not be viewed as a substitute for (or superior to) operating results determined in accordance with GAAP, nor are they necessarily comparable to non-GAAP performance measures that may be presented by other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1010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Description – Fourth Quarter and Full Year 2017 Earnings Release, dated February 15, 2018, of Cohu,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Cohu, Inc.</w:t>
      </w:r>
    </w:p>
    <w:p>
      <w:pPr>
        <w:sectPr>
          <w:pgSz w:w="11900" w:h="16838" w:orient="portrait"/>
          <w:cols w:equalWidth="0" w:num="1">
            <w:col w:w="11220"/>
          </w:cols>
          <w:pgMar w:left="240" w:top="580"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February 16, 2018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Jeffrey D. Jones</w:t>
      </w:r>
    </w:p>
    <w:p>
      <w:pPr>
        <w:spacing w:after="0" w:line="46" w:lineRule="exact"/>
        <w:rPr>
          <w:sz w:val="20"/>
          <w:szCs w:val="20"/>
          <w:color w:val="auto"/>
        </w:rPr>
      </w:pPr>
    </w:p>
    <w:p>
      <w:pPr>
        <w:sectPr>
          <w:pgSz w:w="11900" w:h="16838" w:orient="portrait"/>
          <w:cols w:equalWidth="0" w:num="3">
            <w:col w:w="4900" w:space="720"/>
            <w:col w:w="240" w:space="600"/>
            <w:col w:w="4760"/>
          </w:cols>
          <w:pgMar w:left="240" w:top="580" w:right="439" w:bottom="1440" w:gutter="0" w:footer="0" w:header="0"/>
          <w:type w:val="continuous"/>
        </w:sectPr>
      </w:pPr>
    </w:p>
    <w:p>
      <w:pPr>
        <w:ind w:left="634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6"/>
          <w:szCs w:val="16"/>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20" w:type="dxa"/>
            <w:vAlign w:val="bottom"/>
          </w:tcPr>
          <w:p>
            <w:pPr>
              <w:ind w:left="2020"/>
              <w:spacing w:after="0"/>
              <w:rPr>
                <w:sz w:val="20"/>
                <w:szCs w:val="20"/>
                <w:color w:val="auto"/>
              </w:rPr>
            </w:pPr>
            <w:r>
              <w:rPr>
                <w:rFonts w:ascii="Arial" w:cs="Arial" w:eastAsia="Arial" w:hAnsi="Arial"/>
                <w:sz w:val="18"/>
                <w:szCs w:val="18"/>
                <w:color w:val="auto"/>
              </w:rPr>
              <w:t>Exhibit Index</w:t>
            </w:r>
          </w:p>
        </w:tc>
      </w:tr>
      <w:tr>
        <w:trPr>
          <w:trHeight w:val="64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20" w:type="dxa"/>
            <w:vAlign w:val="bottom"/>
          </w:tcPr>
          <w:p>
            <w:pPr>
              <w:spacing w:after="0"/>
              <w:rPr>
                <w:sz w:val="24"/>
                <w:szCs w:val="24"/>
                <w:color w:val="auto"/>
              </w:rPr>
            </w:pPr>
          </w:p>
        </w:tc>
        <w:tc>
          <w:tcPr>
            <w:tcW w:w="8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Fourth Quarter and Full Year 2017 Earnings Release, dated February 15, 2018, of Cohu, Inc.</w:t>
            </w:r>
          </w:p>
        </w:tc>
      </w:tr>
    </w:tbl>
    <w:p>
      <w:pPr>
        <w:sectPr>
          <w:pgSz w:w="11900" w:h="16838" w:orient="portrait"/>
          <w:cols w:equalWidth="0" w:num="1">
            <w:col w:w="11420"/>
          </w:cols>
          <w:pgMar w:left="240" w:top="584" w:right="2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306705</wp:posOffset>
            </wp:positionV>
            <wp:extent cx="3147060" cy="1457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4706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Fourth Quarter and Full Year 2017 Operating Results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Annual sales up 25% year-over-year to $352.7 million</w:t>
      </w:r>
    </w:p>
    <w:p>
      <w:pPr>
        <w:spacing w:after="0" w:line="252"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Full year GAAP earnings per share $1.15; non-GAAP earnings per share $1.54 Non-GAAP earnings per share increased 126% year-over-year</w:t>
      </w:r>
    </w:p>
    <w:p>
      <w:pPr>
        <w:spacing w:after="0" w:line="263" w:lineRule="exact"/>
        <w:rPr>
          <w:rFonts w:ascii="Arial" w:cs="Arial" w:eastAsia="Arial" w:hAnsi="Arial"/>
          <w:sz w:val="17"/>
          <w:szCs w:val="17"/>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Cash and investments increased to approximately $156 million</w:t>
      </w:r>
    </w:p>
    <w:p>
      <w:pPr>
        <w:spacing w:after="0" w:line="252"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Record quarter and full year orders</w:t>
      </w:r>
    </w:p>
    <w:p>
      <w:pPr>
        <w:spacing w:after="0" w:line="252" w:lineRule="exact"/>
        <w:rPr>
          <w:sz w:val="20"/>
          <w:szCs w:val="20"/>
          <w:color w:val="auto"/>
        </w:rPr>
      </w:pPr>
    </w:p>
    <w:p>
      <w:pPr>
        <w:ind w:right="180"/>
        <w:spacing w:after="0" w:line="308" w:lineRule="auto"/>
        <w:rPr>
          <w:sz w:val="20"/>
          <w:szCs w:val="20"/>
          <w:color w:val="auto"/>
        </w:rPr>
      </w:pPr>
      <w:r>
        <w:rPr>
          <w:rFonts w:ascii="Arial" w:cs="Arial" w:eastAsia="Arial" w:hAnsi="Arial"/>
          <w:sz w:val="16"/>
          <w:szCs w:val="16"/>
          <w:color w:val="auto"/>
        </w:rPr>
        <w:t>POWAY, Calif., February 15, 2018 -- Cohu, Inc. (NASDAQ: COHU), a leading supplier of semiconductor equipment, today reported fiscal 2017 fourth quarter net sales of $84.1 million and GAAP income of $6.9 million or $0.23 per share. Net sales for full year 2017 were $352.7 million and GAAP income</w:t>
      </w:r>
    </w:p>
    <w:p>
      <w:pPr>
        <w:ind w:right="40"/>
        <w:spacing w:after="0" w:line="280" w:lineRule="auto"/>
        <w:rPr>
          <w:sz w:val="20"/>
          <w:szCs w:val="20"/>
          <w:color w:val="auto"/>
        </w:rPr>
      </w:pPr>
      <w:r>
        <w:rPr>
          <w:rFonts w:ascii="Arial" w:cs="Arial" w:eastAsia="Arial" w:hAnsi="Arial"/>
          <w:sz w:val="18"/>
          <w:szCs w:val="18"/>
          <w:color w:val="auto"/>
        </w:rPr>
        <w:t xml:space="preserve">was $33.1 million or $1.15 per share. GAAP provision for income taxes for the fourth quarter and full year 2017 includes the Company’s provisional estimate of the impact of U.S. tax reform. </w:t>
      </w:r>
      <w:r>
        <w:rPr>
          <w:rFonts w:ascii="Arial" w:cs="Arial" w:eastAsia="Arial" w:hAnsi="Arial"/>
          <w:sz w:val="30"/>
          <w:szCs w:val="30"/>
          <w:color w:val="auto"/>
          <w:vertAlign w:val="superscript"/>
        </w:rPr>
        <w:t>(1) (2)</w:t>
      </w:r>
    </w:p>
    <w:p>
      <w:pPr>
        <w:spacing w:after="0" w:line="45"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color w:val="auto"/>
        </w:rPr>
        <w:t xml:space="preserve">The Company also reported non-GAAP results, with fourth quarter 2017 income of $8.1 million or $0.28 per share and income of $44.4 million or $1.54 per share for full year 2017. </w:t>
      </w:r>
      <w:r>
        <w:rPr>
          <w:rFonts w:ascii="Arial" w:cs="Arial" w:eastAsia="Arial" w:hAnsi="Arial"/>
          <w:sz w:val="30"/>
          <w:szCs w:val="30"/>
          <w:color w:val="auto"/>
          <w:vertAlign w:val="superscript"/>
        </w:rPr>
        <w:t>(1)</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609"/>
        </w:trPr>
        <w:tc>
          <w:tcPr>
            <w:tcW w:w="41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30"/>
                <w:szCs w:val="30"/>
                <w:b w:val="1"/>
                <w:bCs w:val="1"/>
                <w:color w:val="auto"/>
                <w:vertAlign w:val="superscript"/>
              </w:rPr>
              <w:t>(1) (2)</w:t>
            </w: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2"/>
            <w:vMerge w:val="restart"/>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1460" w:type="dxa"/>
            <w:vAlign w:val="bottom"/>
            <w:tcBorders>
              <w:top w:val="single" w:sz="8" w:color="auto"/>
            </w:tcBorders>
            <w:gridSpan w:val="2"/>
            <w:vMerge w:val="restart"/>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1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140" w:type="dxa"/>
            <w:vAlign w:val="bottom"/>
            <w:tcBorders>
              <w:left w:val="single" w:sz="8" w:color="auto"/>
            </w:tcBorders>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40" w:type="dxa"/>
            <w:vAlign w:val="bottom"/>
            <w:tcBorders>
              <w:left w:val="single" w:sz="8" w:color="auto"/>
            </w:tcBorders>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8"/>
                <w:szCs w:val="18"/>
                <w:b w:val="1"/>
                <w:bCs w:val="1"/>
                <w:color w:val="auto"/>
              </w:rPr>
              <w:t>Q4 FY</w:t>
            </w:r>
          </w:p>
        </w:tc>
        <w:tc>
          <w:tcPr>
            <w:tcW w:w="24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8"/>
                <w:szCs w:val="18"/>
                <w:b w:val="1"/>
                <w:bCs w:val="1"/>
                <w:color w:val="auto"/>
              </w:rPr>
              <w:t>Q3 FY</w:t>
            </w:r>
          </w:p>
        </w:tc>
        <w:tc>
          <w:tcPr>
            <w:tcW w:w="240" w:type="dxa"/>
            <w:vAlign w:val="bottom"/>
          </w:tcPr>
          <w:p>
            <w:pPr>
              <w:spacing w:after="0"/>
              <w:rPr>
                <w:sz w:val="18"/>
                <w:szCs w:val="18"/>
                <w:color w:val="auto"/>
              </w:rPr>
            </w:pPr>
          </w:p>
        </w:tc>
        <w:tc>
          <w:tcPr>
            <w:tcW w:w="1260" w:type="dxa"/>
            <w:vAlign w:val="bottom"/>
          </w:tcPr>
          <w:p>
            <w:pPr>
              <w:ind w:left="360"/>
              <w:spacing w:after="0"/>
              <w:rPr>
                <w:sz w:val="20"/>
                <w:szCs w:val="20"/>
                <w:color w:val="auto"/>
              </w:rPr>
            </w:pPr>
            <w:r>
              <w:rPr>
                <w:rFonts w:ascii="Arial" w:cs="Arial" w:eastAsia="Arial" w:hAnsi="Arial"/>
                <w:sz w:val="18"/>
                <w:szCs w:val="18"/>
                <w:b w:val="1"/>
                <w:bCs w:val="1"/>
                <w:color w:val="auto"/>
              </w:rPr>
              <w:t>Q4 FY</w:t>
            </w:r>
          </w:p>
        </w:tc>
        <w:tc>
          <w:tcPr>
            <w:tcW w:w="220" w:type="dxa"/>
            <w:vAlign w:val="bottom"/>
          </w:tcPr>
          <w:p>
            <w:pPr>
              <w:spacing w:after="0"/>
              <w:rPr>
                <w:sz w:val="18"/>
                <w:szCs w:val="18"/>
                <w:color w:val="auto"/>
              </w:rPr>
            </w:pPr>
          </w:p>
        </w:tc>
        <w:tc>
          <w:tcPr>
            <w:tcW w:w="1240" w:type="dxa"/>
            <w:vAlign w:val="bottom"/>
          </w:tcPr>
          <w:p>
            <w:pPr>
              <w:ind w:left="320"/>
              <w:spacing w:after="0"/>
              <w:rPr>
                <w:sz w:val="20"/>
                <w:szCs w:val="20"/>
                <w:color w:val="auto"/>
              </w:rPr>
            </w:pPr>
            <w:r>
              <w:rPr>
                <w:rFonts w:ascii="Arial" w:cs="Arial" w:eastAsia="Arial" w:hAnsi="Arial"/>
                <w:sz w:val="18"/>
                <w:szCs w:val="18"/>
                <w:b w:val="1"/>
                <w:bCs w:val="1"/>
                <w:color w:val="auto"/>
              </w:rPr>
              <w:t>Months</w:t>
            </w:r>
          </w:p>
        </w:tc>
        <w:tc>
          <w:tcPr>
            <w:tcW w:w="200" w:type="dxa"/>
            <w:vAlign w:val="bottom"/>
          </w:tcPr>
          <w:p>
            <w:pPr>
              <w:spacing w:after="0"/>
              <w:rPr>
                <w:sz w:val="18"/>
                <w:szCs w:val="18"/>
                <w:color w:val="auto"/>
              </w:rPr>
            </w:pPr>
          </w:p>
        </w:tc>
        <w:tc>
          <w:tcPr>
            <w:tcW w:w="136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34"/>
        </w:trPr>
        <w:tc>
          <w:tcPr>
            <w:tcW w:w="414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(in millions, except per share amounts)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2017</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2016</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2017</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lef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Net sales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$84.1</w:t>
            </w:r>
          </w:p>
        </w:tc>
        <w:tc>
          <w:tcPr>
            <w:tcW w:w="15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$93.7</w:t>
            </w:r>
          </w:p>
        </w:tc>
        <w:tc>
          <w:tcPr>
            <w:tcW w:w="1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$70.7</w:t>
            </w:r>
          </w:p>
        </w:tc>
        <w:tc>
          <w:tcPr>
            <w:tcW w:w="14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$352.7</w:t>
            </w:r>
          </w:p>
        </w:tc>
        <w:tc>
          <w:tcPr>
            <w:tcW w:w="14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$282.1</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left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lef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Income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$6.9</w:t>
            </w:r>
          </w:p>
        </w:tc>
        <w:tc>
          <w:tcPr>
            <w:tcW w:w="15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5"/>
              </w:rPr>
              <w:t>$8.8</w:t>
            </w:r>
          </w:p>
        </w:tc>
        <w:tc>
          <w:tcPr>
            <w:tcW w:w="1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$2.3</w:t>
            </w:r>
          </w:p>
        </w:tc>
        <w:tc>
          <w:tcPr>
            <w:tcW w:w="14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$33.1</w:t>
            </w:r>
          </w:p>
        </w:tc>
        <w:tc>
          <w:tcPr>
            <w:tcW w:w="14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5"/>
              </w:rPr>
              <w:t>$3.3</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Income per share</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$0.23</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$0.30</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$0.08</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$1.15</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$0.12</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40" w:type="dxa"/>
            <w:vAlign w:val="bottom"/>
            <w:tcBorders>
              <w:left w:val="single" w:sz="8" w:color="auto"/>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41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30"/>
                <w:szCs w:val="30"/>
                <w:b w:val="1"/>
                <w:bCs w:val="1"/>
                <w:color w:val="auto"/>
                <w:vertAlign w:val="superscript"/>
              </w:rPr>
              <w:t>(1)</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gridSpan w:val="2"/>
            <w:vMerge w:val="restart"/>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1460" w:type="dxa"/>
            <w:vAlign w:val="bottom"/>
            <w:gridSpan w:val="2"/>
            <w:vMerge w:val="restart"/>
          </w:tcPr>
          <w:p>
            <w:pPr>
              <w:jc w:val="center"/>
              <w:ind w:left="110"/>
              <w:spacing w:after="0"/>
              <w:rPr>
                <w:sz w:val="20"/>
                <w:szCs w:val="20"/>
                <w:color w:val="auto"/>
              </w:rPr>
            </w:pPr>
            <w:r>
              <w:rPr>
                <w:rFonts w:ascii="Arial" w:cs="Arial" w:eastAsia="Arial" w:hAnsi="Arial"/>
                <w:sz w:val="18"/>
                <w:szCs w:val="18"/>
                <w:b w:val="1"/>
                <w:bCs w:val="1"/>
                <w:color w:val="auto"/>
                <w:w w:val="89"/>
              </w:rPr>
              <w:t>12</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140" w:type="dxa"/>
            <w:vAlign w:val="bottom"/>
            <w:tcBorders>
              <w:left w:val="single" w:sz="8" w:color="auto"/>
            </w:tcBorders>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40" w:type="dxa"/>
            <w:vAlign w:val="bottom"/>
            <w:tcBorders>
              <w:left w:val="single" w:sz="8" w:color="auto"/>
            </w:tcBorders>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8"/>
                <w:szCs w:val="18"/>
                <w:b w:val="1"/>
                <w:bCs w:val="1"/>
                <w:color w:val="auto"/>
              </w:rPr>
              <w:t>Q4 FY</w:t>
            </w:r>
          </w:p>
        </w:tc>
        <w:tc>
          <w:tcPr>
            <w:tcW w:w="24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8"/>
                <w:szCs w:val="18"/>
                <w:b w:val="1"/>
                <w:bCs w:val="1"/>
                <w:color w:val="auto"/>
              </w:rPr>
              <w:t>Q3 FY</w:t>
            </w:r>
          </w:p>
        </w:tc>
        <w:tc>
          <w:tcPr>
            <w:tcW w:w="240" w:type="dxa"/>
            <w:vAlign w:val="bottom"/>
          </w:tcPr>
          <w:p>
            <w:pPr>
              <w:spacing w:after="0"/>
              <w:rPr>
                <w:sz w:val="18"/>
                <w:szCs w:val="18"/>
                <w:color w:val="auto"/>
              </w:rPr>
            </w:pPr>
          </w:p>
        </w:tc>
        <w:tc>
          <w:tcPr>
            <w:tcW w:w="1260" w:type="dxa"/>
            <w:vAlign w:val="bottom"/>
          </w:tcPr>
          <w:p>
            <w:pPr>
              <w:ind w:left="360"/>
              <w:spacing w:after="0"/>
              <w:rPr>
                <w:sz w:val="20"/>
                <w:szCs w:val="20"/>
                <w:color w:val="auto"/>
              </w:rPr>
            </w:pPr>
            <w:r>
              <w:rPr>
                <w:rFonts w:ascii="Arial" w:cs="Arial" w:eastAsia="Arial" w:hAnsi="Arial"/>
                <w:sz w:val="18"/>
                <w:szCs w:val="18"/>
                <w:b w:val="1"/>
                <w:bCs w:val="1"/>
                <w:color w:val="auto"/>
              </w:rPr>
              <w:t>Q4 FY</w:t>
            </w:r>
          </w:p>
        </w:tc>
        <w:tc>
          <w:tcPr>
            <w:tcW w:w="220" w:type="dxa"/>
            <w:vAlign w:val="bottom"/>
          </w:tcPr>
          <w:p>
            <w:pPr>
              <w:spacing w:after="0"/>
              <w:rPr>
                <w:sz w:val="18"/>
                <w:szCs w:val="18"/>
                <w:color w:val="auto"/>
              </w:rPr>
            </w:pPr>
          </w:p>
        </w:tc>
        <w:tc>
          <w:tcPr>
            <w:tcW w:w="1240" w:type="dxa"/>
            <w:vAlign w:val="bottom"/>
          </w:tcPr>
          <w:p>
            <w:pPr>
              <w:ind w:left="320"/>
              <w:spacing w:after="0"/>
              <w:rPr>
                <w:sz w:val="20"/>
                <w:szCs w:val="20"/>
                <w:color w:val="auto"/>
              </w:rPr>
            </w:pPr>
            <w:r>
              <w:rPr>
                <w:rFonts w:ascii="Arial" w:cs="Arial" w:eastAsia="Arial" w:hAnsi="Arial"/>
                <w:sz w:val="18"/>
                <w:szCs w:val="18"/>
                <w:b w:val="1"/>
                <w:bCs w:val="1"/>
                <w:color w:val="auto"/>
              </w:rPr>
              <w:t>Months</w:t>
            </w:r>
          </w:p>
        </w:tc>
        <w:tc>
          <w:tcPr>
            <w:tcW w:w="200" w:type="dxa"/>
            <w:vAlign w:val="bottom"/>
          </w:tcPr>
          <w:p>
            <w:pPr>
              <w:spacing w:after="0"/>
              <w:rPr>
                <w:sz w:val="18"/>
                <w:szCs w:val="18"/>
                <w:color w:val="auto"/>
              </w:rPr>
            </w:pPr>
          </w:p>
        </w:tc>
        <w:tc>
          <w:tcPr>
            <w:tcW w:w="136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34"/>
        </w:trPr>
        <w:tc>
          <w:tcPr>
            <w:tcW w:w="414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(in millions, except per share amounts)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2017</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2016</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2017</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lef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Income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$8.1</w:t>
            </w:r>
          </w:p>
        </w:tc>
        <w:tc>
          <w:tcPr>
            <w:tcW w:w="15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$12.6</w:t>
            </w:r>
          </w:p>
        </w:tc>
        <w:tc>
          <w:tcPr>
            <w:tcW w:w="1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$6.6</w:t>
            </w:r>
          </w:p>
        </w:tc>
        <w:tc>
          <w:tcPr>
            <w:tcW w:w="14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$44.4</w:t>
            </w:r>
          </w:p>
        </w:tc>
        <w:tc>
          <w:tcPr>
            <w:tcW w:w="14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$18.8</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Income per share</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$0.28</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$0.43</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$0.24</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$1.54</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$0.68</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40" w:type="dxa"/>
            <w:vAlign w:val="bottom"/>
            <w:tcBorders>
              <w:left w:val="single" w:sz="8" w:color="auto"/>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amounts presented are from continuing operations.</w:t>
      </w:r>
    </w:p>
    <w:p>
      <w:pPr>
        <w:spacing w:after="0" w:line="252" w:lineRule="exact"/>
        <w:rPr>
          <w:rFonts w:ascii="Arial" w:cs="Arial" w:eastAsia="Arial" w:hAnsi="Arial"/>
          <w:sz w:val="18"/>
          <w:szCs w:val="18"/>
          <w:color w:val="auto"/>
        </w:rPr>
      </w:pPr>
    </w:p>
    <w:p>
      <w:pPr>
        <w:ind w:left="500" w:right="40" w:hanging="330"/>
        <w:spacing w:after="0" w:line="286"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GAAP results include the impact from the Tax Cuts and Jobs Act of 2017 (“U.S. Tax Reform”). Due to the timing of the enactment and the complexity involved in applying the provisions of U.S. Tax Reform, we have made reasonable estimates of the effects and recorded provisional amounts in our financial statements as of December 30, 2017. The accounting for the tax effects of U.S. Tax Reform will be completed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Total cash and investments at the end of the year were $155.6 million.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Luis Müller, President and Chief Executive Officer of Cohu stated, “We delivered another year of solid sales and profitability growth in fiscal 2017, coupled with market share gains in test handlers and accelerating growth in the test contactor market. Orders were at record levels with the full year increasing 41% over 2016. We ended the year with repeat handler orders for an automated factory in Korea and captured two new customers in China for power management device test.”</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Müller further commented, “We started 2018 with a strong backlog, share gain momentum and customer traction, as evidenced by our recently announced design win of a major European automotive customer for the MATRiX handler combined with our multi-beam test contactors. Additionally, we have been making excellent progress with a major Korean customer, who continues to provide repeat orders for a new handler model. As a result, we have been increasing our investments to support the business prospects with this customer, which is expected to be an important contributor to meeting current growth projections for the first half of 2018 over the same period last year.”</w:t>
      </w:r>
    </w:p>
    <w:p>
      <w:pPr>
        <w:sectPr>
          <w:pgSz w:w="11900" w:h="16838" w:orient="portrait"/>
          <w:cols w:equalWidth="0" w:num="1">
            <w:col w:w="11420"/>
          </w:cols>
          <w:pgMar w:left="240" w:top="121" w:right="239" w:bottom="0" w:gutter="0" w:footer="0" w:header="0"/>
        </w:sectPr>
      </w:pPr>
    </w:p>
    <w:bookmarkStart w:id="5" w:name="page6"/>
    <w:bookmarkEnd w:id="5"/>
    <w:p>
      <w:pPr>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ind w:right="480"/>
        <w:spacing w:after="0" w:line="277" w:lineRule="auto"/>
        <w:rPr>
          <w:sz w:val="20"/>
          <w:szCs w:val="20"/>
          <w:color w:val="auto"/>
        </w:rPr>
      </w:pPr>
      <w:r>
        <w:rPr>
          <w:rFonts w:ascii="Arial" w:cs="Arial" w:eastAsia="Arial" w:hAnsi="Arial"/>
          <w:sz w:val="18"/>
          <w:szCs w:val="18"/>
          <w:color w:val="auto"/>
        </w:rPr>
        <w:t>Cohu expects first quarter 2018 sales to be approximately $89 million. Cohu's Board of Directors approved a quarterly cash dividend of $0.06 per share payable on April 13, 2018 to shareholders of record on February 27,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Included within this press release are non-GAAP financial measures, including non-GAAP gross margin, Income and Income (earnings) per share, that supplement the Company's Condensed Consolidated Statements of Income prepared under generally accepted accounting principles (GAAP). These non-GAAP financial measures adjust the Company's actual results prepared under GAAP to exclude charges and the related income tax effect for share-based compensation, the amortization of acquired intangible assets, manufacturing transition costs, employee severance costs, acquisition related costs, fair value adjustment to contingent consideration, purchase accounting inventory step-up included in cost of sales, the reduction of an uncertain tax position liability and related indemnification receivable and U.S. Tax Reform. Reconciliations of GAAP to non-GAAP amounts for the periods presented herein are provided in schedules accompanying this release and should be considered together with the Condensed Consolidated Statements of Income.</w:t>
      </w:r>
    </w:p>
    <w:p>
      <w:pPr>
        <w:spacing w:after="0" w:line="16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matters discussed in this release, including statements regarding new customers; test handler and contactor share gains, including on PANTHER and Solstice products; accelerating growth in test contactors; business momentum and customer traction entering 2018; increasing investment, business prospects, growth and revenue recognition with a major Korean customer; meeting first half 2018 year-over-year growth projections; Cohu500 mid-term model and associated goals; specific share gain goals; and Cohu’s first quarter 2018 sales forecast and guidance are forward-looking statements that are subject to risks and uncertainties that could cause actual results to differ materially from those projected or forecasted. Such risks and uncertainties include, but are not limited to,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geopolitical issues; ERP system implementation issues; the seasonal, volatile and unpredictable nature of capital expenditures by semiconductor manufacturers; and rapid technological change. These and other risks and uncertainties are discussed more fully in Cohu's filings with the Securities and Exchange Commission, including the most recently filed Form 10-K and Form 10-Q. The forward-looking statements included in this release are not assurances, and speak only as of the date of this release, and Cohu does not undertake any obligation to update these forward-looking statements to reflect subsequent events or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Cohu is a leading supplier of semiconductor test and inspection handlers, micro-electro mechanical system (MEMS) test modules, test contactors and thermal sub-systems used by global semiconductor manufacturers and test subcontractors.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Cohu will be conducting our conference call on Thursday, February 15, 2018 at 1:30 p.m. Pacific Time/4:30 p.m. Eastern Time. The call will be webcast at www.cohu.com. Replays of the call can be accessed at www.cohu.com.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press releases and other information of interest to investors, please visit Cohu’s website at www.cohu.com.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Jeffrey D. Jones - Investor Relations (858) 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8"/>
                <w:szCs w:val="18"/>
                <w:color w:val="auto"/>
                <w:w w:val="95"/>
              </w:rPr>
              <w:t xml:space="preserve">Three Months Ended </w:t>
            </w:r>
            <w:r>
              <w:rPr>
                <w:rFonts w:ascii="Arial" w:cs="Arial" w:eastAsia="Arial" w:hAnsi="Arial"/>
                <w:sz w:val="30"/>
                <w:szCs w:val="30"/>
                <w:color w:val="auto"/>
                <w:w w:val="95"/>
                <w:vertAlign w:val="superscript"/>
              </w:rPr>
              <w:t>(1)</w:t>
            </w:r>
          </w:p>
        </w:tc>
        <w:tc>
          <w:tcPr>
            <w:tcW w:w="240" w:type="dxa"/>
            <w:vAlign w:val="bottom"/>
          </w:tcPr>
          <w:p>
            <w:pPr>
              <w:spacing w:after="0"/>
              <w:rPr>
                <w:sz w:val="24"/>
                <w:szCs w:val="24"/>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8"/>
                <w:szCs w:val="18"/>
                <w:color w:val="auto"/>
                <w:w w:val="95"/>
              </w:rPr>
              <w:t xml:space="preserve">Twelve Months Ended </w:t>
            </w:r>
            <w:r>
              <w:rPr>
                <w:rFonts w:ascii="Arial" w:cs="Arial" w:eastAsia="Arial" w:hAnsi="Arial"/>
                <w:sz w:val="30"/>
                <w:szCs w:val="30"/>
                <w:color w:val="auto"/>
                <w:w w:val="95"/>
                <w:vertAlign w:val="superscript"/>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December 31,</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December 30,</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84,090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70,694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352,704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and expenses: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49,667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45,167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211,986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10,143</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40,737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65,233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79,424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67,642</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317,956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276,419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34,748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and other, net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35,365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spacing w:after="0" w:line="243" w:lineRule="exact"/>
              <w:rPr>
                <w:sz w:val="20"/>
                <w:szCs w:val="20"/>
                <w:color w:val="auto"/>
              </w:rPr>
            </w:pPr>
            <w:r>
              <w:rPr>
                <w:rFonts w:ascii="Arial" w:cs="Arial" w:eastAsia="Arial" w:hAnsi="Arial"/>
                <w:sz w:val="17"/>
                <w:szCs w:val="17"/>
                <w:color w:val="auto"/>
              </w:rPr>
              <w:t xml:space="preserve">Income tax provision (benefit) </w:t>
            </w:r>
            <w:r>
              <w:rPr>
                <w:rFonts w:ascii="Arial" w:cs="Arial" w:eastAsia="Arial" w:hAnsi="Arial"/>
                <w:sz w:val="28"/>
                <w:szCs w:val="28"/>
                <w:color w:val="auto"/>
                <w:vertAlign w:val="superscript"/>
              </w:rPr>
              <w:t>(2)</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915</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2,244</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33,121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00" w:type="dxa"/>
            <w:vAlign w:val="bottom"/>
          </w:tcPr>
          <w:p>
            <w:pPr>
              <w:ind w:left="160"/>
              <w:spacing w:after="0" w:line="256" w:lineRule="exact"/>
              <w:rPr>
                <w:sz w:val="20"/>
                <w:szCs w:val="20"/>
                <w:color w:val="auto"/>
              </w:rPr>
            </w:pPr>
            <w:r>
              <w:rPr>
                <w:rFonts w:ascii="Arial" w:cs="Arial" w:eastAsia="Arial" w:hAnsi="Arial"/>
                <w:sz w:val="18"/>
                <w:szCs w:val="18"/>
                <w:color w:val="auto"/>
              </w:rPr>
              <w:t>Loss from discontinued operations before taxes</w:t>
            </w:r>
            <w:r>
              <w:rPr>
                <w:rFonts w:ascii="Arial" w:cs="Arial" w:eastAsia="Arial" w:hAnsi="Arial"/>
                <w:sz w:val="29"/>
                <w:szCs w:val="29"/>
                <w:color w:val="auto"/>
                <w:vertAlign w:val="superscript"/>
              </w:rPr>
              <w:t>(3)</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6,895</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32,843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Income (loss) per share: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4"/>
              </w:rPr>
              <w:t xml:space="preserve">Weighted average shares used in computing income (loss) per share: </w:t>
            </w:r>
            <w:r>
              <w:rPr>
                <w:rFonts w:ascii="Arial" w:cs="Arial" w:eastAsia="Arial" w:hAnsi="Arial"/>
                <w:sz w:val="29"/>
                <w:szCs w:val="29"/>
                <w:color w:val="auto"/>
                <w:w w:val="94"/>
                <w:vertAlign w:val="superscript"/>
              </w:rPr>
              <w:t>(4)</w:t>
            </w:r>
          </w:p>
        </w:tc>
        <w:tc>
          <w:tcPr>
            <w:tcW w:w="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28,503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26,848</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27,836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29,584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27,774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28,916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ind w:left="500" w:right="60" w:hanging="330"/>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three- and twelve-month periods ended December 30, 2017 were comprised of 13 weeks and 52 weeks, respectively. The three- and twelve-month periods ended December 31, 2016 were comprised of 14 weeks and 53 weeks, respectively.</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impact from U.S. Tax Reform.</w:t>
      </w:r>
    </w:p>
    <w:p>
      <w:pPr>
        <w:spacing w:after="0" w:line="252" w:lineRule="exact"/>
        <w:rPr>
          <w:rFonts w:ascii="Arial" w:cs="Arial" w:eastAsia="Arial" w:hAnsi="Arial"/>
          <w:sz w:val="18"/>
          <w:szCs w:val="18"/>
          <w:color w:val="auto"/>
        </w:rPr>
      </w:pPr>
    </w:p>
    <w:p>
      <w:pPr>
        <w:ind w:left="500" w:right="400" w:hanging="330"/>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amounts presented result from an adjustment to the fair value of a contingent consideration receivable recorded in conjunction with the sale of BMS in 2015.</w:t>
      </w:r>
    </w:p>
    <w:p>
      <w:pPr>
        <w:spacing w:after="0" w:line="170" w:lineRule="exact"/>
        <w:rPr>
          <w:rFonts w:ascii="Arial" w:cs="Arial" w:eastAsia="Arial" w:hAnsi="Arial"/>
          <w:sz w:val="18"/>
          <w:szCs w:val="18"/>
          <w:color w:val="auto"/>
        </w:rPr>
      </w:pPr>
    </w:p>
    <w:p>
      <w:pPr>
        <w:ind w:left="500" w:right="180" w:hanging="330"/>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30,</w:t>
            </w: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assets:</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investments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155,615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71,125</w:t>
            </w: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62,085</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8,613</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297,438</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34,172</w:t>
            </w: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65,613</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16,748</w:t>
            </w: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17,835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6,486</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420,457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345,512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Deferred profit</w:t>
            </w: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6,608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6,886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78,659</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85,267</w:t>
            </w: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46,099</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Stockholders’ equity</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289,091</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&amp; stockholders’ equity</w:t>
            </w:r>
          </w:p>
        </w:tc>
        <w:tc>
          <w:tcPr>
            <w:tcW w:w="23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420,457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345,512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5460" w:type="dxa"/>
            <w:vAlign w:val="bottom"/>
            <w:tcBorders>
              <w:top w:val="single" w:sz="8" w:color="CCEEFF"/>
              <w:bottom w:val="single" w:sz="8" w:color="auto"/>
            </w:tcBorders>
          </w:tcPr>
          <w:p>
            <w:pPr>
              <w:spacing w:after="0"/>
              <w:rPr>
                <w:sz w:val="24"/>
                <w:szCs w:val="24"/>
                <w:color w:val="auto"/>
              </w:rPr>
            </w:pPr>
          </w:p>
        </w:tc>
        <w:tc>
          <w:tcPr>
            <w:tcW w:w="23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9" w:name="page10"/>
    <w:bookmarkEnd w:id="9"/>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December 30,</w:t>
            </w:r>
          </w:p>
        </w:tc>
        <w:tc>
          <w:tcPr>
            <w:tcW w:w="16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September 30,</w:t>
            </w:r>
          </w:p>
        </w:tc>
        <w:tc>
          <w:tcPr>
            <w:tcW w:w="18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GAAP basis (a)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Share-based compensation included in (b):</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sales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 (SG&amp;A)</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 included in (c):</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Cost of sales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674</w:t>
            </w:r>
          </w:p>
        </w:tc>
        <w:tc>
          <w:tcPr>
            <w:tcW w:w="1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677</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SG&amp;A</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Manufacturing transition and severance costs included in SG&amp;A (d)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contingent consideration included in SG&amp;A (e)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Acquisition costs included in SG&amp;A (f)</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step-up included in cost of sales (g)</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Reduction of indemnification receivable included in SG&amp;A (h)</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non-GAAP basis (i)</w:t>
            </w: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 GAAP basis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Non-GAAP adjustments (as scheduled above)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 of non-GAAP adjustments (j) (h)</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(1,460)</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U.S. Tax Reform (k)</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 non-GAAP basis</w:t>
            </w: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2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continuing operations per share - diluted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Non-GAAP income from continuing operations per share - diluted (l)</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0.43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Gross Profit Reconciliation</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 - GAAP basis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Non-GAAP adjustments to cost of sales (as scheduled above)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770</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 - Non-GAAP basis</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Non-GAAP gross profit as a percentage of net sales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40.9 %</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and inventory step-up costs have been excluded by management as they are unrelated to the core operating activities of the Company and the frequency and variability in the nature of the charges can vary significantly from period to period. Management believes the reduction of an uncertain tax position liability and related indemnification receivable is better reflected within income tax expense rather than a charge to SG&amp;A and credit to the income tax provision. Excluding the impact of U.S. Tax Reform provides better comparability to our historical and future tax provisions.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73"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5.5%, 11.1% and 4.3% of net sales, respectively.</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manufacturing transition and employee severance costs.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fair value adjustment to contingent consideration related to the acquisition of Kita.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the acquisition of Kita.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inventory step-up costs incurred related to the acquisition of Kita.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impact of the reduction of an uncertain tax position liability and related indemnification receivable.</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11.2%, 15.7% and 11.9% of net sales, respectively.</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36" w:lineRule="exact"/>
        <w:rPr>
          <w:rFonts w:ascii="Arial" w:cs="Arial" w:eastAsia="Arial" w:hAnsi="Arial"/>
          <w:sz w:val="18"/>
          <w:szCs w:val="18"/>
          <w:color w:val="auto"/>
        </w:rPr>
      </w:pPr>
    </w:p>
    <w:p>
      <w:pPr>
        <w:ind w:left="500" w:right="120" w:hanging="330"/>
        <w:spacing w:after="0" w:line="34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eliminate impact from the Tax Cuts and Jobs Act enacted on December 22, 2017 (U.S. Tax Reform), and includes provisional estimates of (i) the one-time transition tax, net of foreign tax credits and operating losses, on earnings of foreign subsidiaries that were previously deferred from U.S. tax;</w:t>
      </w:r>
    </w:p>
    <w:p>
      <w:pPr>
        <w:sectPr>
          <w:pgSz w:w="11900" w:h="16840" w:orient="portrait"/>
          <w:cols w:equalWidth="0" w:num="1">
            <w:col w:w="11420"/>
          </w:cols>
          <w:pgMar w:left="240" w:top="364" w:right="239" w:bottom="0" w:gutter="0" w:footer="0" w:header="0"/>
        </w:sectPr>
      </w:pPr>
    </w:p>
    <w:bookmarkStart w:id="10" w:name="page11"/>
    <w:bookmarkEnd w:id="10"/>
    <w:p>
      <w:pPr>
        <w:ind w:left="330"/>
        <w:spacing w:after="0" w:line="258" w:lineRule="auto"/>
        <w:rPr>
          <w:sz w:val="20"/>
          <w:szCs w:val="20"/>
          <w:color w:val="auto"/>
        </w:rPr>
      </w:pPr>
      <w:r>
        <w:rPr>
          <w:rFonts w:ascii="Arial" w:cs="Arial" w:eastAsia="Arial" w:hAnsi="Arial"/>
          <w:sz w:val="18"/>
          <w:szCs w:val="18"/>
          <w:color w:val="auto"/>
        </w:rPr>
        <w:t>(ii) the impact of U.S. tax rate reduction and changes to net operating loss rules on our net deferred taxes and (iii) the accrual of foreign taxes in the event certain funds are repatriated to the U.S.</w:t>
      </w:r>
    </w:p>
    <w:p>
      <w:pPr>
        <w:spacing w:after="0" w:line="1" w:lineRule="exact"/>
        <w:rPr>
          <w:sz w:val="20"/>
          <w:szCs w:val="20"/>
          <w:color w:val="auto"/>
        </w:rPr>
      </w:pPr>
    </w:p>
    <w:p>
      <w:pPr>
        <w:ind w:left="330" w:hanging="330"/>
        <w:spacing w:after="0"/>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245745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50"/>
          </w:cols>
          <w:pgMar w:left="410" w:top="125" w:right="539" w:bottom="1440" w:gutter="0" w:footer="0" w:header="0"/>
        </w:sectPr>
      </w:pPr>
    </w:p>
    <w:bookmarkStart w:id="11" w:name="page12"/>
    <w:bookmarkEnd w:id="11"/>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6"/>
          </w:tcPr>
          <w:p>
            <w:pPr>
              <w:jc w:val="right"/>
              <w:ind w:right="960"/>
              <w:spacing w:after="0"/>
              <w:rPr>
                <w:sz w:val="20"/>
                <w:szCs w:val="20"/>
                <w:color w:val="auto"/>
              </w:rPr>
            </w:pPr>
            <w:r>
              <w:rPr>
                <w:rFonts w:ascii="Arial" w:cs="Arial" w:eastAsia="Arial" w:hAnsi="Arial"/>
                <w:sz w:val="18"/>
                <w:szCs w:val="18"/>
                <w:color w:val="auto"/>
              </w:rPr>
              <w:t>Twelve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December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GAAP basis (a)</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Share-based compensation included in (b):</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sales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 (SG&amp;A)</w:t>
            </w:r>
          </w:p>
        </w:tc>
        <w:tc>
          <w:tcPr>
            <w:tcW w:w="1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7,007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 included in (c):</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2,689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SG&amp;A</w:t>
            </w:r>
          </w:p>
        </w:tc>
        <w:tc>
          <w:tcPr>
            <w:tcW w:w="1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4,208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Manufacturing transition and severance costs included in (d):</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sales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SG&amp;A</w:t>
            </w:r>
          </w:p>
        </w:tc>
        <w:tc>
          <w:tcPr>
            <w:tcW w:w="1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contingent consideration included in SG&amp;A (e)</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Acquisition costs included in SG&amp;A (f)</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step-up included in cost of sales (g)</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Reduction of indemnification receivable included in SG&amp;A (h)</w:t>
            </w:r>
          </w:p>
        </w:tc>
        <w:tc>
          <w:tcPr>
            <w:tcW w:w="1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non-GAAP basis (i)</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23,573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 GAAP basis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Non-GAAP adjustments (as scheduled above)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16,086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17,908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 of non-GAAP adjustments (j) (h)</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U.S. Tax Reform (k)</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 non-GAAP basis</w:t>
            </w:r>
          </w:p>
        </w:tc>
        <w:tc>
          <w:tcPr>
            <w:tcW w:w="1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44,409</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GAAP income per share - diluted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Non-GAAP income per share - diluted (l)</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Gross Profit Reconciliation</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 - GAAP basis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140,718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Non-GAAP adjustments to cost of sales (as scheduled above)</w:t>
            </w:r>
          </w:p>
        </w:tc>
        <w:tc>
          <w:tcPr>
            <w:tcW w:w="1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 - Non-GAAP basis</w:t>
            </w:r>
          </w:p>
        </w:tc>
        <w:tc>
          <w:tcPr>
            <w:tcW w:w="1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145,234</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Non-GAAP gross profit as a percentage of net sales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and inventory step-up costs have been excluded by management as they are unrelated to the core operating activities of the Company and the frequency and variability in the nature of the charges can vary significantly from period to period. Management believes the reduction of an uncertain tax position liability and related indemnification receivable is better reflected within income tax expense rather than a charge to SG&amp;A and credit to the income tax provision. Excluding the impact of U.S. Tax Reform provides better comparability to our historical and future tax provisions.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73"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9.9% and 2.0% of net sales, respectively.</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eliminate manufacturing transition and employee severance costs.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eliminate fair value adjustment to contingent consideration related to the acquisition of Kita.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the acquisition of Kita.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eliminate the inventory step-up costs incurred related to the acquisition of Kita.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eliminate the impact of the reduction of an uncertain tax position liability and related indemnification receivable.</w:t>
      </w:r>
    </w:p>
    <w:p>
      <w:pPr>
        <w:sectPr>
          <w:pgSz w:w="11900" w:h="16887" w:orient="portrait"/>
          <w:cols w:equalWidth="0" w:num="1">
            <w:col w:w="11420"/>
          </w:cols>
          <w:pgMar w:left="240" w:top="580" w:right="239" w:bottom="0" w:gutter="0" w:footer="0" w:header="0"/>
        </w:sectPr>
      </w:pPr>
    </w:p>
    <w:bookmarkStart w:id="12" w:name="page13"/>
    <w:bookmarkEnd w:id="12"/>
    <w:p>
      <w:pPr>
        <w:ind w:left="330" w:hanging="330"/>
        <w:spacing w:after="0"/>
        <w:tabs>
          <w:tab w:leader="none" w:pos="33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14.4% and 8.4% of net sales, respectively.</w:t>
      </w:r>
    </w:p>
    <w:p>
      <w:pPr>
        <w:spacing w:after="0" w:line="36" w:lineRule="exact"/>
        <w:rPr>
          <w:rFonts w:ascii="Arial" w:cs="Arial" w:eastAsia="Arial" w:hAnsi="Arial"/>
          <w:sz w:val="18"/>
          <w:szCs w:val="18"/>
          <w:color w:val="auto"/>
        </w:rPr>
      </w:pPr>
    </w:p>
    <w:p>
      <w:pPr>
        <w:ind w:left="330" w:hanging="330"/>
        <w:spacing w:after="0"/>
        <w:tabs>
          <w:tab w:leader="none" w:pos="3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36" w:lineRule="exact"/>
        <w:rPr>
          <w:rFonts w:ascii="Arial" w:cs="Arial" w:eastAsia="Arial" w:hAnsi="Arial"/>
          <w:sz w:val="18"/>
          <w:szCs w:val="18"/>
          <w:color w:val="auto"/>
        </w:rPr>
      </w:pPr>
    </w:p>
    <w:p>
      <w:pPr>
        <w:ind w:left="330" w:hanging="330"/>
        <w:spacing w:after="0" w:line="254" w:lineRule="auto"/>
        <w:tabs>
          <w:tab w:leader="none" w:pos="3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eliminate impact from the Tax Cuts and Jobs Act enacted on December 22, 2017 (U.S. Tax Reform), and includes provisional estimates of (i) the one-time transition tax, net of foreign tax credits and operating losses, on earnings of foreign subsidiaries that were previously deferred from U.S. tax; (ii) the impact of U.S. tax rate reduction and changes to net operating loss rules on our net deferred taxes and (iii) the accrual of foreign taxes in the event certain funds are repatriated to the U.S.</w:t>
      </w:r>
    </w:p>
    <w:p>
      <w:pPr>
        <w:spacing w:after="0" w:line="2" w:lineRule="exact"/>
        <w:rPr>
          <w:rFonts w:ascii="Arial" w:cs="Arial" w:eastAsia="Arial" w:hAnsi="Arial"/>
          <w:sz w:val="18"/>
          <w:szCs w:val="18"/>
          <w:color w:val="auto"/>
        </w:rPr>
      </w:pPr>
    </w:p>
    <w:p>
      <w:pPr>
        <w:ind w:left="330" w:hanging="330"/>
        <w:spacing w:after="0"/>
        <w:tabs>
          <w:tab w:leader="none" w:pos="33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periods presented were computed using the number of GAAP diluted shares outstanding.</w:t>
      </w:r>
    </w:p>
    <w:sectPr>
      <w:pgSz w:w="11900" w:h="16838" w:orient="portrait"/>
      <w:cols w:equalWidth="0" w:num="1">
        <w:col w:w="11130"/>
      </w:cols>
      <w:pgMar w:left="410" w:top="36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2019-12-29T00:27:43Z</dcterms:created>
  <dcterms:modified xsi:type="dcterms:W3CDTF">2019-12-29T00:27:43Z</dcterms:modified>
</cp:coreProperties>
</file>