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June 15, 2005</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Cohu,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80" w:type="dxa"/>
            <w:vAlign w:val="bottom"/>
          </w:tcPr>
          <w:p>
            <w:pPr>
              <w:jc w:val="right"/>
              <w:ind w:right="1932"/>
              <w:spacing w:after="0"/>
              <w:rPr>
                <w:sz w:val="20"/>
                <w:szCs w:val="20"/>
                <w:color w:val="auto"/>
              </w:rPr>
            </w:pPr>
            <w:r>
              <w:rPr>
                <w:rFonts w:ascii="Arial" w:cs="Arial" w:eastAsia="Arial" w:hAnsi="Arial"/>
                <w:sz w:val="18"/>
                <w:szCs w:val="18"/>
                <w:color w:val="auto"/>
              </w:rPr>
              <w:t>001-04298</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95-1934119</w:t>
            </w:r>
          </w:p>
        </w:tc>
      </w:tr>
      <w:tr>
        <w:trPr>
          <w:trHeight w:val="216"/>
        </w:trPr>
        <w:tc>
          <w:tcPr>
            <w:tcW w:w="3220" w:type="dxa"/>
            <w:vAlign w:val="bottom"/>
          </w:tcPr>
          <w:p>
            <w:pPr>
              <w:jc w:val="right"/>
              <w:ind w:right="632"/>
              <w:spacing w:after="0"/>
              <w:rPr>
                <w:sz w:val="20"/>
                <w:szCs w:val="20"/>
                <w:color w:val="auto"/>
              </w:rPr>
            </w:pPr>
            <w:r>
              <w:rPr>
                <w:rFonts w:ascii="Arial" w:cs="Arial" w:eastAsia="Arial" w:hAnsi="Arial"/>
                <w:sz w:val="18"/>
                <w:szCs w:val="18"/>
                <w:color w:val="auto"/>
              </w:rPr>
              <w:t>_____________________</w:t>
            </w:r>
          </w:p>
        </w:tc>
        <w:tc>
          <w:tcPr>
            <w:tcW w:w="458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12367 Crosthwaite Circle, Poway, California</w:t>
            </w:r>
          </w:p>
        </w:tc>
        <w:tc>
          <w:tcPr>
            <w:tcW w:w="458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92064</w:t>
            </w:r>
          </w:p>
        </w:tc>
      </w:tr>
      <w:tr>
        <w:trPr>
          <w:trHeight w:val="216"/>
        </w:trPr>
        <w:tc>
          <w:tcPr>
            <w:tcW w:w="3220" w:type="dxa"/>
            <w:vAlign w:val="bottom"/>
          </w:tcPr>
          <w:p>
            <w:pPr>
              <w:jc w:val="right"/>
              <w:ind w:right="112"/>
              <w:spacing w:after="0"/>
              <w:rPr>
                <w:sz w:val="20"/>
                <w:szCs w:val="20"/>
                <w:color w:val="auto"/>
              </w:rPr>
            </w:pPr>
            <w:r>
              <w:rPr>
                <w:rFonts w:ascii="Arial" w:cs="Arial" w:eastAsia="Arial" w:hAnsi="Arial"/>
                <w:sz w:val="18"/>
                <w:szCs w:val="18"/>
                <w:color w:val="auto"/>
                <w:w w:val="90"/>
              </w:rPr>
              <w:t>_________________________________</w:t>
            </w:r>
          </w:p>
        </w:tc>
        <w:tc>
          <w:tcPr>
            <w:tcW w:w="458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8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00" w:type="dxa"/>
            <w:vAlign w:val="bottom"/>
            <w:gridSpan w:val="2"/>
          </w:tcPr>
          <w:p>
            <w:pPr>
              <w:ind w:left="7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858-848-8100</w:t>
            </w:r>
          </w:p>
        </w:tc>
      </w:tr>
      <w:tr>
        <w:trPr>
          <w:trHeight w:val="426"/>
        </w:trPr>
        <w:tc>
          <w:tcPr>
            <w:tcW w:w="3220" w:type="dxa"/>
            <w:vAlign w:val="bottom"/>
          </w:tcPr>
          <w:p>
            <w:pPr>
              <w:spacing w:after="0"/>
              <w:rPr>
                <w:sz w:val="24"/>
                <w:szCs w:val="24"/>
                <w:color w:val="auto"/>
              </w:rPr>
            </w:pPr>
          </w:p>
        </w:tc>
        <w:tc>
          <w:tcPr>
            <w:tcW w:w="4580" w:type="dxa"/>
            <w:vAlign w:val="bottom"/>
          </w:tcPr>
          <w:p>
            <w:pPr>
              <w:ind w:left="162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458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June 15, 2005 Cohu, Inc. amended its loan agreement with Bank of America, N. A. dated June 28, 2004. Amendment No. 1 extended the availability period from July 1, 2005 to July 1, 2006 and amended certain financial covenants and is filed as Exhibit 99.1 to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June 17,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H. Allen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VP Finance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4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86"/>
              </w:rPr>
              <w:t>Amendment No. 1 dated June 15, 2005 to Loan Agreement dated June</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28, 2004 between Cohu, Inc. and Bank of America, N.A.</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2"/>
          <w:szCs w:val="22"/>
          <w:b w:val="1"/>
          <w:bCs w:val="1"/>
          <w:color w:val="auto"/>
        </w:rPr>
        <w:t>AMENDMENT NO. 1 TO LOAN AGREEMENT</w:t>
      </w:r>
    </w:p>
    <w:p>
      <w:pPr>
        <w:spacing w:after="0" w:line="220"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This Amendment No. 1 (the “Amendment”) dated as of June 15, 2005, is between Bank of America, N.A. (the “Bank”) and Cohu, Inc. (the “Borrower”).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RECITALS</w:t>
      </w:r>
    </w:p>
    <w:p>
      <w:pPr>
        <w:spacing w:after="0" w:line="18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 The Bank and the Borrower entered into a certain Loan Agreement dated as of June 28, 2004 (together with any previous amendments, the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Bank and the Borrower desire to amend the Agreement.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AGREEMENT</w:t>
      </w:r>
    </w:p>
    <w:p>
      <w:pPr>
        <w:spacing w:after="0" w:line="185"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defined in this Amendment shall have the meaning given to them in the Agreement.</w:t>
      </w:r>
    </w:p>
    <w:p>
      <w:pPr>
        <w:spacing w:after="0" w:line="198" w:lineRule="exact"/>
        <w:rPr>
          <w:rFonts w:ascii="Arial" w:cs="Arial" w:eastAsia="Arial" w:hAnsi="Arial"/>
          <w:sz w:val="18"/>
          <w:szCs w:val="18"/>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Agreement is hereby amended as follows:</w:t>
      </w:r>
    </w:p>
    <w:p>
      <w:pPr>
        <w:spacing w:after="0" w:line="225" w:lineRule="exact"/>
        <w:rPr>
          <w:rFonts w:ascii="Arial" w:cs="Arial" w:eastAsia="Arial" w:hAnsi="Arial"/>
          <w:sz w:val="18"/>
          <w:szCs w:val="18"/>
          <w:color w:val="auto"/>
        </w:rPr>
      </w:pPr>
    </w:p>
    <w:p>
      <w:pPr>
        <w:ind w:left="1340" w:hanging="303"/>
        <w:spacing w:after="0"/>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 paragraph number 1.2, entitled “Availability Period,” the date July 1, 2005 is changed to July 1, 2006.</w:t>
      </w:r>
    </w:p>
    <w:p>
      <w:pPr>
        <w:spacing w:after="0" w:line="225" w:lineRule="exact"/>
        <w:rPr>
          <w:rFonts w:ascii="Arial" w:cs="Arial" w:eastAsia="Arial" w:hAnsi="Arial"/>
          <w:sz w:val="18"/>
          <w:szCs w:val="18"/>
          <w:color w:val="auto"/>
        </w:rPr>
      </w:pPr>
    </w:p>
    <w:p>
      <w:pPr>
        <w:ind w:left="1360" w:right="180" w:hanging="319"/>
        <w:spacing w:after="0" w:line="277" w:lineRule="auto"/>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 paragraph number 6.3, entitled “Tangible Net Worth,” the amount “One Hundred Sixty Million Dollars ($160,000,000)” is changed to “One Hundred Eighty Million Dollars ($180,000,000).”</w:t>
      </w:r>
    </w:p>
    <w:p>
      <w:pPr>
        <w:spacing w:after="0" w:line="170" w:lineRule="exact"/>
        <w:rPr>
          <w:rFonts w:ascii="Arial" w:cs="Arial" w:eastAsia="Arial" w:hAnsi="Arial"/>
          <w:sz w:val="18"/>
          <w:szCs w:val="18"/>
          <w:color w:val="auto"/>
        </w:rPr>
      </w:pPr>
    </w:p>
    <w:p>
      <w:pPr>
        <w:ind w:left="1340" w:hanging="303"/>
        <w:spacing w:after="0"/>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Paragraph number 6.5 is hereby amended to read in its entirety as follows:</w:t>
      </w:r>
    </w:p>
    <w:p>
      <w:pPr>
        <w:spacing w:after="0" w:line="225" w:lineRule="exact"/>
        <w:rPr>
          <w:sz w:val="20"/>
          <w:szCs w:val="20"/>
          <w:color w:val="auto"/>
        </w:rPr>
      </w:pPr>
    </w:p>
    <w:p>
      <w:pPr>
        <w:ind w:left="1460" w:right="620"/>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Profitability</w:t>
      </w:r>
      <w:r>
        <w:rPr>
          <w:rFonts w:ascii="Arial" w:cs="Arial" w:eastAsia="Arial" w:hAnsi="Arial"/>
          <w:sz w:val="18"/>
          <w:szCs w:val="18"/>
          <w:color w:val="auto"/>
        </w:rPr>
        <w:t>. To maintain on a consolidated basis a positive net income before taxes and extraordinary items for each annual accounting period.”</w:t>
      </w:r>
    </w:p>
    <w:p>
      <w:pPr>
        <w:spacing w:after="0" w:line="170" w:lineRule="exact"/>
        <w:rPr>
          <w:sz w:val="20"/>
          <w:szCs w:val="20"/>
          <w:color w:val="auto"/>
        </w:rPr>
      </w:pPr>
    </w:p>
    <w:p>
      <w:pPr>
        <w:ind w:left="1360" w:hanging="319"/>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Paragraph number 6.6, entitled “Capital Expenditures” is hereby deleted in its entirety.</w:t>
      </w:r>
    </w:p>
    <w:p>
      <w:pPr>
        <w:spacing w:after="0" w:line="225" w:lineRule="exact"/>
        <w:rPr>
          <w:rFonts w:ascii="Arial" w:cs="Arial" w:eastAsia="Arial" w:hAnsi="Arial"/>
          <w:sz w:val="18"/>
          <w:szCs w:val="18"/>
          <w:color w:val="auto"/>
        </w:rPr>
      </w:pPr>
    </w:p>
    <w:p>
      <w:pPr>
        <w:ind w:firstLine="464"/>
        <w:spacing w:after="0" w:line="297" w:lineRule="auto"/>
        <w:tabs>
          <w:tab w:leader="none" w:pos="636"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does not conflict with any law, agreement, or obligation by which the Borrower is bound, and (d) this Amendment is within the Borrower’s powers, has been duly authorized, and does not conflict with any of the Borrower’s organizational papers.</w:t>
      </w:r>
    </w:p>
    <w:p>
      <w:pPr>
        <w:spacing w:after="0" w:line="117" w:lineRule="exact"/>
        <w:rPr>
          <w:rFonts w:ascii="Arial" w:cs="Arial" w:eastAsia="Arial" w:hAnsi="Arial"/>
          <w:sz w:val="16"/>
          <w:szCs w:val="16"/>
          <w:color w:val="auto"/>
        </w:rPr>
      </w:pPr>
    </w:p>
    <w:p>
      <w:pPr>
        <w:ind w:left="640" w:hanging="176"/>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provided in this Amendment, all of the terms and conditions of the Agreement shall remain in full force and effect.</w:t>
      </w:r>
    </w:p>
    <w:p>
      <w:pPr>
        <w:spacing w:after="0" w:line="207" w:lineRule="exact"/>
        <w:rPr>
          <w:rFonts w:ascii="Arial" w:cs="Arial" w:eastAsia="Arial" w:hAnsi="Arial"/>
          <w:sz w:val="16"/>
          <w:szCs w:val="16"/>
          <w:color w:val="auto"/>
        </w:rPr>
      </w:pPr>
    </w:p>
    <w:p>
      <w:pPr>
        <w:ind w:right="720" w:firstLine="464"/>
        <w:spacing w:after="0" w:line="277"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when so executed shall be deemed an original, but all such counterparts together shall constitute but one and the same instrument.</w:t>
      </w:r>
    </w:p>
    <w:p>
      <w:pPr>
        <w:spacing w:after="0" w:line="139" w:lineRule="exact"/>
        <w:rPr>
          <w:rFonts w:ascii="Arial" w:cs="Arial" w:eastAsia="Arial" w:hAnsi="Arial"/>
          <w:sz w:val="18"/>
          <w:szCs w:val="18"/>
          <w:color w:val="auto"/>
        </w:rPr>
      </w:pPr>
    </w:p>
    <w:p>
      <w:pPr>
        <w:ind w:right="80" w:firstLine="464"/>
        <w:spacing w:after="0" w:line="255"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FINAL AGREEMENT.</w:t>
      </w:r>
      <w:r>
        <w:rPr>
          <w:rFonts w:ascii="Arial" w:cs="Arial" w:eastAsia="Arial" w:hAnsi="Arial"/>
          <w:sz w:val="18"/>
          <w:szCs w:val="18"/>
          <w:b w:val="1"/>
          <w:bCs w:val="1"/>
          <w:color w:val="auto"/>
        </w:rPr>
        <w:t xml:space="preserve"> BY SIGNING THIS DOCUMENT EACH PARTY REPRESENTS AND AGREES THAT: (A) THIS DOCUMENT REPRESENTS THE FINAL AGREEMENT BETWEEN PARTIES WITH RESPECT TO THE SUBJECT MATTER HEREOF, (B) THIS DOCUMENT SUPERSEDES ANY COMMITMENT LETTER, TERM SHEET OR OTHER WRITTEN OUTLINE OF TERMS AND CONDITIONS RELATING TO THE SUBJECT MATTER HEREOF, UNLESS SUCH COMMITMENT LETTER, TERM SHEET OR OTHER WRITTEN OUTLINE OF TERMS AND CONDITIONS EXPRESSLY PROVIDES TO THE CONTRARY, (C) THERE ARE NO UNWRITTEN ORAL AGREEMENTS BETWEEN THE PARTIES, AND (D) THIS DOCUMENT MAY NOT BE CONTRADICTED BY EVIDENCE OF ANY PRIOR, CONTEMPORANEOUS, OR SUBSEQUENT ORAL AGREEMENTS OR UNDERSTANDINGS OF THE PARTIES.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is executed as of the date stated at the beginning of this Amendment.</w:t>
      </w:r>
    </w:p>
    <w:p>
      <w:pPr>
        <w:sectPr>
          <w:pgSz w:w="11900" w:h="16838" w:orient="portrait"/>
          <w:cols w:equalWidth="0" w:num="1">
            <w:col w:w="11380"/>
          </w:cols>
          <w:pgMar w:left="240" w:top="112" w:right="2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Borrower:</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/s/ John H. Allen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John H. Allen, Vice President/Finance and Chief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 Gordon W. Wiens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Gordon W. Wiens, Senior Vice President</w:t>
      </w:r>
    </w:p>
    <w:sectPr>
      <w:pgSz w:w="11900" w:h="16838" w:orient="portrait"/>
      <w:cols w:equalWidth="0" w:num="2">
        <w:col w:w="6200" w:space="720"/>
        <w:col w:w="4460"/>
      </w:cols>
      <w:pgMar w:left="240" w:top="112"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1"/>
    </w:lvl>
    <w:lvl w:ilvl="1">
      <w:lvlJc w:val="left"/>
      <w:lvlText w:val="(%2)"/>
      <w:numFmt w:val="lowerLetter"/>
      <w:start w:val="4"/>
    </w:lvl>
  </w:abstractNum>
  <w:abstractNum w:abstractNumId="3">
    <w:nsid w:val="625558EC"/>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2019-12-12T22:40:39Z</dcterms:created>
  <dcterms:modified xsi:type="dcterms:W3CDTF">2019-12-12T22:40:39Z</dcterms:modified>
</cp:coreProperties>
</file>