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jc w:val="center"/>
        <w:ind w:right="-19"/>
        <w:spacing w:after="0" w:line="238" w:lineRule="auto"/>
        <w:rPr>
          <w:sz w:val="20"/>
          <w:szCs w:val="20"/>
          <w:color w:val="auto"/>
        </w:rPr>
      </w:pPr>
      <w:r>
        <w:rPr>
          <w:rFonts w:ascii="Arial" w:cs="Arial" w:eastAsia="Arial" w:hAnsi="Arial"/>
          <w:sz w:val="32"/>
          <w:szCs w:val="32"/>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940" w:right="2000" w:hanging="3934"/>
        <w:spacing w:after="0" w:line="249" w:lineRule="auto"/>
        <w:tabs>
          <w:tab w:leader="none" w:pos="5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25, 2021</w:t>
      </w: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 w:lineRule="exact"/>
        <w:rPr>
          <w:sz w:val="24"/>
          <w:szCs w:val="24"/>
          <w:color w:val="auto"/>
        </w:rPr>
      </w:pPr>
    </w:p>
    <w:p>
      <w:pPr>
        <w:ind w:left="4380" w:right="1640" w:hanging="4374"/>
        <w:spacing w:after="0" w:line="249" w:lineRule="auto"/>
        <w:tabs>
          <w:tab w:leader="none" w:pos="56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1-4298</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9" w:lineRule="exact"/>
        <w:rPr>
          <w:sz w:val="24"/>
          <w:szCs w:val="24"/>
          <w:color w:val="auto"/>
        </w:rPr>
      </w:pPr>
    </w:p>
    <w:tbl>
      <w:tblPr>
        <w:tblLayout w:type="fixed"/>
        <w:tblInd w:w="1140" w:type="dxa"/>
        <w:tblCellMar>
          <w:top w:w="0" w:type="dxa"/>
          <w:left w:w="0" w:type="dxa"/>
          <w:bottom w:w="0" w:type="dxa"/>
          <w:right w:w="0" w:type="dxa"/>
        </w:tblCellMar>
      </w:tblPr>
      <w:tr>
        <w:trPr>
          <w:trHeight w:val="219"/>
        </w:trPr>
        <w:tc>
          <w:tcPr>
            <w:tcW w:w="4700" w:type="dxa"/>
            <w:vAlign w:val="bottom"/>
          </w:tcPr>
          <w:p>
            <w:pPr>
              <w:jc w:val="center"/>
              <w:ind w:right="1251"/>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left="1231"/>
              <w:spacing w:after="0"/>
              <w:rPr>
                <w:sz w:val="20"/>
                <w:szCs w:val="20"/>
                <w:color w:val="auto"/>
              </w:rPr>
            </w:pPr>
            <w:r>
              <w:rPr>
                <w:rFonts w:ascii="Arial" w:cs="Arial" w:eastAsia="Arial" w:hAnsi="Arial"/>
                <w:sz w:val="18"/>
                <w:szCs w:val="18"/>
                <w:b w:val="1"/>
                <w:bCs w:val="1"/>
                <w:color w:val="auto"/>
                <w:w w:val="89"/>
              </w:rPr>
              <w:t>95-1934119</w:t>
            </w:r>
          </w:p>
        </w:tc>
      </w:tr>
      <w:tr>
        <w:trPr>
          <w:trHeight w:val="213"/>
        </w:trPr>
        <w:tc>
          <w:tcPr>
            <w:tcW w:w="4700" w:type="dxa"/>
            <w:vAlign w:val="bottom"/>
          </w:tcPr>
          <w:p>
            <w:pPr>
              <w:jc w:val="center"/>
              <w:ind w:right="1251"/>
              <w:spacing w:after="0"/>
              <w:rPr>
                <w:sz w:val="20"/>
                <w:szCs w:val="20"/>
                <w:color w:val="auto"/>
              </w:rPr>
            </w:pPr>
            <w:r>
              <w:rPr>
                <w:rFonts w:ascii="Arial" w:cs="Arial" w:eastAsia="Arial" w:hAnsi="Arial"/>
                <w:sz w:val="18"/>
                <w:szCs w:val="18"/>
                <w:i w:val="1"/>
                <w:iCs w:val="1"/>
                <w:color w:val="auto"/>
                <w:w w:val="92"/>
              </w:rPr>
              <w:t>(State or other jurisdiction of</w:t>
            </w:r>
          </w:p>
        </w:tc>
        <w:tc>
          <w:tcPr>
            <w:tcW w:w="3860" w:type="dxa"/>
            <w:vAlign w:val="bottom"/>
          </w:tcPr>
          <w:p>
            <w:pPr>
              <w:jc w:val="center"/>
              <w:ind w:left="1231"/>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224"/>
        </w:trPr>
        <w:tc>
          <w:tcPr>
            <w:tcW w:w="4700" w:type="dxa"/>
            <w:vAlign w:val="bottom"/>
          </w:tcPr>
          <w:p>
            <w:pPr>
              <w:jc w:val="center"/>
              <w:ind w:right="1251"/>
              <w:spacing w:after="0"/>
              <w:rPr>
                <w:sz w:val="20"/>
                <w:szCs w:val="20"/>
                <w:color w:val="auto"/>
              </w:rPr>
            </w:pPr>
            <w:r>
              <w:rPr>
                <w:rFonts w:ascii="Arial" w:cs="Arial" w:eastAsia="Arial" w:hAnsi="Arial"/>
                <w:sz w:val="18"/>
                <w:szCs w:val="18"/>
                <w:i w:val="1"/>
                <w:iCs w:val="1"/>
                <w:color w:val="auto"/>
                <w:w w:val="93"/>
              </w:rPr>
              <w:t>Incorporation or Organization)</w:t>
            </w:r>
          </w:p>
        </w:tc>
        <w:tc>
          <w:tcPr>
            <w:tcW w:w="3860" w:type="dxa"/>
            <w:vAlign w:val="bottom"/>
          </w:tcPr>
          <w:p>
            <w:pPr>
              <w:spacing w:after="0"/>
              <w:rPr>
                <w:sz w:val="19"/>
                <w:szCs w:val="19"/>
                <w:color w:val="auto"/>
              </w:rPr>
            </w:pPr>
          </w:p>
        </w:tc>
      </w:tr>
      <w:tr>
        <w:trPr>
          <w:trHeight w:val="415"/>
        </w:trPr>
        <w:tc>
          <w:tcPr>
            <w:tcW w:w="4700" w:type="dxa"/>
            <w:vAlign w:val="bottom"/>
          </w:tcPr>
          <w:p>
            <w:pPr>
              <w:jc w:val="center"/>
              <w:ind w:right="1251"/>
              <w:spacing w:after="0"/>
              <w:rPr>
                <w:sz w:val="20"/>
                <w:szCs w:val="20"/>
                <w:color w:val="auto"/>
              </w:rPr>
            </w:pPr>
            <w:r>
              <w:rPr>
                <w:rFonts w:ascii="Arial" w:cs="Arial" w:eastAsia="Arial" w:hAnsi="Arial"/>
                <w:sz w:val="18"/>
                <w:szCs w:val="18"/>
                <w:b w:val="1"/>
                <w:bCs w:val="1"/>
                <w:color w:val="auto"/>
                <w:w w:val="90"/>
              </w:rPr>
              <w:t>12367 Crosthwaite Circle, Poway, California</w:t>
            </w:r>
          </w:p>
        </w:tc>
        <w:tc>
          <w:tcPr>
            <w:tcW w:w="3860" w:type="dxa"/>
            <w:vAlign w:val="bottom"/>
          </w:tcPr>
          <w:p>
            <w:pPr>
              <w:jc w:val="center"/>
              <w:ind w:left="1231"/>
              <w:spacing w:after="0"/>
              <w:rPr>
                <w:sz w:val="20"/>
                <w:szCs w:val="20"/>
                <w:color w:val="auto"/>
              </w:rPr>
            </w:pPr>
            <w:r>
              <w:rPr>
                <w:rFonts w:ascii="Arial" w:cs="Arial" w:eastAsia="Arial" w:hAnsi="Arial"/>
                <w:sz w:val="18"/>
                <w:szCs w:val="18"/>
                <w:b w:val="1"/>
                <w:bCs w:val="1"/>
                <w:color w:val="auto"/>
                <w:w w:val="89"/>
              </w:rPr>
              <w:t>92064-6817</w:t>
            </w:r>
          </w:p>
        </w:tc>
      </w:tr>
      <w:tr>
        <w:trPr>
          <w:trHeight w:val="224"/>
        </w:trPr>
        <w:tc>
          <w:tcPr>
            <w:tcW w:w="4700" w:type="dxa"/>
            <w:vAlign w:val="bottom"/>
          </w:tcPr>
          <w:p>
            <w:pPr>
              <w:jc w:val="center"/>
              <w:ind w:right="1271"/>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860" w:type="dxa"/>
            <w:vAlign w:val="bottom"/>
          </w:tcPr>
          <w:p>
            <w:pPr>
              <w:jc w:val="center"/>
              <w:ind w:left="1231"/>
              <w:spacing w:after="0"/>
              <w:rPr>
                <w:sz w:val="20"/>
                <w:szCs w:val="20"/>
                <w:color w:val="auto"/>
              </w:rPr>
            </w:pPr>
            <w:r>
              <w:rPr>
                <w:rFonts w:ascii="Arial" w:cs="Arial" w:eastAsia="Arial" w:hAnsi="Arial"/>
                <w:sz w:val="18"/>
                <w:szCs w:val="18"/>
                <w:i w:val="1"/>
                <w:iCs w:val="1"/>
                <w:color w:val="auto"/>
                <w:w w:val="91"/>
              </w:rPr>
              <w:t>(Zip Code)</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(858) 848-8100</w:t>
      </w:r>
    </w:p>
    <w:p>
      <w:pPr>
        <w:spacing w:after="0" w:line="219"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80" w:type="dxa"/>
            <w:vAlign w:val="bottom"/>
            <w:gridSpan w:val="5"/>
          </w:tcPr>
          <w:p>
            <w:pPr>
              <w:jc w:val="center"/>
              <w:ind w:right="277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87"/>
        </w:trPr>
        <w:tc>
          <w:tcPr>
            <w:tcW w:w="500" w:type="dxa"/>
            <w:vAlign w:val="bottom"/>
          </w:tcPr>
          <w:p>
            <w:pPr>
              <w:spacing w:after="0"/>
              <w:rPr>
                <w:sz w:val="24"/>
                <w:szCs w:val="24"/>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Title of Each Class</w:t>
            </w:r>
          </w:p>
        </w:tc>
        <w:tc>
          <w:tcPr>
            <w:tcW w:w="1600" w:type="dxa"/>
            <w:vAlign w:val="bottom"/>
          </w:tcPr>
          <w:p>
            <w:pPr>
              <w:spacing w:after="0"/>
              <w:rPr>
                <w:sz w:val="24"/>
                <w:szCs w:val="24"/>
                <w:color w:val="auto"/>
              </w:rPr>
            </w:pP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Trading Symbol(s)</w:t>
            </w:r>
          </w:p>
        </w:tc>
        <w:tc>
          <w:tcPr>
            <w:tcW w:w="3760" w:type="dxa"/>
            <w:vAlign w:val="bottom"/>
            <w:gridSpan w:val="2"/>
          </w:tcPr>
          <w:p>
            <w:pPr>
              <w:jc w:val="center"/>
              <w:ind w:left="631"/>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0"/>
        </w:trPr>
        <w:tc>
          <w:tcPr>
            <w:tcW w:w="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2"/>
        </w:trPr>
        <w:tc>
          <w:tcPr>
            <w:tcW w:w="25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Common Stock, $1.00 par value</w:t>
            </w:r>
          </w:p>
        </w:tc>
        <w:tc>
          <w:tcPr>
            <w:tcW w:w="1600" w:type="dxa"/>
            <w:vAlign w:val="bottom"/>
          </w:tcPr>
          <w:p>
            <w:pPr>
              <w:spacing w:after="0"/>
              <w:rPr>
                <w:sz w:val="20"/>
                <w:szCs w:val="20"/>
                <w:color w:val="auto"/>
              </w:rPr>
            </w:pPr>
          </w:p>
        </w:tc>
        <w:tc>
          <w:tcPr>
            <w:tcW w:w="2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COHU</w:t>
            </w:r>
          </w:p>
        </w:tc>
        <w:tc>
          <w:tcPr>
            <w:tcW w:w="7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 LLC</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3"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80" w:firstLine="178"/>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78"/>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178"/>
        <w:spacing w:after="0" w:line="24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spacing w:after="0" w:line="207" w:lineRule="exact"/>
        <w:tabs>
          <w:tab w:leader="none" w:pos="160" w:val="left"/>
          <w:tab w:leader="none" w:pos="240" w:val="left"/>
          <w:tab w:leader="none" w:pos="160" w:val="left"/>
          <w:tab w:leader="none" w:pos="3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ind w:right="12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18"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11" w:lineRule="exact"/>
        <w:rPr>
          <w:sz w:val="20"/>
          <w:szCs w:val="20"/>
          <w:color w:val="auto"/>
        </w:rPr>
      </w:pP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120" w:firstLine="178"/>
        <w:spacing w:after="0" w:line="273"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$1,654,000,000 based on the closing stock price as reported by the Nasdaq Stock Market LLC as of June 25, 2021.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7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10, 2022, the Registrant had 48,563,820 shares of its $1.00 par value common stock outstanding.</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4"/>
          <w:szCs w:val="24"/>
          <w:color w:val="auto"/>
        </w:rPr>
      </w:pPr>
    </w:p>
    <w:p>
      <w:pPr>
        <w:ind w:right="180" w:firstLine="178"/>
        <w:spacing w:after="0" w:line="296" w:lineRule="auto"/>
        <w:rPr>
          <w:sz w:val="20"/>
          <w:szCs w:val="20"/>
          <w:color w:val="auto"/>
        </w:rPr>
      </w:pPr>
      <w:r>
        <w:rPr>
          <w:rFonts w:ascii="Arial" w:cs="Arial" w:eastAsia="Arial" w:hAnsi="Arial"/>
          <w:sz w:val="17"/>
          <w:szCs w:val="17"/>
          <w:color w:val="auto"/>
        </w:rPr>
        <w:t>Portions of the Proxy Statement for Cohu, Inc.’s 2022 Annual Meeting of Stockholders to be held on May 4, 2022, and to be filed pursuant to Regulation 14A within 120 days after registrant’s fiscal year ended December 25, 2021, are incorporated by reference into Part III of this Report.</w:t>
      </w:r>
    </w:p>
    <w:p>
      <w:pPr>
        <w:sectPr>
          <w:pgSz w:w="11900" w:h="16904" w:orient="portrait"/>
          <w:cols w:equalWidth="0" w:num="1">
            <w:col w:w="11240"/>
          </w:cols>
          <w:pgMar w:left="320" w:top="686" w:right="339" w:bottom="0" w:gutter="0" w:footer="0" w:header="0"/>
        </w:sectPr>
      </w:pPr>
    </w:p>
    <w:bookmarkStart w:id="1" w:name="page2"/>
    <w:bookmarkEnd w:id="1"/>
    <w:p>
      <w:pPr>
        <w:spacing w:after="0" w:line="29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257810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300355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866775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r>
      <w:tr>
        <w:trPr>
          <w:trHeight w:val="907"/>
        </w:trPr>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rPr>
              <w:t>COHU, INC.</w:t>
            </w:r>
          </w:p>
        </w:tc>
        <w:tc>
          <w:tcPr>
            <w:tcW w:w="360" w:type="dxa"/>
            <w:vAlign w:val="bottom"/>
          </w:tcPr>
          <w:p>
            <w:pPr>
              <w:spacing w:after="0"/>
              <w:rPr>
                <w:sz w:val="24"/>
                <w:szCs w:val="24"/>
                <w:color w:val="auto"/>
              </w:rPr>
            </w:pPr>
          </w:p>
        </w:tc>
      </w:tr>
      <w:tr>
        <w:trPr>
          <w:trHeight w:val="213"/>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20" w:type="dxa"/>
            <w:vAlign w:val="bottom"/>
            <w:gridSpan w:val="15"/>
          </w:tcPr>
          <w:p>
            <w:pPr>
              <w:jc w:val="center"/>
              <w:ind w:right="2300"/>
              <w:spacing w:after="0"/>
              <w:rPr>
                <w:sz w:val="20"/>
                <w:szCs w:val="20"/>
                <w:color w:val="auto"/>
              </w:rPr>
            </w:pPr>
            <w:r>
              <w:rPr>
                <w:rFonts w:ascii="Arial" w:cs="Arial" w:eastAsia="Arial" w:hAnsi="Arial"/>
                <w:sz w:val="18"/>
                <w:szCs w:val="18"/>
                <w:b w:val="1"/>
                <w:bCs w:val="1"/>
                <w:color w:val="auto"/>
                <w:w w:val="97"/>
              </w:rPr>
              <w:t>FORM 10-K FOR THE FISCAL YEAR ENDED DECEMBER 25, 2021</w:t>
            </w:r>
          </w:p>
        </w:tc>
        <w:tc>
          <w:tcPr>
            <w:tcW w:w="3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6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7"/>
              </w:rPr>
              <w:t>TABLE OF CONTENTS</w:t>
            </w:r>
          </w:p>
        </w:tc>
        <w:tc>
          <w:tcPr>
            <w:tcW w:w="360" w:type="dxa"/>
            <w:vAlign w:val="bottom"/>
          </w:tcPr>
          <w:p>
            <w:pPr>
              <w:spacing w:after="0"/>
              <w:rPr>
                <w:sz w:val="20"/>
                <w:szCs w:val="20"/>
                <w:color w:val="auto"/>
              </w:rPr>
            </w:pPr>
          </w:p>
        </w:tc>
      </w:tr>
      <w:tr>
        <w:trPr>
          <w:trHeight w:val="38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w:t>
            </w:r>
          </w:p>
        </w:tc>
        <w:tc>
          <w:tcPr>
            <w:tcW w:w="9740" w:type="dxa"/>
            <w:vAlign w:val="bottom"/>
            <w:gridSpan w:val="23"/>
          </w:tcPr>
          <w:p>
            <w:pPr>
              <w:spacing w:after="0" w:line="193"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3"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840" w:type="dxa"/>
            <w:vAlign w:val="bottom"/>
            <w:gridSpan w:val="18"/>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9</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EE"/>
            </w:tcBorders>
            <w:gridSpan w:val="11"/>
          </w:tcPr>
          <w:p>
            <w:pPr>
              <w:spacing w:after="0" w:line="193"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Unresolved Staff Comments</w:t>
              </w:r>
            </w:hyperlink>
          </w:p>
        </w:tc>
        <w:tc>
          <w:tcPr>
            <w:tcW w:w="7720" w:type="dxa"/>
            <w:vAlign w:val="bottom"/>
            <w:gridSpan w:val="12"/>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26</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4"/>
          </w:tcPr>
          <w:p>
            <w:pPr>
              <w:spacing w:after="0" w:line="193"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9020" w:type="dxa"/>
            <w:vAlign w:val="bottom"/>
            <w:gridSpan w:val="19"/>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26</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7"/>
          </w:tcPr>
          <w:p>
            <w:pPr>
              <w:spacing w:after="0" w:line="193"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8420" w:type="dxa"/>
            <w:vAlign w:val="bottom"/>
            <w:gridSpan w:val="16"/>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26</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4.</w:t>
            </w:r>
          </w:p>
        </w:tc>
        <w:tc>
          <w:tcPr>
            <w:tcW w:w="9740" w:type="dxa"/>
            <w:vAlign w:val="bottom"/>
            <w:gridSpan w:val="23"/>
          </w:tcPr>
          <w:p>
            <w:pPr>
              <w:spacing w:after="0" w:line="193"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26</w:t>
            </w:r>
          </w:p>
        </w:tc>
      </w:tr>
      <w:tr>
        <w:trPr>
          <w:trHeight w:val="4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5"/>
        </w:trPr>
        <w:tc>
          <w:tcPr>
            <w:tcW w:w="1140" w:type="dxa"/>
            <w:vAlign w:val="bottom"/>
            <w:gridSpan w:val="2"/>
          </w:tcPr>
          <w:p>
            <w:pPr>
              <w:spacing w:after="0" w:line="185" w:lineRule="exact"/>
              <w:rPr>
                <w:sz w:val="20"/>
                <w:szCs w:val="20"/>
                <w:color w:val="auto"/>
              </w:rPr>
            </w:pPr>
            <w:r>
              <w:rPr>
                <w:rFonts w:ascii="Arial" w:cs="Arial" w:eastAsia="Arial" w:hAnsi="Arial"/>
                <w:sz w:val="18"/>
                <w:szCs w:val="18"/>
                <w:color w:val="auto"/>
              </w:rPr>
              <w:t>Item 5.</w:t>
            </w:r>
          </w:p>
        </w:tc>
        <w:tc>
          <w:tcPr>
            <w:tcW w:w="7960" w:type="dxa"/>
            <w:vAlign w:val="bottom"/>
            <w:tcBorders>
              <w:bottom w:val="single" w:sz="8" w:color="0000EE"/>
            </w:tcBorders>
            <w:gridSpan w:val="22"/>
          </w:tcPr>
          <w:p>
            <w:pPr>
              <w:spacing w:after="0" w:line="185"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Market for Registrant’s Common Equity, Related Stockholder Matters and Issuer Purchases of Equity Securities</w:t>
              </w:r>
            </w:hyperlink>
          </w:p>
        </w:tc>
        <w:tc>
          <w:tcPr>
            <w:tcW w:w="1780" w:type="dxa"/>
            <w:vAlign w:val="bottom"/>
          </w:tcPr>
          <w:p>
            <w:pPr>
              <w:spacing w:after="0"/>
              <w:rPr>
                <w:sz w:val="16"/>
                <w:szCs w:val="16"/>
                <w:color w:val="auto"/>
              </w:rPr>
            </w:pPr>
          </w:p>
        </w:tc>
        <w:tc>
          <w:tcPr>
            <w:tcW w:w="360" w:type="dxa"/>
            <w:vAlign w:val="bottom"/>
          </w:tcPr>
          <w:p>
            <w:pPr>
              <w:jc w:val="right"/>
              <w:spacing w:after="0" w:line="185" w:lineRule="exact"/>
              <w:rPr>
                <w:sz w:val="20"/>
                <w:szCs w:val="20"/>
                <w:color w:val="auto"/>
              </w:rPr>
            </w:pPr>
            <w:r>
              <w:rPr>
                <w:rFonts w:ascii="Arial" w:cs="Arial" w:eastAsia="Arial" w:hAnsi="Arial"/>
                <w:sz w:val="18"/>
                <w:szCs w:val="18"/>
                <w:color w:val="auto"/>
              </w:rPr>
              <w:t>27</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3"/>
          </w:tcPr>
          <w:p>
            <w:pPr>
              <w:spacing w:after="0" w:line="193" w:lineRule="exact"/>
              <w:rPr>
                <w:rFonts w:ascii="Arial" w:cs="Arial" w:eastAsia="Arial" w:hAnsi="Arial"/>
                <w:sz w:val="18"/>
                <w:szCs w:val="18"/>
                <w:color w:val="0000EE"/>
                <w:w w:val="83"/>
              </w:rPr>
            </w:pPr>
            <w:hyperlink w:anchor="page32">
              <w:r>
                <w:rPr>
                  <w:rFonts w:ascii="Arial" w:cs="Arial" w:eastAsia="Arial" w:hAnsi="Arial"/>
                  <w:sz w:val="18"/>
                  <w:szCs w:val="18"/>
                  <w:color w:val="0000EE"/>
                  <w:w w:val="83"/>
                </w:rPr>
                <w:t>Reserved</w:t>
              </w:r>
            </w:hyperlink>
          </w:p>
        </w:tc>
        <w:tc>
          <w:tcPr>
            <w:tcW w:w="9080" w:type="dxa"/>
            <w:vAlign w:val="bottom"/>
            <w:gridSpan w:val="20"/>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29</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7.</w:t>
            </w:r>
          </w:p>
        </w:tc>
        <w:tc>
          <w:tcPr>
            <w:tcW w:w="9740" w:type="dxa"/>
            <w:vAlign w:val="bottom"/>
            <w:gridSpan w:val="23"/>
          </w:tcPr>
          <w:p>
            <w:pPr>
              <w:spacing w:after="0" w:line="193"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30</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7A.</w:t>
            </w:r>
          </w:p>
        </w:tc>
        <w:tc>
          <w:tcPr>
            <w:tcW w:w="4340" w:type="dxa"/>
            <w:vAlign w:val="bottom"/>
            <w:tcBorders>
              <w:top w:val="single" w:sz="8" w:color="0000EE"/>
              <w:bottom w:val="single" w:sz="8" w:color="0000EE"/>
            </w:tcBorders>
            <w:gridSpan w:val="16"/>
          </w:tcPr>
          <w:p>
            <w:pPr>
              <w:spacing w:after="0" w:line="193"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2020" w:type="dxa"/>
            <w:vAlign w:val="bottom"/>
            <w:tcBorders>
              <w:top w:val="single" w:sz="8" w:color="0000EE"/>
            </w:tcBorders>
            <w:gridSpan w:val="3"/>
          </w:tcPr>
          <w:p>
            <w:pPr>
              <w:spacing w:after="0"/>
              <w:rPr>
                <w:sz w:val="16"/>
                <w:szCs w:val="16"/>
                <w:color w:val="auto"/>
              </w:rPr>
            </w:pPr>
          </w:p>
        </w:tc>
        <w:tc>
          <w:tcPr>
            <w:tcW w:w="3380" w:type="dxa"/>
            <w:vAlign w:val="bottom"/>
            <w:gridSpan w:val="4"/>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42</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8.</w:t>
            </w:r>
          </w:p>
        </w:tc>
        <w:tc>
          <w:tcPr>
            <w:tcW w:w="3280" w:type="dxa"/>
            <w:vAlign w:val="bottom"/>
            <w:tcBorders>
              <w:bottom w:val="single" w:sz="8" w:color="0000EE"/>
            </w:tcBorders>
            <w:gridSpan w:val="14"/>
          </w:tcPr>
          <w:p>
            <w:pPr>
              <w:spacing w:after="0" w:line="193"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Financial Statements and Supplementary Data</w:t>
              </w:r>
            </w:hyperlink>
          </w:p>
        </w:tc>
        <w:tc>
          <w:tcPr>
            <w:tcW w:w="6460" w:type="dxa"/>
            <w:vAlign w:val="bottom"/>
            <w:gridSpan w:val="9"/>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43</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9.</w:t>
            </w:r>
          </w:p>
        </w:tc>
        <w:tc>
          <w:tcPr>
            <w:tcW w:w="9740" w:type="dxa"/>
            <w:vAlign w:val="bottom"/>
            <w:gridSpan w:val="23"/>
          </w:tcPr>
          <w:p>
            <w:pPr>
              <w:spacing w:after="0" w:line="193" w:lineRule="exact"/>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43</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9A.</w:t>
            </w:r>
          </w:p>
        </w:tc>
        <w:tc>
          <w:tcPr>
            <w:tcW w:w="1800" w:type="dxa"/>
            <w:vAlign w:val="bottom"/>
            <w:tcBorders>
              <w:top w:val="single" w:sz="8" w:color="0000EE"/>
              <w:bottom w:val="single" w:sz="8" w:color="0000EE"/>
            </w:tcBorders>
            <w:gridSpan w:val="10"/>
          </w:tcPr>
          <w:p>
            <w:pPr>
              <w:spacing w:after="0" w:line="193"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Controls and Procedures</w:t>
              </w:r>
            </w:hyperlink>
          </w:p>
        </w:tc>
        <w:tc>
          <w:tcPr>
            <w:tcW w:w="4580" w:type="dxa"/>
            <w:vAlign w:val="bottom"/>
            <w:tcBorders>
              <w:top w:val="single" w:sz="8" w:color="0000EE"/>
            </w:tcBorders>
            <w:gridSpan w:val="10"/>
          </w:tcPr>
          <w:p>
            <w:pPr>
              <w:spacing w:after="0"/>
              <w:rPr>
                <w:sz w:val="16"/>
                <w:szCs w:val="16"/>
                <w:color w:val="auto"/>
              </w:rPr>
            </w:pPr>
          </w:p>
        </w:tc>
        <w:tc>
          <w:tcPr>
            <w:tcW w:w="3360" w:type="dxa"/>
            <w:vAlign w:val="bottom"/>
            <w:gridSpan w:val="3"/>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43</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9B.</w:t>
            </w:r>
          </w:p>
        </w:tc>
        <w:tc>
          <w:tcPr>
            <w:tcW w:w="1300" w:type="dxa"/>
            <w:vAlign w:val="bottom"/>
            <w:tcBorders>
              <w:bottom w:val="single" w:sz="8" w:color="0000EE"/>
            </w:tcBorders>
            <w:gridSpan w:val="6"/>
          </w:tcPr>
          <w:p>
            <w:pPr>
              <w:spacing w:after="0" w:line="193"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Other Information</w:t>
              </w:r>
            </w:hyperlink>
          </w:p>
        </w:tc>
        <w:tc>
          <w:tcPr>
            <w:tcW w:w="8440" w:type="dxa"/>
            <w:vAlign w:val="bottom"/>
            <w:gridSpan w:val="17"/>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9C.</w:t>
            </w:r>
          </w:p>
        </w:tc>
        <w:tc>
          <w:tcPr>
            <w:tcW w:w="9740" w:type="dxa"/>
            <w:vAlign w:val="bottom"/>
            <w:gridSpan w:val="23"/>
          </w:tcPr>
          <w:p>
            <w:pPr>
              <w:spacing w:after="0" w:line="193" w:lineRule="exact"/>
              <w:rPr>
                <w:rFonts w:ascii="Arial" w:cs="Arial" w:eastAsia="Arial" w:hAnsi="Arial"/>
                <w:sz w:val="18"/>
                <w:szCs w:val="18"/>
                <w:color w:val="0000EE"/>
              </w:rPr>
            </w:pPr>
            <w:hyperlink w:anchor="page48">
              <w:r>
                <w:rPr>
                  <w:rFonts w:ascii="Arial" w:cs="Arial" w:eastAsia="Arial" w:hAnsi="Arial"/>
                  <w:sz w:val="18"/>
                  <w:szCs w:val="18"/>
                  <w:color w:val="0000EE"/>
                </w:rPr>
                <w:t>Disclosure Regarding Foreign Jurisdictions That Prevent Inspections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4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5"/>
        </w:trPr>
        <w:tc>
          <w:tcPr>
            <w:tcW w:w="1140" w:type="dxa"/>
            <w:vAlign w:val="bottom"/>
            <w:gridSpan w:val="2"/>
          </w:tcPr>
          <w:p>
            <w:pPr>
              <w:spacing w:after="0" w:line="185"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5"/>
          </w:tcPr>
          <w:p>
            <w:pPr>
              <w:spacing w:after="0" w:line="185"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Directors, Executive Officers and Corporate Governance</w:t>
              </w:r>
            </w:hyperlink>
          </w:p>
        </w:tc>
        <w:tc>
          <w:tcPr>
            <w:tcW w:w="5700" w:type="dxa"/>
            <w:vAlign w:val="bottom"/>
            <w:gridSpan w:val="8"/>
          </w:tcPr>
          <w:p>
            <w:pPr>
              <w:spacing w:after="0"/>
              <w:rPr>
                <w:sz w:val="16"/>
                <w:szCs w:val="16"/>
                <w:color w:val="auto"/>
              </w:rPr>
            </w:pPr>
          </w:p>
        </w:tc>
        <w:tc>
          <w:tcPr>
            <w:tcW w:w="360" w:type="dxa"/>
            <w:vAlign w:val="bottom"/>
          </w:tcPr>
          <w:p>
            <w:pPr>
              <w:jc w:val="right"/>
              <w:spacing w:after="0" w:line="185" w:lineRule="exact"/>
              <w:rPr>
                <w:sz w:val="20"/>
                <w:szCs w:val="20"/>
                <w:color w:val="auto"/>
              </w:rPr>
            </w:pPr>
            <w:r>
              <w:rPr>
                <w:rFonts w:ascii="Arial" w:cs="Arial" w:eastAsia="Arial" w:hAnsi="Arial"/>
                <w:sz w:val="18"/>
                <w:szCs w:val="18"/>
                <w:color w:val="auto"/>
              </w:rPr>
              <w:t>45</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9"/>
          </w:tcPr>
          <w:p>
            <w:pPr>
              <w:spacing w:after="0" w:line="193"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Executive Compensation</w:t>
              </w:r>
            </w:hyperlink>
          </w:p>
        </w:tc>
        <w:tc>
          <w:tcPr>
            <w:tcW w:w="7960" w:type="dxa"/>
            <w:vAlign w:val="bottom"/>
            <w:gridSpan w:val="14"/>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12.</w:t>
            </w:r>
          </w:p>
        </w:tc>
        <w:tc>
          <w:tcPr>
            <w:tcW w:w="9740" w:type="dxa"/>
            <w:vAlign w:val="bottom"/>
            <w:gridSpan w:val="23"/>
          </w:tcPr>
          <w:p>
            <w:pPr>
              <w:spacing w:after="0" w:line="193"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13.</w:t>
            </w:r>
          </w:p>
        </w:tc>
        <w:tc>
          <w:tcPr>
            <w:tcW w:w="5380" w:type="dxa"/>
            <w:vAlign w:val="bottom"/>
            <w:tcBorders>
              <w:top w:val="single" w:sz="8" w:color="0000EE"/>
              <w:bottom w:val="single" w:sz="8" w:color="0000EE"/>
            </w:tcBorders>
            <w:gridSpan w:val="18"/>
          </w:tcPr>
          <w:p>
            <w:pPr>
              <w:spacing w:after="0" w:line="193"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Certain Relationships and Related Transactions, and Director Independence</w:t>
              </w:r>
            </w:hyperlink>
          </w:p>
        </w:tc>
        <w:tc>
          <w:tcPr>
            <w:tcW w:w="1800" w:type="dxa"/>
            <w:vAlign w:val="bottom"/>
            <w:tcBorders>
              <w:top w:val="single" w:sz="8" w:color="0000EE"/>
            </w:tcBorders>
            <w:gridSpan w:val="3"/>
          </w:tcPr>
          <w:p>
            <w:pPr>
              <w:spacing w:after="0"/>
              <w:rPr>
                <w:sz w:val="16"/>
                <w:szCs w:val="16"/>
                <w:color w:val="auto"/>
              </w:rPr>
            </w:pPr>
          </w:p>
        </w:tc>
        <w:tc>
          <w:tcPr>
            <w:tcW w:w="2560" w:type="dxa"/>
            <w:vAlign w:val="bottom"/>
            <w:gridSpan w:val="2"/>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14.</w:t>
            </w:r>
          </w:p>
        </w:tc>
        <w:tc>
          <w:tcPr>
            <w:tcW w:w="9740" w:type="dxa"/>
            <w:vAlign w:val="bottom"/>
            <w:gridSpan w:val="23"/>
          </w:tcPr>
          <w:p>
            <w:pPr>
              <w:spacing w:after="0" w:line="193"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45</w:t>
            </w:r>
          </w:p>
        </w:tc>
      </w:tr>
      <w:tr>
        <w:trPr>
          <w:trHeight w:val="4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5"/>
        </w:trPr>
        <w:tc>
          <w:tcPr>
            <w:tcW w:w="1140" w:type="dxa"/>
            <w:vAlign w:val="bottom"/>
            <w:gridSpan w:val="2"/>
          </w:tcPr>
          <w:p>
            <w:pPr>
              <w:spacing w:after="0" w:line="185" w:lineRule="exact"/>
              <w:rPr>
                <w:sz w:val="20"/>
                <w:szCs w:val="20"/>
                <w:color w:val="auto"/>
              </w:rPr>
            </w:pPr>
            <w:r>
              <w:rPr>
                <w:rFonts w:ascii="Arial" w:cs="Arial" w:eastAsia="Arial" w:hAnsi="Arial"/>
                <w:sz w:val="18"/>
                <w:szCs w:val="18"/>
                <w:color w:val="auto"/>
              </w:rPr>
              <w:t>Item 15.</w:t>
            </w:r>
          </w:p>
        </w:tc>
        <w:tc>
          <w:tcPr>
            <w:tcW w:w="2860" w:type="dxa"/>
            <w:vAlign w:val="bottom"/>
            <w:tcBorders>
              <w:bottom w:val="single" w:sz="8" w:color="0000EE"/>
            </w:tcBorders>
            <w:gridSpan w:val="12"/>
          </w:tcPr>
          <w:p>
            <w:pPr>
              <w:spacing w:after="0" w:line="185"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Exhibits, Financial Statement Schedules</w:t>
              </w:r>
            </w:hyperlink>
          </w:p>
        </w:tc>
        <w:tc>
          <w:tcPr>
            <w:tcW w:w="6880" w:type="dxa"/>
            <w:vAlign w:val="bottom"/>
            <w:gridSpan w:val="11"/>
          </w:tcPr>
          <w:p>
            <w:pPr>
              <w:spacing w:after="0"/>
              <w:rPr>
                <w:sz w:val="16"/>
                <w:szCs w:val="16"/>
                <w:color w:val="auto"/>
              </w:rPr>
            </w:pPr>
          </w:p>
        </w:tc>
        <w:tc>
          <w:tcPr>
            <w:tcW w:w="360" w:type="dxa"/>
            <w:vAlign w:val="bottom"/>
          </w:tcPr>
          <w:p>
            <w:pPr>
              <w:jc w:val="right"/>
              <w:spacing w:after="0" w:line="185" w:lineRule="exact"/>
              <w:rPr>
                <w:sz w:val="20"/>
                <w:szCs w:val="20"/>
                <w:color w:val="auto"/>
              </w:rPr>
            </w:pPr>
            <w:r>
              <w:rPr>
                <w:rFonts w:ascii="Arial" w:cs="Arial" w:eastAsia="Arial" w:hAnsi="Arial"/>
                <w:sz w:val="18"/>
                <w:szCs w:val="18"/>
                <w:color w:val="auto"/>
              </w:rPr>
              <w:t>46</w:t>
            </w:r>
          </w:p>
        </w:tc>
      </w:tr>
      <w:tr>
        <w:trPr>
          <w:trHeight w:val="193"/>
        </w:trPr>
        <w:tc>
          <w:tcPr>
            <w:tcW w:w="1140" w:type="dxa"/>
            <w:vAlign w:val="bottom"/>
            <w:gridSpan w:val="2"/>
          </w:tcPr>
          <w:p>
            <w:pPr>
              <w:spacing w:after="0" w:line="193" w:lineRule="exact"/>
              <w:rPr>
                <w:sz w:val="20"/>
                <w:szCs w:val="20"/>
                <w:color w:val="auto"/>
              </w:rPr>
            </w:pPr>
            <w:r>
              <w:rPr>
                <w:rFonts w:ascii="Arial" w:cs="Arial" w:eastAsia="Arial" w:hAnsi="Arial"/>
                <w:sz w:val="18"/>
                <w:szCs w:val="18"/>
                <w:color w:val="auto"/>
              </w:rPr>
              <w:t>Item 16.</w:t>
            </w:r>
          </w:p>
        </w:tc>
        <w:tc>
          <w:tcPr>
            <w:tcW w:w="9740" w:type="dxa"/>
            <w:vAlign w:val="bottom"/>
            <w:gridSpan w:val="23"/>
          </w:tcPr>
          <w:p>
            <w:pPr>
              <w:spacing w:after="0" w:line="193" w:lineRule="exact"/>
              <w:rPr>
                <w:rFonts w:ascii="Arial" w:cs="Arial" w:eastAsia="Arial" w:hAnsi="Arial"/>
                <w:sz w:val="18"/>
                <w:szCs w:val="18"/>
                <w:color w:val="0000EE"/>
              </w:rPr>
            </w:pPr>
            <w:hyperlink w:anchor="page89">
              <w:r>
                <w:rPr>
                  <w:rFonts w:ascii="Arial" w:cs="Arial" w:eastAsia="Arial" w:hAnsi="Arial"/>
                  <w:sz w:val="18"/>
                  <w:szCs w:val="18"/>
                  <w:color w:val="0000EE"/>
                </w:rPr>
                <w:t>Form 10-K Summary</w:t>
              </w:r>
            </w:hyperlink>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86</w:t>
            </w:r>
          </w:p>
        </w:tc>
      </w:tr>
      <w:tr>
        <w:trPr>
          <w:trHeight w:val="193"/>
        </w:trPr>
        <w:tc>
          <w:tcPr>
            <w:tcW w:w="1140" w:type="dxa"/>
            <w:vAlign w:val="bottom"/>
            <w:gridSpan w:val="2"/>
          </w:tcPr>
          <w:p>
            <w:pPr>
              <w:spacing w:after="0" w:line="193"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1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jc w:val="right"/>
              <w:spacing w:after="0" w:line="193" w:lineRule="exact"/>
              <w:rPr>
                <w:sz w:val="20"/>
                <w:szCs w:val="20"/>
                <w:color w:val="auto"/>
              </w:rPr>
            </w:pPr>
            <w:r>
              <w:rPr>
                <w:rFonts w:ascii="Arial" w:cs="Arial" w:eastAsia="Arial" w:hAnsi="Arial"/>
                <w:sz w:val="18"/>
                <w:szCs w:val="18"/>
                <w:color w:val="auto"/>
              </w:rPr>
              <w:t>87</w:t>
            </w:r>
          </w:p>
        </w:tc>
      </w:tr>
      <w:tr>
        <w:trPr>
          <w:trHeight w:val="586"/>
        </w:trPr>
        <w:tc>
          <w:tcPr>
            <w:tcW w:w="76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6"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 operating expenses, products, projected costs and capital expenditures, research and development programs, sales and marketing initiatives, acquisitions and competition. In some cases, you can identify these statements by our use of forward-looking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might,</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continue,</w:t>
      </w:r>
      <w:r>
        <w:rPr>
          <w:rFonts w:ascii="Arial" w:cs="Arial" w:eastAsia="Arial" w:hAnsi="Arial"/>
          <w:sz w:val="16"/>
          <w:szCs w:val="16"/>
          <w:color w:val="auto"/>
        </w:rPr>
        <w:t xml:space="preserve">” </w:t>
      </w:r>
      <w:r>
        <w:rPr>
          <w:rFonts w:ascii="Arial" w:cs="Arial" w:eastAsia="Arial" w:hAnsi="Arial"/>
          <w:sz w:val="16"/>
          <w:szCs w:val="16"/>
          <w:i w:val="1"/>
          <w:iCs w:val="1"/>
          <w:color w:val="auto"/>
        </w:rPr>
        <w:t>the negative or plural of these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words and other comparable terminology. Forward-looking statements are based on information available to us as of the filing date of this Annual Report on Form 10-K and our current expectations about future events, which are inherently subject to change and involve known and unknown risks and uncertainties.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w:t>
      </w:r>
      <w:r>
        <w:rPr>
          <w:rFonts w:ascii="Arial" w:cs="Arial" w:eastAsia="Arial" w:hAnsi="Arial"/>
          <w:sz w:val="16"/>
          <w:szCs w:val="16"/>
          <w:color w:val="auto"/>
        </w:rPr>
        <w:t>“</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and elsewhere in this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Cohu is a leading supplier of semiconductor test and inspection handlers, micro-electromechanical system (“MEMS”) test modules, test contactors, thermal sub-systems and semiconductor automated test equipment used by global semiconductor and electronics manufacturers and semiconductor test subcontractors.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the products that incorporate them. Our recurring revenues are driven by an increase in the number of semiconductor devices that are tested and by the continuous introduction of new products and technologies by our customers.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June 24, 2021, we completed the sale of our PCB Test Equipment (“PCB Test”) business, which represented our PCB Test reportable segment. As part of the transaction we also sold certain intellectual property held by our Semiconductor Test &amp; Inspection segment that is utilized by the PCB Test business. Our decision to sell this non-core business resulted from management’s determination that that they were no longer a fit within our organization. We evaluated the guidance in Accounting Standards Codification (“ASC”) 205-20,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and determined that the divestment of our PCB Test business does not represent a strategic shift as the divestiture will not have a major effect on Cohu’s operations and financial results and, as a result, it is not presented as discontinued operations in any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noted, all amounts presented are from continuing operations.</w:t>
      </w:r>
    </w:p>
    <w:p>
      <w:pPr>
        <w:spacing w:after="0" w:line="21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have determined that we have one reportable segment, Semiconductor Test and Inspection Equipment (“Semiconductor Test &amp; Inspection”). Prior to the sale of our PCB Test Group (“PTG”) on June 24, 2021, we reported in two segments, Semiconductor Test &amp; Inspection and PCB Test Equipment. Financial information on our reportable segments for each of the last three years is included in Note 10, “Segment and Geographic Information” in Part IV, Item 15(a) of this Form 10-K.</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2021</w:t>
            </w: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0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1760" w:type="dxa"/>
            <w:vAlign w:val="bottom"/>
            <w:shd w:val="clear" w:color="auto" w:fill="CCEEFF"/>
          </w:tcPr>
          <w:p>
            <w:pPr>
              <w:jc w:val="right"/>
              <w:ind w:right="1111"/>
              <w:spacing w:after="0"/>
              <w:rPr>
                <w:sz w:val="20"/>
                <w:szCs w:val="20"/>
                <w:color w:val="auto"/>
              </w:rPr>
            </w:pPr>
            <w:r>
              <w:rPr>
                <w:rFonts w:ascii="Arial" w:cs="Arial" w:eastAsia="Arial" w:hAnsi="Arial"/>
                <w:sz w:val="18"/>
                <w:szCs w:val="18"/>
                <w:color w:val="auto"/>
              </w:rPr>
              <w:t>97%</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92%</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PCB Test</w:t>
            </w:r>
          </w:p>
        </w:tc>
        <w:tc>
          <w:tcPr>
            <w:tcW w:w="1080" w:type="dxa"/>
            <w:vAlign w:val="bottom"/>
          </w:tcPr>
          <w:p>
            <w:pPr>
              <w:spacing w:after="0"/>
              <w:rPr>
                <w:sz w:val="18"/>
                <w:szCs w:val="18"/>
                <w:color w:val="auto"/>
              </w:rPr>
            </w:pPr>
          </w:p>
        </w:tc>
        <w:tc>
          <w:tcPr>
            <w:tcW w:w="1760" w:type="dxa"/>
            <w:vAlign w:val="bottom"/>
          </w:tcPr>
          <w:p>
            <w:pPr>
              <w:jc w:val="right"/>
              <w:ind w:right="1111"/>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4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6"/>
        </w:trPr>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11"/>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Cohu, Inc. (“Cohu”, “we”, “our”, “us” and the “Company”)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1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Automated Test Equipment (“ATE”) is used both for wafer level and device package testing. Our semiconductor ATE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consist primarily of two platforms focused on the system on a chip (“SoC”) device market. The Diamond series platform, which includes the flagship Diamond</w:t>
      </w:r>
      <w:r>
        <w:rPr>
          <w:rFonts w:ascii="Arial" w:cs="Arial" w:eastAsia="Arial" w:hAnsi="Arial"/>
          <w:sz w:val="29"/>
          <w:szCs w:val="29"/>
          <w:color w:val="auto"/>
          <w:vertAlign w:val="subscript"/>
        </w:rPr>
        <w:t>x</w:t>
      </w:r>
      <w:r>
        <w:rPr>
          <w:rFonts w:ascii="Arial" w:cs="Arial" w:eastAsia="Arial" w:hAnsi="Arial"/>
          <w:sz w:val="18"/>
          <w:szCs w:val="18"/>
          <w:color w:val="auto"/>
        </w:rPr>
        <w:t xml:space="preserve"> test system, offers high-density instrumentation for low-cost testing of microcontrollers, application specific standard products (“ASSP”), power management, display drivers, sensors and other mixed signal devices. The PAx series of testers is focused primarily on the RF Front End IC and Module market.</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handlers are used in conjunction with semiconductor ATE to automate the testing of packaged semiconductor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Our handlers support a variety of package sizes and device types, including those used in automotive, mobile, industrial, computing applications, among others. We offer a broad range of test handlers, including pick-and-place, turret, gravity, strip, MEMS and thermal sub-systems, along with inspection handlers that perform automated optical inspection of semiconductor devices.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Interface Products. </w:t>
      </w:r>
      <w:r>
        <w:rPr>
          <w:rFonts w:ascii="Arial" w:cs="Arial" w:eastAsia="Arial" w:hAnsi="Arial"/>
          <w:sz w:val="17"/>
          <w:szCs w:val="17"/>
          <w:color w:val="auto"/>
        </w:rPr>
        <w:t>Our interface products are comprised of test contactors, probe heads and probe pins. Test contactors serve as the interface between the test</w:t>
      </w:r>
      <w:r>
        <w:rPr>
          <w:rFonts w:ascii="Arial" w:cs="Arial" w:eastAsia="Arial" w:hAnsi="Arial"/>
          <w:sz w:val="17"/>
          <w:szCs w:val="17"/>
          <w:i w:val="1"/>
          <w:iCs w:val="1"/>
          <w:color w:val="auto"/>
        </w:rPr>
        <w:t xml:space="preserve"> </w:t>
      </w:r>
      <w:r>
        <w:rPr>
          <w:rFonts w:ascii="Arial" w:cs="Arial" w:eastAsia="Arial" w:hAnsi="Arial"/>
          <w:sz w:val="17"/>
          <w:szCs w:val="17"/>
          <w:color w:val="auto"/>
        </w:rPr>
        <w:t>handler 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78"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i w:val="1"/>
          <w:iCs w:val="1"/>
          <w:color w:val="auto"/>
        </w:rPr>
        <w:t xml:space="preserve">Data Analytics. </w:t>
      </w:r>
      <w:r>
        <w:rPr>
          <w:rFonts w:ascii="Arial" w:cs="Arial" w:eastAsia="Arial" w:hAnsi="Arial"/>
          <w:sz w:val="17"/>
          <w:szCs w:val="17"/>
          <w:color w:val="auto"/>
        </w:rPr>
        <w:t>Our data analytics product, DI-Core, is a comprehensive software suite used to optimize Cohu equipment performance. DI-Core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real-time online performance monitoring and process control to improve utilization, manages preventative and predictive maintenance to improve overall equipment efficiency, links semiconductor tester, handler and test contactor data for intelligence and extended device tracking, and provides a knowledge database and unified reports for quickly identifying issues and retaining historical performance data.</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Spares and Kits. </w:t>
      </w:r>
      <w:r>
        <w:rPr>
          <w:rFonts w:ascii="Arial" w:cs="Arial" w:eastAsia="Arial" w:hAnsi="Arial"/>
          <w:sz w:val="17"/>
          <w:szCs w:val="17"/>
          <w:color w:val="auto"/>
        </w:rPr>
        <w:t>We provide consumable, non-consumable and spare items that are used to maintain, sustain or otherwise enable customers’ equipment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its 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70"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Our worldwide service organization performs installations and necessary maintenance of systems sold. We provide various parts and labor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on test and handling systems and instruments designed and manufactured by us and warranties on certain components that have been purchased from other manufacturers and incorporated into our test and handling systems. We also provide training on the maintenance and operation of our systems as well as application, data management software and consulting services on our products. Services are included in our recurring revenues.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Sales by Product Line</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w w:val="89"/>
              </w:rPr>
              <w:t>During the last three years, our consolidated net sales were distributed as follows: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4"/>
                <w:szCs w:val="24"/>
                <w:color w:val="auto"/>
              </w:rPr>
            </w:pPr>
          </w:p>
        </w:tc>
        <w:tc>
          <w:tcPr>
            <w:tcW w:w="15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07"/>
        </w:trPr>
        <w:tc>
          <w:tcPr>
            <w:tcW w:w="16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 systems (including kits)</w:t>
            </w:r>
          </w:p>
        </w:tc>
        <w:tc>
          <w:tcPr>
            <w:tcW w:w="15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61%</w:t>
            </w:r>
          </w:p>
        </w:tc>
        <w:tc>
          <w:tcPr>
            <w:tcW w:w="1700" w:type="dxa"/>
            <w:vAlign w:val="bottom"/>
            <w:gridSpan w:val="2"/>
            <w:shd w:val="clear" w:color="auto" w:fill="CCEEFF"/>
          </w:tcPr>
          <w:p>
            <w:pPr>
              <w:jc w:val="center"/>
              <w:ind w:left="211"/>
              <w:spacing w:after="0"/>
              <w:rPr>
                <w:sz w:val="20"/>
                <w:szCs w:val="20"/>
                <w:color w:val="auto"/>
              </w:rPr>
            </w:pPr>
            <w:r>
              <w:rPr>
                <w:rFonts w:ascii="Arial" w:cs="Arial" w:eastAsia="Arial" w:hAnsi="Arial"/>
                <w:sz w:val="18"/>
                <w:szCs w:val="18"/>
                <w:color w:val="auto"/>
                <w:w w:val="88"/>
              </w:rPr>
              <w:t>50%</w:t>
            </w:r>
          </w:p>
        </w:tc>
        <w:tc>
          <w:tcPr>
            <w:tcW w:w="17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94"/>
              </w:rPr>
              <w:t>51%</w:t>
            </w:r>
          </w:p>
        </w:tc>
        <w:tc>
          <w:tcPr>
            <w:tcW w:w="100" w:type="dxa"/>
            <w:vAlign w:val="bottom"/>
            <w:shd w:val="clear" w:color="auto" w:fill="CCEEFF"/>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5660" w:type="dxa"/>
            <w:vAlign w:val="bottom"/>
          </w:tcPr>
          <w:p>
            <w:pPr>
              <w:spacing w:after="0" w:line="213" w:lineRule="exact"/>
              <w:rPr>
                <w:sz w:val="20"/>
                <w:szCs w:val="20"/>
                <w:color w:val="auto"/>
              </w:rPr>
            </w:pPr>
            <w:r>
              <w:rPr>
                <w:rFonts w:ascii="Arial" w:cs="Arial" w:eastAsia="Arial" w:hAnsi="Arial"/>
                <w:sz w:val="15"/>
                <w:szCs w:val="15"/>
                <w:color w:val="auto"/>
              </w:rPr>
              <w:t xml:space="preserve">Recurring revenues </w:t>
            </w:r>
            <w:r>
              <w:rPr>
                <w:rFonts w:ascii="Arial" w:cs="Arial" w:eastAsia="Arial" w:hAnsi="Arial"/>
                <w:sz w:val="24"/>
                <w:szCs w:val="24"/>
                <w:color w:val="auto"/>
                <w:vertAlign w:val="superscript"/>
              </w:rPr>
              <w:t>(1)</w:t>
            </w:r>
          </w:p>
        </w:tc>
        <w:tc>
          <w:tcPr>
            <w:tcW w:w="1500" w:type="dxa"/>
            <w:vAlign w:val="bottom"/>
          </w:tcPr>
          <w:p>
            <w:pPr>
              <w:jc w:val="center"/>
              <w:ind w:left="11"/>
              <w:spacing w:after="0"/>
              <w:rPr>
                <w:sz w:val="20"/>
                <w:szCs w:val="20"/>
                <w:color w:val="auto"/>
              </w:rPr>
            </w:pPr>
            <w:r>
              <w:rPr>
                <w:rFonts w:ascii="Arial" w:cs="Arial" w:eastAsia="Arial" w:hAnsi="Arial"/>
                <w:sz w:val="18"/>
                <w:szCs w:val="18"/>
                <w:color w:val="auto"/>
                <w:w w:val="88"/>
              </w:rPr>
              <w:t>37%</w:t>
            </w:r>
          </w:p>
        </w:tc>
        <w:tc>
          <w:tcPr>
            <w:tcW w:w="1700" w:type="dxa"/>
            <w:vAlign w:val="bottom"/>
            <w:gridSpan w:val="2"/>
          </w:tcPr>
          <w:p>
            <w:pPr>
              <w:jc w:val="center"/>
              <w:ind w:left="211"/>
              <w:spacing w:after="0"/>
              <w:rPr>
                <w:sz w:val="20"/>
                <w:szCs w:val="20"/>
                <w:color w:val="auto"/>
              </w:rPr>
            </w:pPr>
            <w:r>
              <w:rPr>
                <w:rFonts w:ascii="Arial" w:cs="Arial" w:eastAsia="Arial" w:hAnsi="Arial"/>
                <w:sz w:val="18"/>
                <w:szCs w:val="18"/>
                <w:color w:val="auto"/>
                <w:w w:val="88"/>
              </w:rPr>
              <w:t>45%</w:t>
            </w:r>
          </w:p>
        </w:tc>
        <w:tc>
          <w:tcPr>
            <w:tcW w:w="1700" w:type="dxa"/>
            <w:vAlign w:val="bottom"/>
            <w:gridSpan w:val="2"/>
          </w:tcPr>
          <w:p>
            <w:pPr>
              <w:jc w:val="center"/>
              <w:ind w:left="231"/>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PCB test systems</w:t>
            </w:r>
          </w:p>
        </w:tc>
        <w:tc>
          <w:tcPr>
            <w:tcW w:w="150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2%</w:t>
            </w:r>
          </w:p>
        </w:tc>
        <w:tc>
          <w:tcPr>
            <w:tcW w:w="1700" w:type="dxa"/>
            <w:vAlign w:val="bottom"/>
            <w:gridSpan w:val="2"/>
            <w:shd w:val="clear" w:color="auto" w:fill="CCEEFF"/>
          </w:tcPr>
          <w:p>
            <w:pPr>
              <w:jc w:val="center"/>
              <w:ind w:left="211"/>
              <w:spacing w:after="0"/>
              <w:rPr>
                <w:sz w:val="20"/>
                <w:szCs w:val="20"/>
                <w:color w:val="auto"/>
              </w:rPr>
            </w:pPr>
            <w:r>
              <w:rPr>
                <w:rFonts w:ascii="Arial" w:cs="Arial" w:eastAsia="Arial" w:hAnsi="Arial"/>
                <w:sz w:val="18"/>
                <w:szCs w:val="18"/>
                <w:color w:val="auto"/>
                <w:w w:val="92"/>
              </w:rPr>
              <w:t>5%</w:t>
            </w:r>
          </w:p>
        </w:tc>
        <w:tc>
          <w:tcPr>
            <w:tcW w:w="170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84"/>
              </w:rPr>
              <w:t>5%</w:t>
            </w:r>
          </w:p>
        </w:tc>
        <w:tc>
          <w:tcPr>
            <w:tcW w:w="100" w:type="dxa"/>
            <w:vAlign w:val="bottom"/>
            <w:shd w:val="clear" w:color="auto" w:fill="CCEEFF"/>
          </w:tcPr>
          <w:p>
            <w:pPr>
              <w:spacing w:after="0"/>
              <w:rPr>
                <w:sz w:val="18"/>
                <w:szCs w:val="18"/>
                <w:color w:val="auto"/>
              </w:rPr>
            </w:pPr>
          </w:p>
        </w:tc>
      </w:tr>
    </w:tbl>
    <w:p>
      <w:pPr>
        <w:ind w:left="160"/>
        <w:spacing w:after="0"/>
        <w:rPr>
          <w:sz w:val="20"/>
          <w:szCs w:val="20"/>
          <w:color w:val="auto"/>
        </w:rPr>
      </w:pPr>
      <w:r>
        <w:rPr>
          <w:rFonts w:ascii="Arial" w:cs="Arial" w:eastAsia="Arial" w:hAnsi="Arial"/>
          <w:sz w:val="18"/>
          <w:szCs w:val="18"/>
          <w:color w:val="auto"/>
        </w:rPr>
        <w:t>(1) Recurring revenues include interface products, spares, kits (not as part of system sales)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Our customers include semiconductor integrated device manufacturers, fabless design houses, PCB manufacturers, and test subcontractors throughout the world. Repeat sales to existing customers represent a significant portion of our sales. During the last three years, customers of our Semiconductor Test &amp; Inspection segment that comprised 10% or greater of our consolidated net sales were as follows:</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r>
      <w:tr>
        <w:trPr>
          <w:trHeight w:val="20"/>
        </w:trPr>
        <w:tc>
          <w:tcPr>
            <w:tcW w:w="5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Intel</w:t>
            </w:r>
          </w:p>
        </w:tc>
        <w:tc>
          <w:tcPr>
            <w:tcW w:w="1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r>
      <w:tr>
        <w:trPr>
          <w:trHeight w:val="217"/>
        </w:trPr>
        <w:tc>
          <w:tcPr>
            <w:tcW w:w="5320" w:type="dxa"/>
            <w:vAlign w:val="bottom"/>
          </w:tcPr>
          <w:p>
            <w:pPr>
              <w:ind w:left="320"/>
              <w:spacing w:after="0"/>
              <w:rPr>
                <w:sz w:val="20"/>
                <w:szCs w:val="20"/>
                <w:color w:val="auto"/>
              </w:rPr>
            </w:pPr>
            <w:r>
              <w:rPr>
                <w:rFonts w:ascii="Arial" w:cs="Arial" w:eastAsia="Arial" w:hAnsi="Arial"/>
                <w:sz w:val="18"/>
                <w:szCs w:val="18"/>
                <w:color w:val="auto"/>
              </w:rPr>
              <w:t>* Less than 10% of consolidated net sales.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On June 24, 2021, we completed the divestment of our PCB Test business. No customer of our PCB Test segment exceeded 10% of consolidated net sales for the years ended December 25, 2021, December 26, 2020 or December 28, 2019.</w:t>
      </w:r>
    </w:p>
    <w:p>
      <w:pPr>
        <w:spacing w:after="0" w:line="18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10, “Segment and Geographic Information” in Part IV, Item 15(a) of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United States (U.S.) sales offices are located in Poway and Milpitas, California, St. Paul, Minnesota, Lincoln, Rhode Island and Norwood, Massachusetts. Our European sales offices are located in Kolbermoor, Germany; Grenoble, France; Agrate, Italy and La Chaux-de-Fonds, Switzerland. We operate in Asia with sales and service offices in Singapore, Malaysia, Thailand, Philippines, Taiwan, China, South Korea and Japan.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products. While we believe that we are the leading worldwide supplier of semiconductor test handling equipment, we face substantial competition in Japan and Taiwan which represent a significant percentage of the worldwide market. Test subcontractors in Asia also purchase mostly from local Asian competitors. In the semiconductor test market, we face competition from two dominant suppliers headquartered in the U.S. and Japan, both of which are substantially larger than Cohu’s test business. While we are among the leading worldwide suppliers of test contactors, this market is fragmented with a large number of global and local competitors. To remain competitive within the industries we serve, we believe we will require significant financial resources to offer a broad range of products, maintain localized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25, 2021 and December 26, 2020 was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r>
      <w:tr>
        <w:trPr>
          <w:trHeight w:val="207"/>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237.1</w:t>
            </w:r>
          </w:p>
        </w:tc>
      </w:tr>
      <w:tr>
        <w:trPr>
          <w:trHeight w:val="213"/>
        </w:trPr>
        <w:tc>
          <w:tcPr>
            <w:tcW w:w="6780" w:type="dxa"/>
            <w:vAlign w:val="bottom"/>
          </w:tcPr>
          <w:p>
            <w:pPr>
              <w:spacing w:after="0"/>
              <w:rPr>
                <w:sz w:val="20"/>
                <w:szCs w:val="20"/>
                <w:color w:val="auto"/>
              </w:rPr>
            </w:pPr>
            <w:r>
              <w:rPr>
                <w:rFonts w:ascii="Arial" w:cs="Arial" w:eastAsia="Arial" w:hAnsi="Arial"/>
                <w:sz w:val="18"/>
                <w:szCs w:val="18"/>
                <w:color w:val="auto"/>
              </w:rPr>
              <w:t>PCB Test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r>
      <w:tr>
        <w:trPr>
          <w:trHeight w:val="22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consolidated backlog</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259.5</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5"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color w:val="auto"/>
        </w:rPr>
        <w:t>Our principal manufacturing operations are currently located in Malacca, Malaysia (handler operations and kits); Laguna, Philippines (kits and test contactors); Lincoln, Rhode Island (connectors); and Osaka, Japan (probe pins).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outsource the manufacturing of many of our semiconductor automated test equipment products to Jabil Circuit, Inc.’s facility in Penang, Malaysia. Our contract manufacturing partner is responsible for significant material procurement, assembly and testing. We continue to manage product design through pilot production for the subcontracted products, and we are directly involved in qualifying suppliers and key components used in all our products. Our contract manufacturer is responsible for funding the capital expenses incurred in connection with the manufacture of our products, except with regard to end-of-line testing equipment and other specific manufacturing equipment utilized in assembling our products or sub-components which are financed and owned by Cohu. Contracting with a global provider such as Jabil, gives us added flexibility to manufacture certain products closer to target markets in Asia, potentially increasing responsiveness to customers while reducing costs and delivery times.</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or may be sole sourced.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$92.0 million in 2021, $86.2 million in 2020 and $86.1 million in 2019.</w:t>
      </w:r>
    </w:p>
    <w:p>
      <w:pPr>
        <w:spacing w:after="0" w:line="190"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be subject to similar cycles. See the risk factor entitled “The semiconductor industry we serve is seasonal, volatile and unpredictable, and increased cyclicality could have an adverse impact on our sales and gross margin.”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10, 2022. Executive Officers serve at the discretion of the Board of Directors, until their successors are appointed.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32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7"/>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Luis A. Müller</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79"/>
              </w:rPr>
              <w:t>52</w:t>
            </w:r>
          </w:p>
        </w:tc>
        <w:tc>
          <w:tcPr>
            <w:tcW w:w="3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3"/>
        </w:trPr>
        <w:tc>
          <w:tcPr>
            <w:tcW w:w="2620" w:type="dxa"/>
            <w:vAlign w:val="bottom"/>
          </w:tcPr>
          <w:p>
            <w:pPr>
              <w:ind w:left="140"/>
              <w:spacing w:after="0"/>
              <w:rPr>
                <w:sz w:val="20"/>
                <w:szCs w:val="20"/>
                <w:color w:val="auto"/>
              </w:rPr>
            </w:pPr>
            <w:r>
              <w:rPr>
                <w:rFonts w:ascii="Arial" w:cs="Arial" w:eastAsia="Arial" w:hAnsi="Arial"/>
                <w:sz w:val="18"/>
                <w:szCs w:val="18"/>
                <w:color w:val="auto"/>
              </w:rPr>
              <w:t>Jeffrey D. Jones</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79"/>
              </w:rPr>
              <w:t>60</w:t>
            </w:r>
          </w:p>
        </w:tc>
        <w:tc>
          <w:tcPr>
            <w:tcW w:w="3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3"/>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Christopher G. Bohrson</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79"/>
              </w:rPr>
              <w:t>62</w:t>
            </w:r>
          </w:p>
        </w:tc>
        <w:tc>
          <w:tcPr>
            <w:tcW w:w="3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Global Customer Group</w:t>
            </w:r>
          </w:p>
        </w:tc>
      </w:tr>
      <w:tr>
        <w:trPr>
          <w:trHeight w:val="213"/>
        </w:trPr>
        <w:tc>
          <w:tcPr>
            <w:tcW w:w="2620" w:type="dxa"/>
            <w:vAlign w:val="bottom"/>
          </w:tcPr>
          <w:p>
            <w:pPr>
              <w:ind w:left="140"/>
              <w:spacing w:after="0"/>
              <w:rPr>
                <w:sz w:val="20"/>
                <w:szCs w:val="20"/>
                <w:color w:val="auto"/>
              </w:rPr>
            </w:pPr>
            <w:r>
              <w:rPr>
                <w:rFonts w:ascii="Arial" w:cs="Arial" w:eastAsia="Arial" w:hAnsi="Arial"/>
                <w:sz w:val="18"/>
                <w:szCs w:val="18"/>
                <w:color w:val="auto"/>
              </w:rPr>
              <w:t>Thomas D. Kampfer</w:t>
            </w:r>
          </w:p>
        </w:tc>
        <w:tc>
          <w:tcPr>
            <w:tcW w:w="880" w:type="dxa"/>
            <w:vAlign w:val="bottom"/>
            <w:gridSpan w:val="2"/>
          </w:tcPr>
          <w:p>
            <w:pPr>
              <w:jc w:val="center"/>
              <w:ind w:left="231"/>
              <w:spacing w:after="0"/>
              <w:rPr>
                <w:sz w:val="20"/>
                <w:szCs w:val="20"/>
                <w:color w:val="auto"/>
              </w:rPr>
            </w:pPr>
            <w:r>
              <w:rPr>
                <w:rFonts w:ascii="Arial" w:cs="Arial" w:eastAsia="Arial" w:hAnsi="Arial"/>
                <w:sz w:val="18"/>
                <w:szCs w:val="18"/>
                <w:color w:val="auto"/>
                <w:w w:val="79"/>
              </w:rPr>
              <w:t>58</w:t>
            </w:r>
          </w:p>
        </w:tc>
        <w:tc>
          <w:tcPr>
            <w:tcW w:w="3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3"/>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Ian P. Lawee</w:t>
            </w:r>
          </w:p>
        </w:tc>
        <w:tc>
          <w:tcPr>
            <w:tcW w:w="880" w:type="dxa"/>
            <w:vAlign w:val="bottom"/>
            <w:gridSpan w:val="2"/>
            <w:shd w:val="clear" w:color="auto" w:fill="CCEEFF"/>
          </w:tcPr>
          <w:p>
            <w:pPr>
              <w:jc w:val="center"/>
              <w:ind w:left="231"/>
              <w:spacing w:after="0"/>
              <w:rPr>
                <w:sz w:val="20"/>
                <w:szCs w:val="20"/>
                <w:color w:val="auto"/>
              </w:rPr>
            </w:pPr>
            <w:r>
              <w:rPr>
                <w:rFonts w:ascii="Arial" w:cs="Arial" w:eastAsia="Arial" w:hAnsi="Arial"/>
                <w:sz w:val="18"/>
                <w:szCs w:val="18"/>
                <w:color w:val="auto"/>
                <w:w w:val="79"/>
              </w:rPr>
              <w:t>55</w:t>
            </w:r>
          </w:p>
        </w:tc>
        <w:tc>
          <w:tcPr>
            <w:tcW w:w="3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General Manager, Semiconductor Test Group</w:t>
            </w:r>
          </w:p>
        </w:tc>
      </w:tr>
    </w:tbl>
    <w:p>
      <w:pPr>
        <w:spacing w:after="0" w:line="201" w:lineRule="exact"/>
        <w:rPr>
          <w:sz w:val="20"/>
          <w:szCs w:val="20"/>
          <w:color w:val="auto"/>
        </w:rPr>
      </w:pPr>
    </w:p>
    <w:p>
      <w:pPr>
        <w:jc w:val="both"/>
        <w:ind w:right="140"/>
        <w:spacing w:after="0" w:line="282" w:lineRule="auto"/>
        <w:rPr>
          <w:sz w:val="20"/>
          <w:szCs w:val="20"/>
          <w:color w:val="auto"/>
        </w:rPr>
      </w:pPr>
      <w:r>
        <w:rPr>
          <w:rFonts w:ascii="Arial" w:cs="Arial" w:eastAsia="Arial" w:hAnsi="Arial"/>
          <w:sz w:val="16"/>
          <w:szCs w:val="16"/>
          <w:color w:val="auto"/>
        </w:rPr>
        <w:t>Dr. Müller has been the President and Chief Executive Officer of Cohu since December 28, 2014. His previous roles at Cohu include serving as President of Cohu’s Semiconductor Equipment Group (“SEG”) from 2011 to 2014; Managing Director of Rasco GmbH (“Rasco”) from 2009 to 2010; Vice President of Delta Design’s High Speed Handling Group from 2008 to 2010; and Director of Engineering at Delta Design from 2005 to 2008. Prior to joining Cohu, Dr.</w:t>
      </w:r>
    </w:p>
    <w:p>
      <w:pPr>
        <w:spacing w:after="0" w:line="2"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Müller spent nine years at Teradyne Inc., where he held management positions in engineering and business development. Dr. Müller also serves as a director for Celestica Inc., a solutions-based company providing design, manufacturing and hardware platform and supply chain solutions.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Jones joined Cohu’s Delta Design subsidiary in July 2005 as Vice President Finance and Controller. In November 2007, Mr. Jones was named Vice President, Finance and Chief Financial Officer of Cohu.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Mr. Bohrson was appointed Senior Vice President, Global Customer Group on February 8, 2021. Previously, Mr. Bohrson served as Sr. Vice President and General Manager, Test Handler Group beginning in October 2018 and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Mr. Kampfer joined Cohu in May 2017 as Vice President Corporate Development, General Counsel and Secretary. Mr. Kampfer previously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Mr. Lawee joined Cohu in May 2019 as Vice President and General Manager of Cohu’s Semiconductor Test Group and subsequently promoted to Senior Vice President and General Manager on February 9, 2021. Mr. Lawee has more than twenty-five years of experience in multiple management positions at both semiconductor and test instrumentation companies. Between 2009 and 2019, he served in multiple General Manager and Senior Director roles at Analog Devices, with responsibilities spanning Interface, Isolation and Precision Converter semiconductor franchises, as well as Business Unit responsibility for semiconductors sold into the Energy market. Prior to that, Mr. Lawee spent fifteen years working in a variety of product, marketing and engineering management roles at Teradyne’s semiconductor test division.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activities are worldwide and are subject to various federal, state, local, and foreign laws and our products and services are governed by a number of rules and regulations.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government regulations.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products and operations are, or may in the future be, subject to various federal, state, local, and foreign laws and regulations concerning the environment. Compliance with federal, state, local and international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 We believe we are in compliance and are committed to maintaining compliance with all environmental laws applicable to our operations, products and services, and to reducing our environmental impact across all aspects of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Trade</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global company, the import and export of our products and services are subject to laws and regulations including international treaties, U.S. export controls and sanctions laws, customs regulations, and local trade rules around the world. We believe we are in compliance and are committed to maintaining compliance with all global trade laws applicable to our operations, products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Cohu is a global supplier of semiconductor test and inspection handlers, MEMS test modules, test contactors, thermal sub-systems and semiconductor automated test equipment used by global semiconductor and electronics manufacturers and semiconductor test subcontractors. We believe that the daily commitment and dedication of our workforce in meeting our customers’ needs is one of the significant contributors to our success as an organization. To ensure we maintain our position as a global leader in the semiconductor test and inspection space, we are committed to providing a safe and positive work environment for our employees that emphasizes learning and professional development, respect for individuals and ethical conduct, and that is facilitated by a direct management-employee engagement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Non-discrimination</w:t>
      </w: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welcome and value diversity ensuring that our work benefits from a broad range of viewpoints and perspectives. We strive to maintain workplaces that are free from discrimination or harassment based on race, color, religion, gender, gender identity or gender expression, national origin or ancestry, age, disability, veteran status, military service, sexual orientation, genetic information, and any other protected category recognized under applicable laws. We believe that a diverse workforce is critical to our success, and we continue to focus on the hiring, retention and advancement of women and underrepresented populations. We are committed to respecting and protecting the human rights of all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December 25, 2021, we had approximately 3,240 employees, including approximately 165 temporary employees, in 24 countries. Approximately 21% of our employees are located in the Americas, 14% are located in EMEA (Europe, the Middle East and Africa) and 65% are located in Asia Pacific. Our employee headcount has fluctuated in the last five years primarily due to the volatile and unpredictable business conditions in the semiconductor equipment industry and has also been impacted by acquisitions and divestitures.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Engagement Practices</w:t>
      </w:r>
    </w:p>
    <w:p>
      <w:pPr>
        <w:spacing w:after="0" w:line="219" w:lineRule="exact"/>
        <w:rPr>
          <w:sz w:val="20"/>
          <w:szCs w:val="20"/>
          <w:color w:val="auto"/>
        </w:rPr>
      </w:pPr>
    </w:p>
    <w:p>
      <w:pPr>
        <w:ind w:right="760"/>
        <w:spacing w:after="0" w:line="303" w:lineRule="auto"/>
        <w:rPr>
          <w:sz w:val="20"/>
          <w:szCs w:val="20"/>
          <w:color w:val="auto"/>
        </w:rPr>
      </w:pPr>
      <w:r>
        <w:rPr>
          <w:rFonts w:ascii="Arial" w:cs="Arial" w:eastAsia="Arial" w:hAnsi="Arial"/>
          <w:sz w:val="16"/>
          <w:szCs w:val="16"/>
          <w:color w:val="auto"/>
        </w:rPr>
        <w:t>We adhere to our core values and Code of Business Conduct and Ethics with a commitment to treating our employees and all our partners with professionalism, dignity and respect. We pride ourselves at fostering an innovative environment and collaborative work relationships. This includes respecting principles of freedom of association and the right to engage in collective bargaining in accordance with applicable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employees in the U.S. and most locations in Asia are not covered by collective bargaining agreements. However, certain employees at our operation in Germany are represented by a works council and employees in La Chaux-de-Fonds,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health and safety of our employees is of utmost important to us. Cohu works to protect the health and safety of employees and our customers and intends to conduct all business activities in an environmentally and socially responsible manner. We encourage and strive to have every employee actively champion those behaviors and the attitudes necessary to prevent work-related injuries, illnesses, property damage, and adverse impact to the environment. Our ultimate goal is to achieve a level of work-related injuries as close to zero as possible through continuous investment in our safety programs. We provide protective equipment (e.g., eye protection, masks and gloves) as required by applicable standards and as appropriate given employee job duties.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response to the COVID-19 pandemic, we implemented safety protocols and new procedures to protect our employees, our subcontractors and our customers. These protocols include complying with physical distancing, enhanced hygiene and other health and safety standards as required by federal, state and local government agencies, and taking into consideration guidelines of the Centers for Disease Control and Prevention and other public health authorities. In addition, we modified the way we conduct many aspects of our business to reduce the number of in-person interactions. For example, we significantly expanded the use of virtual interactions in all aspects of our business, including customer facing activities. Many of our administrative and operational functions during this time have required modification as well, including segments of our workforce working remotely.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19"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Cohu is committed to providing market competitive compensation programs to attract, retain and motivate a high performing workforce critical to our long-term success. As part of our compensation philosophy, we focus Cohu’s workforce on our financial and other business goals to drive and motivate employee performance in key areas through the administration of our management incentive plan, equity incentive plan, global profit-sharing and other local bonus plans, as may be applicable to a given position. Cohu also complies with applicable wage, work hours, overtime and benefits laws.</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foster a stronger sense of ownership and align the interests of our employees with shareholders, grants of restricted stock units are provided to many of our employees on an annual basis and all eligible employees are able to purchase shares of our common stock, at a 15% discount, through our Employee Stock Purchase Plan. Furthermore, we offer comprehensive, locally relevant and innovative benefits to all eligible employees. In the U.S, these include, among other benefits:</w:t>
      </w:r>
    </w:p>
    <w:p>
      <w:pPr>
        <w:spacing w:after="0" w:line="192" w:lineRule="exact"/>
        <w:rPr>
          <w:sz w:val="20"/>
          <w:szCs w:val="20"/>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health and wellness insurance coverage is offered to employees working an average of 24 hours or more each week.</w:t>
      </w:r>
    </w:p>
    <w:p>
      <w:pPr>
        <w:spacing w:after="0" w:line="21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401(k) retirement plan with matching company contributions of up to 4% of eligible compensation.</w:t>
      </w:r>
    </w:p>
    <w:p>
      <w:pPr>
        <w:spacing w:after="0" w:line="21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Tuition reimbursement program.</w:t>
      </w:r>
    </w:p>
    <w:p>
      <w:pPr>
        <w:spacing w:after="0" w:line="21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Parental leave is provided to all new parents for birth, adoption or foster placement.</w:t>
      </w:r>
    </w:p>
    <w:p>
      <w:pPr>
        <w:spacing w:after="0" w:line="21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Time Off Programs covering time away from work due to employee and family illness, holidays, vacation, civic duties, etc.</w:t>
      </w:r>
    </w:p>
    <w:p>
      <w:pPr>
        <w:spacing w:after="0" w:line="219" w:lineRule="exact"/>
        <w:rPr>
          <w:sz w:val="20"/>
          <w:szCs w:val="20"/>
          <w:color w:val="auto"/>
        </w:rPr>
      </w:pPr>
    </w:p>
    <w:p>
      <w:pPr>
        <w:ind w:right="900"/>
        <w:spacing w:after="0" w:line="296" w:lineRule="auto"/>
        <w:rPr>
          <w:sz w:val="20"/>
          <w:szCs w:val="20"/>
          <w:color w:val="auto"/>
        </w:rPr>
      </w:pPr>
      <w:r>
        <w:rPr>
          <w:rFonts w:ascii="Arial" w:cs="Arial" w:eastAsia="Arial" w:hAnsi="Arial"/>
          <w:sz w:val="17"/>
          <w:szCs w:val="17"/>
          <w:color w:val="auto"/>
        </w:rPr>
        <w:t>Outside of the U.S., we have provided other innovative benefits to help address market-specific needs, such as supplemental medical coverage or reimbursements, paid time off programs, wellness and development events and programs, transportation subsidies, etc.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perform succession planning annually to ensure that we develop and sustain a strong bench of talent capable of performing at the highest levels. Not only is talent identified, but potential paths of development are discussed to ensure that employees have an opportunity to build their skills and are well-prepared for future roles. The strength of our succession planning process is evident through our long history of promoting our leaders from within the organization, including 65% of our current executive leadership team.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are also posted on our web site at </w:t>
      </w:r>
      <w:r>
        <w:rPr>
          <w:rFonts w:ascii="Arial" w:cs="Arial" w:eastAsia="Arial" w:hAnsi="Arial"/>
          <w:sz w:val="16"/>
          <w:szCs w:val="16"/>
          <w:u w:val="single" w:color="auto"/>
          <w:color w:val="auto"/>
        </w:rPr>
        <w:t>https://cohu.gcs-web.com/corporate-governance/documents-charters</w:t>
      </w:r>
      <w:r>
        <w:rPr>
          <w:rFonts w:ascii="Arial" w:cs="Arial" w:eastAsia="Arial" w:hAnsi="Arial"/>
          <w:sz w:val="16"/>
          <w:szCs w:val="16"/>
          <w:color w:val="auto"/>
        </w:rPr>
        <w:t>. When required by the rules of the Nasdaq Stock Market, LLC (“Nasdaq”), or the Securities and Exchange Commission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i w:val="1"/>
          <w:iCs w:val="1"/>
          <w:color w:val="auto"/>
        </w:rPr>
        <w:t xml:space="preserve">In addition to the other information in this Annual Report on Form 10-K, you should carefully consider the risk factors discussed in this Annual Report on Form 10-K in evaluating Cohu and our business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Many of the following risks and uncertainties are, and will be, exacerbated by the COVID-19 pandemic and any adverse impacts on the global business and economic environment as a result.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currently deem to be immaterial, may also impair our business operations or the trading price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This summary should be read in conjunction with the full “Risk Factors” described below and should not be relied upon as a complete summary of the material risks facing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COVID-19 Pandemic</w:t>
      </w:r>
    </w:p>
    <w:p>
      <w:pPr>
        <w:spacing w:after="0" w:line="219" w:lineRule="exact"/>
        <w:rPr>
          <w:sz w:val="20"/>
          <w:szCs w:val="20"/>
          <w:color w:val="auto"/>
        </w:rPr>
      </w:pPr>
    </w:p>
    <w:p>
      <w:pPr>
        <w:ind w:left="640" w:right="140" w:hanging="314"/>
        <w:spacing w:after="0" w:line="26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global COVID-19 pandemic has adversely affected, and is continuing to adversely affect, our business, financial condition and results of operations.</w:t>
      </w:r>
    </w:p>
    <w:p>
      <w:pPr>
        <w:spacing w:after="0" w:line="180" w:lineRule="exact"/>
        <w:rPr>
          <w:rFonts w:ascii="Arial" w:cs="Arial" w:eastAsia="Arial" w:hAnsi="Arial"/>
          <w:sz w:val="18"/>
          <w:szCs w:val="18"/>
          <w:color w:val="auto"/>
        </w:rPr>
      </w:pPr>
    </w:p>
    <w:p>
      <w:pPr>
        <w:ind w:left="640" w:right="180" w:hanging="314"/>
        <w:spacing w:after="0" w:line="26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impacted, and is expected to continue to negatively impact, the operations of our key suppliers, customers and other business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Business Operations and Industry</w:t>
      </w:r>
    </w:p>
    <w:p>
      <w:pPr>
        <w:spacing w:after="0" w:line="219" w:lineRule="exact"/>
        <w:rPr>
          <w:sz w:val="20"/>
          <w:szCs w:val="20"/>
          <w:color w:val="auto"/>
        </w:rPr>
      </w:pPr>
    </w:p>
    <w:p>
      <w:pPr>
        <w:ind w:left="640" w:hanging="314"/>
        <w:spacing w:after="0" w:line="26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making investments in new products and product enhancements, which may adversely affect our operating results; these investments may not be commercially successful.</w:t>
      </w:r>
    </w:p>
    <w:p>
      <w:pPr>
        <w:spacing w:after="0" w:line="180" w:lineRule="exact"/>
        <w:rPr>
          <w:rFonts w:ascii="Arial" w:cs="Arial" w:eastAsia="Arial" w:hAnsi="Arial"/>
          <w:sz w:val="18"/>
          <w:szCs w:val="18"/>
          <w:color w:val="auto"/>
        </w:rPr>
      </w:pPr>
    </w:p>
    <w:p>
      <w:pPr>
        <w:ind w:left="640" w:right="140" w:hanging="314"/>
        <w:spacing w:after="0" w:line="330"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32" w:lineRule="exact"/>
        <w:rPr>
          <w:rFonts w:ascii="Arial" w:cs="Arial" w:eastAsia="Arial" w:hAnsi="Arial"/>
          <w:sz w:val="16"/>
          <w:szCs w:val="16"/>
          <w:color w:val="auto"/>
        </w:rPr>
      </w:pPr>
    </w:p>
    <w:p>
      <w:pPr>
        <w:ind w:left="640" w:right="280" w:hanging="314"/>
        <w:spacing w:after="0" w:line="26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to perform or unexpected downtime experienced by our sole contract manufacturer for certain semiconductor automated test equipment could adversely impact our operations.</w:t>
      </w:r>
    </w:p>
    <w:p>
      <w:pPr>
        <w:spacing w:after="0" w:line="180"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critical suppliers to deliver sufficient quantities of parts in a timely and cost-effective manner could adversely impact our operations.</w:t>
      </w:r>
    </w:p>
    <w:p>
      <w:pPr>
        <w:spacing w:after="0" w:line="230" w:lineRule="exact"/>
        <w:rPr>
          <w:rFonts w:ascii="Arial" w:cs="Arial" w:eastAsia="Arial" w:hAnsi="Arial"/>
          <w:sz w:val="17"/>
          <w:szCs w:val="17"/>
          <w:color w:val="auto"/>
        </w:rPr>
      </w:pPr>
    </w:p>
    <w:p>
      <w:pPr>
        <w:ind w:left="640" w:right="780" w:hanging="314"/>
        <w:spacing w:after="0" w:line="29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increase prices to fully offset inflationary pressures on costs, such as raw and packaging materials, components and subassemblies, labor and distribution costs, which may impact our financial condition or results of operations.</w:t>
      </w:r>
    </w:p>
    <w:p>
      <w:pPr>
        <w:spacing w:after="0" w:line="156" w:lineRule="exact"/>
        <w:rPr>
          <w:rFonts w:ascii="Arial" w:cs="Arial" w:eastAsia="Arial" w:hAnsi="Arial"/>
          <w:sz w:val="17"/>
          <w:szCs w:val="17"/>
          <w:color w:val="auto"/>
        </w:rPr>
      </w:pPr>
    </w:p>
    <w:p>
      <w:pPr>
        <w:ind w:left="640" w:right="20" w:hanging="314"/>
        <w:spacing w:after="0" w:line="26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semiconductor industry we serve is seasonal, volatile and unpredictable, and increased cyclicality could have an adverse impact on our sales and gross margin.</w:t>
      </w:r>
    </w:p>
    <w:p>
      <w:pPr>
        <w:spacing w:after="0" w:line="180"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semiconductor equipment industry is intensely competitive.</w:t>
      </w:r>
    </w:p>
    <w:p>
      <w:pPr>
        <w:spacing w:after="0" w:line="218" w:lineRule="exact"/>
        <w:rPr>
          <w:rFonts w:ascii="Arial" w:cs="Arial" w:eastAsia="Arial" w:hAnsi="Arial"/>
          <w:sz w:val="18"/>
          <w:szCs w:val="18"/>
          <w:color w:val="auto"/>
        </w:rPr>
      </w:pPr>
    </w:p>
    <w:p>
      <w:pPr>
        <w:ind w:left="640" w:right="220" w:hanging="314"/>
        <w:spacing w:after="0" w:line="26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80"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seasonal nature of the semiconductor equipment industry places enormous demands on our employees, operations and infrastructure.</w:t>
      </w:r>
    </w:p>
    <w:p>
      <w:pPr>
        <w:spacing w:after="0" w:line="230" w:lineRule="exact"/>
        <w:rPr>
          <w:rFonts w:ascii="Arial" w:cs="Arial" w:eastAsia="Arial" w:hAnsi="Arial"/>
          <w:sz w:val="17"/>
          <w:szCs w:val="17"/>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number of customers account for a substantial percentage of our net sales.</w:t>
      </w:r>
    </w:p>
    <w:p>
      <w:pPr>
        <w:spacing w:after="0" w:line="218" w:lineRule="exact"/>
        <w:rPr>
          <w:rFonts w:ascii="Arial" w:cs="Arial" w:eastAsia="Arial" w:hAnsi="Arial"/>
          <w:sz w:val="18"/>
          <w:szCs w:val="18"/>
          <w:color w:val="auto"/>
        </w:rPr>
      </w:pPr>
    </w:p>
    <w:p>
      <w:pPr>
        <w:ind w:left="640" w:right="220" w:hanging="314"/>
        <w:spacing w:after="0" w:line="29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majority of our revenues are generated from exports to foreign countries, primarily in Asia, that are subject to economic and political instability and we compete against a number of Asia-based test contactor, test handler and automated test equipment suppliers.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Associated with Operating a Global Business</w:t>
      </w:r>
    </w:p>
    <w:p>
      <w:pPr>
        <w:spacing w:after="0" w:line="219" w:lineRule="exact"/>
        <w:rPr>
          <w:sz w:val="20"/>
          <w:szCs w:val="20"/>
          <w:color w:val="auto"/>
        </w:rPr>
      </w:pPr>
    </w:p>
    <w:p>
      <w:pPr>
        <w:ind w:left="640" w:right="360" w:hanging="314"/>
        <w:spacing w:after="0" w:line="266"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the risks of operating in certain foreign locations from where Cohu manufactures certain products, and supports our sales and services to the global semiconductor industry.</w:t>
      </w:r>
    </w:p>
    <w:p>
      <w:pPr>
        <w:spacing w:after="0" w:line="180"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Increasingly restrictive trade and export regulations may materially harm and limit Cohu’s business and ability to sell its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Indebtedness, Financing and Future Access to Capital</w:t>
      </w:r>
    </w:p>
    <w:p>
      <w:pPr>
        <w:spacing w:after="0" w:line="219" w:lineRule="exact"/>
        <w:rPr>
          <w:sz w:val="20"/>
          <w:szCs w:val="20"/>
          <w:color w:val="auto"/>
        </w:rPr>
      </w:pPr>
    </w:p>
    <w:p>
      <w:pPr>
        <w:jc w:val="both"/>
        <w:ind w:left="640" w:hanging="314"/>
        <w:spacing w:after="0" w:line="25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remaining indebtedness in connection with our financing of the Xcerra acquisition may have an adverse impact on Cohu’s liquidity, limit Cohu’s flexibility in responding to other business opportunities and increase Cohu’s vulnerability to adverse economic and industry conditions; the Tax Cuts and Jobs Act severely limits the deductibility of interest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Acquisitions and Other Strategic Transactions</w:t>
      </w:r>
    </w:p>
    <w:p>
      <w:pPr>
        <w:spacing w:after="0" w:line="219" w:lineRule="exact"/>
        <w:rPr>
          <w:sz w:val="20"/>
          <w:szCs w:val="20"/>
          <w:color w:val="auto"/>
        </w:rPr>
      </w:pPr>
    </w:p>
    <w:p>
      <w:pPr>
        <w:ind w:left="640" w:right="740" w:hanging="314"/>
        <w:spacing w:after="0" w:line="26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exposed to other risks associated with additional potential acquisitions, investments and divestitures such as integration difficulties, disruption to our core business, dilution of stockholder value, and diversion of management attention.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Owning Our Stock</w:t>
      </w:r>
    </w:p>
    <w:p>
      <w:pPr>
        <w:spacing w:after="0" w:line="219" w:lineRule="exact"/>
        <w:rPr>
          <w:sz w:val="20"/>
          <w:szCs w:val="20"/>
          <w:color w:val="auto"/>
        </w:rPr>
      </w:pPr>
    </w:p>
    <w:p>
      <w:pPr>
        <w:ind w:left="640" w:right="220" w:hanging="314"/>
        <w:spacing w:after="0" w:line="26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line="180"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significant volatility in our stock price.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Regulatory Matters</w:t>
      </w:r>
    </w:p>
    <w:p>
      <w:pPr>
        <w:spacing w:after="0" w:line="219" w:lineRule="exact"/>
        <w:rPr>
          <w:sz w:val="20"/>
          <w:szCs w:val="20"/>
          <w:color w:val="auto"/>
        </w:rPr>
      </w:pPr>
    </w:p>
    <w:p>
      <w:pPr>
        <w:ind w:right="1620" w:firstLine="326"/>
        <w:spacing w:after="0" w:line="493" w:lineRule="auto"/>
        <w:tabs>
          <w:tab w:leader="none" w:pos="6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There may be changes in, and uncertainty with respect to, legislation, regulation and governmental policy in the United States. </w:t>
      </w:r>
      <w:r>
        <w:rPr>
          <w:rFonts w:ascii="Arial" w:cs="Arial" w:eastAsia="Arial" w:hAnsi="Arial"/>
          <w:sz w:val="18"/>
          <w:szCs w:val="18"/>
          <w:u w:val="single" w:color="auto"/>
          <w:color w:val="auto"/>
        </w:rPr>
        <w:t>Risks Relating to Cybersecurity, Intellectual Property and Litigation</w:t>
      </w:r>
    </w:p>
    <w:p>
      <w:pPr>
        <w:spacing w:after="0" w:line="1" w:lineRule="exact"/>
        <w:rPr>
          <w:rFonts w:ascii="Arial" w:cs="Arial" w:eastAsia="Arial" w:hAnsi="Arial"/>
          <w:sz w:val="18"/>
          <w:szCs w:val="18"/>
          <w:color w:val="auto"/>
        </w:rPr>
      </w:pPr>
    </w:p>
    <w:p>
      <w:pPr>
        <w:ind w:right="1840" w:firstLine="326"/>
        <w:spacing w:after="0" w:line="490" w:lineRule="auto"/>
        <w:tabs>
          <w:tab w:leader="none" w:pos="6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and operations could suffer in the event of cybersecurity breaches within our operational systems or products. For a more complete discussion of the material risks facing our business, see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The ongoing global COVID-19 pandemic has adversely affected, and is continuing to adversely affect, our business, financial condition and results of operations.</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ongoing global COVID-19 pandemic has adversely affected, and is continuing to adversely affect, our business, financial condition and results of operations. As the COVID-19 virus has spread rapidly and globally, from March 2020 and continuing to the present, with subsequent variants emerging, authorities have implemented numerous measures to try to contain the virus, such as travel bans and restrictions, quarantines, shelter in place orders, vaccine mandates, and shutdowns, including at various times in all of the jurisdictions where we operate. These measures have adversely impacted, and are continuing to adversely impact, our workforce and operations, the operations of our customers, and those of our respective vendors and suppliers. We have significant operations in the U.S., Germany, Switzerland, Malaysia, Japan and the Philippines, and each of these countries has been significantly affected, and remain affected, by the COVID-19 outbreak. During the COVID-19 pandemic, it has been common for restrictions to be implemented, relaxed and then implemented again with little or no notice, which adversely impacts our ability to accurately predict our future revenue and budget future expenses and is disruptive to our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Although we believe that Cohu qualifies as an “essential business” in the jurisdictions in which we operate, our business has been, and is continuing to be, adversely impacted by evolving and extended public health requirements around the world; government-mandated facility shutdowns; import/export, shipping and logistics disruptions and delays; other supply chain and distribution constraints or delays; rapid changes to business, political or regulatory conditions affecting the semiconductor equipment industry and the overall global economy; availability of employees, increased sick time and lost employee productivity; risks associated with, at times, temporarily housing employees in our Malaysia and Philippines factories; remote working IT and increased cybersecurity risks; increased internal control risks over financial reporting as key finance staff work remotely; delayed product development programs; customers’ canceling, pushing out orders or refusal to accept product deliveries; delayed collection of receivables; other actions of our customers, suppliers and competitors which may be sudden and inconsistent with our expectations; higher shipping, trucking and logistics costs; higher component costs; manufacturing capacity limitations; additional credit rating agency downgrades could occur which would increase our cost of raising capital; and potential additional impairment of goodwill or other intangible assets or inventory write-downs due to lower product demand may become necessary. Any of the foregoing COVID-19 driven impacts may have a material adverse effect on our financial condition and results of operations, and may also have the effect of increasing the likelihood and/or magnitude of other risks described in these risk factors. With each successive COVID-19 surge, we believe the risks of material adverse business disruption increase. We continuously monitor and react to the pandemic but cannot predict its future course or impacts.</w:t>
      </w:r>
    </w:p>
    <w:p>
      <w:pPr>
        <w:spacing w:after="0" w:line="171"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i w:val="1"/>
          <w:iCs w:val="1"/>
          <w:color w:val="auto"/>
        </w:rPr>
        <w:t>The COVID-19 pandemic has impacted, and is expected to continue to negatively impact, the operations of our key suppliers, customers, and other business partners.</w:t>
      </w:r>
    </w:p>
    <w:p>
      <w:pPr>
        <w:spacing w:after="0" w:line="18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extent to which the COVID-19 pandemic may impact the operations of our critical suppliers, business partners and customers could result in disruptions to our global supply chains. We may obtain certain components and materials used in our products from a limited group of suppliers, and in some cases alternative sources for certain components are not readily available. We have had certain suppliers temporarily suspend operations during the COVID-19 pandemic and have been able to work around such disruptions; however, we may not be successful in addressing future disruptions. The COVID-19 pandemic may heighten the risks posed by our dependence upon sole or limited source suppliers to the extent that the pandemic could disrupt the operations of one or more of these suppliers, potentially impacting our suppliers’ ability to maintain manufacturing operations at existing levels, and resulting in our inability to adequately obtain key components or materials, causing delayed deliveries or unsatisfactory component quality for our customers as we look to engage and qualify alternative suppliers (see risk factor entitled “</w:t>
      </w:r>
      <w:r>
        <w:rPr>
          <w:rFonts w:ascii="Arial" w:cs="Arial" w:eastAsia="Arial" w:hAnsi="Arial"/>
          <w:sz w:val="17"/>
          <w:szCs w:val="17"/>
          <w:i w:val="1"/>
          <w:iCs w:val="1"/>
          <w:color w:val="auto"/>
        </w:rPr>
        <w:t>Failure of critical suppliers to deliver sufficient quantities of parts in a timely and cost-effective manner could adversely impact our operations</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Operations and Industry</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We are making investments in new products and product enhancements, which may adversely affect our operating results; these investments may not be commercially successful.</w:t>
      </w:r>
    </w:p>
    <w:p>
      <w:pPr>
        <w:spacing w:after="0" w:line="18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and enhanced product offerings to meet strategic opportunities as they evolve. This includes developing products that we believe are necessary to meet the future needs of the marketplace and to enter new markets. We are currently significantly investing in new product development programs relating to test contactors, test handlers and automated test equipment. For example, in fiscal 2021, we incurred $92.0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and product enhancements can have a negative impact on our operating results. We have in the past made material investments in new product platforms that for various reasons, such as technical challenges or lack of customer adoption, have not generated the expected sales or return. There can be no assurance that other new products we develop will be accepted in the marketplace or generate material revenues for us.</w:t>
      </w:r>
    </w:p>
    <w:p>
      <w:pPr>
        <w:spacing w:after="0" w:line="187" w:lineRule="exact"/>
        <w:rPr>
          <w:sz w:val="20"/>
          <w:szCs w:val="20"/>
          <w:color w:val="auto"/>
        </w:rPr>
      </w:pPr>
    </w:p>
    <w:p>
      <w:pPr>
        <w:ind w:right="440"/>
        <w:spacing w:after="0" w:line="330"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3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substantial majority of our products are manufactured in Asia. 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logistics,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and logistics. Our overseas sites are more susceptible to impacts from natural disasters, health epidemics and geopolitical instability (see risk factors entitled “</w:t>
      </w:r>
      <w:r>
        <w:rPr>
          <w:rFonts w:ascii="Arial" w:cs="Arial" w:eastAsia="Arial" w:hAnsi="Arial"/>
          <w:sz w:val="17"/>
          <w:szCs w:val="17"/>
          <w:i w:val="1"/>
          <w:iCs w:val="1"/>
          <w:color w:val="auto"/>
        </w:rPr>
        <w:t>The ongoing global COVID-19 pandemic has adversely affected, and is</w:t>
      </w:r>
      <w:r>
        <w:rPr>
          <w:rFonts w:ascii="Arial" w:cs="Arial" w:eastAsia="Arial" w:hAnsi="Arial"/>
          <w:sz w:val="17"/>
          <w:szCs w:val="17"/>
          <w:color w:val="auto"/>
        </w:rPr>
        <w:t xml:space="preserve"> </w:t>
      </w:r>
      <w:r>
        <w:rPr>
          <w:rFonts w:ascii="Arial" w:cs="Arial" w:eastAsia="Arial" w:hAnsi="Arial"/>
          <w:sz w:val="17"/>
          <w:szCs w:val="17"/>
          <w:i w:val="1"/>
          <w:iCs w:val="1"/>
          <w:color w:val="auto"/>
        </w:rPr>
        <w:t>continuing to adversely affect, our business,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The occurrence of natural disasters, health epidemics, corruption and geopolitical instability caused by terrorist attacks and other threats may adversely impact our operations and sales</w:t>
      </w:r>
      <w:r>
        <w:rPr>
          <w:rFonts w:ascii="Arial" w:cs="Arial" w:eastAsia="Arial" w:hAnsi="Arial"/>
          <w:sz w:val="17"/>
          <w:szCs w:val="17"/>
          <w:color w:val="auto"/>
        </w:rPr>
        <w:t>”). If our overseas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locations are unable to meet our manufacturing requirements in a timely manner, our ability to ship products and to realize the related revenues when anticipated could be materially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suppliers are subject to the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Additionally, consolidation in our supply chain due to mergers and acquisitions may reduce the number of suppliers or change our relationships with them. The performance and financial condition of a supplier may cause us to alter our business terms or to cease doing business with a particular supplier, or change our sourcing practices generally, which could in turn adversely affect our own business and financial condition. Failure to effectively manage our manufacturing and our relationships with our suppliers could have a material adverse effect on our business and results of operations.</w:t>
      </w:r>
    </w:p>
    <w:p>
      <w:pPr>
        <w:spacing w:after="0" w:line="169"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i w:val="1"/>
          <w:iCs w:val="1"/>
          <w:color w:val="auto"/>
        </w:rPr>
        <w:t>A failure to perform or unexpected downtime experienced by our sole contract manufacturer for certain semiconductor test systems could adversely impact our operations.</w:t>
      </w:r>
    </w:p>
    <w:p>
      <w:pPr>
        <w:spacing w:after="0" w:line="180"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depend upon Jabil Manufacturing Co, (“Jabil”) to manufacture most of our semiconductor test systems from its facility located in Malaysia. In the event that Jabil was unable to meet Cohu’s current delivery schedule for semiconductor test systems, or if Jabil experienced unexpected downtime, we may not be able to sell, or have significant delays, in fulfilling our customer orders. If we experienced significant delays or disruptions with Jabil, it would take us significant time to ramp up a new manufacturer for our semiconductor test products, either in-house or with another contract manufacturer.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For example, at the beginning of 2022, we are experiencing supply constraints and delays in accessing certain specialty semiconductors necessary for the production of test instruments for our semiconductor ATE products. If we cannot quickly resolve these constraints, our revenue and overall gross margin will be adversely impacted beginning in first quarter 2022. More broadly, our results of operations may be materially and adversely impacted if we do not receive sufficient parts to meet our requirements in a timely and cost-effective manner.</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We may not be able to increase prices to fully offset inflationary pressures on costs, such as raw and packaging materials, components and subassemblies, labor and distribution costs, which may impact our financial condition or results of operations.</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a global manufacturer, we rely on raw materials, packaging materials, direct labor, energy, a large network of suppliers, distribution resources and transportation providers. In 2021 and the early part of 2022, the costs of raw materials, packaging materials, labor, energy, components and subassemblies, transportation and other inputs necessary for the production and distribution of our products have increased. Since the onset of the COVID-19 pandemic, we have seen a dramatic increase in freight and shipping costs. The foregoing price fluctuations are driven by factors beyond our control. Although we are unable to predict the longer-term impacts, we expect the pressures of input cost inflation to continue into 2022. Attempts to offset these cost pressures, such as through product price increases, or attempting to reduce operating costs elsewhere, may not be successful. Higher product prices may result in reductions in sales volume. Customers may be less willing to pay a price differential for our products and may purchase lower-priced competitive offerings or may delay some purchases altogether. To the extent that price increases are not otherwise offset, and/or if they result in decreases in sales volume, our business, financial condition or operating results may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 and increased cyclicality could have an adverse impact on our sales and gross margin.</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including the level of product sales and overall gross margin,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2021, 2020 and 2019, we recorded pre-tax inventory-related charges of approximately $7.1 million, $6.0 million, and $4.1 million, respectively, primarily as a result of changes in customer forecasts. We saw weakness in market conditions in 2019, followed by COVID-19 driven uncertainties in 2020, then a significant market recovery beginning in third quarter 2020. Abrupt, unexpected and severe demand changes have occurred in the past and are expected to reoccur in the future within our industry. Since the onset of the COVID-19 pandemic, in particular, we have seen demand fluctuations in our test handler group (“THG”) and semiconductor test group (“STG”) businesses. Our recent sales, in particular during the second and third quarters of 2021, became more weighted toward THG and less toward STG products, which had a material negative impact on our gross margins. Although the company continues to take actions to reduce expenses and improve overall operational efficiency, such actions may not be sufficient to fully offset any gross margin impacts. We cannot predict when and to what extent sales among our businesses may normalize or change in the future, or when and to what extent gross margins may improve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is intensely competitive.</w:t>
      </w:r>
    </w:p>
    <w:p>
      <w:pPr>
        <w:spacing w:after="0" w:line="21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industries we serve are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In addition, there are emerging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then we expect that these competitive conditions would negatively impact our gross margin and operating results in the foreseeable future.</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increased investments in our test contactor business and targeted significant growth opportunities. However, the test contactor market is fragmented, with many entrenched regional players, and subject to intense price competition and high localized customer support requirements. We believe that customer support and responsiveness and an ability to consistently meet tight deadlines is critical to our success. If we are unable to continue to reduce the cost of our test contactor products, while also meeting customer support requirements and deadlines, then we expect that these competitive conditions would negatively impact our test contactor operating results and impede us from achieving our test contactor sales goals.</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with the Xcerra acquisition, Cohu entered the automated test equipment (“ATE”) market. Our ability to increase ATE sales will depend, in part, on our ability to win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Cohu has a niche position and relatively low share in the ATE market, which is primarily driven by two larger companies with significantly more resources to invest into the ATE market. Therefore, the opportunities to obtain orders from new customers or existing customers may be limited, which may impair our ability to grow our ATE revenue. We also believe that our niche position results in greater sales cyclicality versus larger more diversified ATE vendors and Cohu experienced such adverse cyclicality in 2021. These factors may materially and adversely affect our current and future target markets and our ability to compete successfully in those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25, 2021. Future inventory write-offs and increased inventory reserve requirements could have a material adverse impact on our results of operations and financial condition.</w:t>
      </w:r>
    </w:p>
    <w:p>
      <w:pPr>
        <w:spacing w:after="0" w:line="16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test handling, ATE,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seasonal nature of the semiconductor equipment industry places enormous demands on our employees, operations and infrastructure.</w:t>
      </w:r>
    </w:p>
    <w:p>
      <w:pPr>
        <w:spacing w:after="0" w:line="24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and such changes in demand (up or down) are difficult to predict and proactively plan for. We have in the past and may in the future experience difficulties, particularly in manufacturing, and with training and recruiting large numbers of additions to our workforce. The volatility in headcount and business levels, combined with the seasonal nature of the semiconductor industry, may require that we invest substantial amounts in new operational and financial systems, procedures and controls. We may not be able to timely or successfully adjust our systems, facilities and production capacity to meet our customers’ changing requirements. Any inability to meet such requirements will have an adverse impact on our business, financial position and results of operations. Sudden demand changes in business conditions, positive or negative, are common in our industry but the timing of such changes is very difficult to predict.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small number of customers have been responsible for a significant portion of our net sales. For fiscal year 2021, net revenue from our ten largest customers represented 57% of our total net revenue.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 Also, 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A majority of our revenues are generated from exports to foreign countries, primarily in Asia, that are subject to economic and political instability and we compete against a number of Asia-based test contactor, test handler and automated test equipment suppliers.</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(see risk factor “</w:t>
      </w:r>
      <w:r>
        <w:rPr>
          <w:rFonts w:ascii="Arial" w:cs="Arial" w:eastAsia="Arial" w:hAnsi="Arial"/>
          <w:sz w:val="16"/>
          <w:szCs w:val="16"/>
          <w:i w:val="1"/>
          <w:iCs w:val="1"/>
          <w:color w:val="auto"/>
        </w:rPr>
        <w:t>Global economic and political conditions, including trade</w:t>
      </w:r>
      <w:r>
        <w:rPr>
          <w:rFonts w:ascii="Arial" w:cs="Arial" w:eastAsia="Arial" w:hAnsi="Arial"/>
          <w:sz w:val="16"/>
          <w:szCs w:val="16"/>
          <w:color w:val="auto"/>
        </w:rPr>
        <w:t xml:space="preserve"> </w:t>
      </w:r>
      <w:r>
        <w:rPr>
          <w:rFonts w:ascii="Arial" w:cs="Arial" w:eastAsia="Arial" w:hAnsi="Arial"/>
          <w:sz w:val="16"/>
          <w:szCs w:val="16"/>
          <w:i w:val="1"/>
          <w:iCs w:val="1"/>
          <w:color w:val="auto"/>
        </w:rPr>
        <w:t>tariffs and export restrictions, have impacted our business and may continue to have an impact on our business and financial condition</w:t>
      </w:r>
      <w:r>
        <w:rPr>
          <w:rFonts w:ascii="Arial" w:cs="Arial" w:eastAsia="Arial" w:hAnsi="Arial"/>
          <w:sz w:val="16"/>
          <w:szCs w:val="16"/>
          <w:color w:val="auto"/>
        </w:rPr>
        <w:t>”). In addition,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intense competition from a number of Asian suppliers that have certain advantages over United States (U.S.) suppliers, including us. These advantages include, among other things, proximity to customers, lower cost structures, a willingness to compete solely on price, favorable tariffs and other government preferences,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6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If we cannot continue to develop, manufacture, market and support products and services that meet customer requirements for innovation and quality, our revenue and gross margin may suffer.</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resources, and to provide the customer evaluation systems for several months at no charge, in pursuit of a single customer opportunity. We may not win the competitive selection process and may never generate any revenue despite incurring such expenditures. The delays inherent in these lengthy sales cycles increase the risk that a customer will decide to cancel, curtail, reduce or delay its product plans, causing us to lose anticipated sales.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60"/>
        <w:spacing w:after="0" w:line="323" w:lineRule="auto"/>
        <w:rPr>
          <w:sz w:val="20"/>
          <w:szCs w:val="20"/>
          <w:color w:val="auto"/>
        </w:rPr>
      </w:pPr>
      <w:r>
        <w:rPr>
          <w:rFonts w:ascii="Arial" w:cs="Arial" w:eastAsia="Arial" w:hAnsi="Arial"/>
          <w:sz w:val="14"/>
          <w:szCs w:val="14"/>
          <w:color w:val="auto"/>
        </w:rPr>
        <w:t>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w:t>
      </w:r>
    </w:p>
    <w:p>
      <w:pPr>
        <w:ind w:right="220"/>
        <w:spacing w:after="0" w:line="287" w:lineRule="auto"/>
        <w:rPr>
          <w:sz w:val="20"/>
          <w:szCs w:val="20"/>
          <w:color w:val="auto"/>
        </w:rPr>
      </w:pPr>
      <w:r>
        <w:rPr>
          <w:rFonts w:ascii="Arial" w:cs="Arial" w:eastAsia="Arial" w:hAnsi="Arial"/>
          <w:sz w:val="16"/>
          <w:szCs w:val="16"/>
          <w:color w:val="auto"/>
        </w:rPr>
        <w:t>Finding solutions to quality issues can be expensive and may result in additional warranty, replacement and other costs. In addition, if any of our products contain defects or have reliability, quality or safety issues, we may need to conduct a product recall which could result in significant repair or replacement costs and substantial delays in product shipments and may damage our reputation, which could make it more difficult to sell our products. Any of these occurrences could have a material adverse effect on our business, results of operations or financial condition. In addition, quality issues can impair our relationships with new or existing customers and adversely affect our reputation, which could lead to a material adverse effect on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and Bay Area, California; Boston, Massachusetts; St. Paul, Minnesota; Lincoln, Rhode Island; Kolbermoor, Germany; La Chaux-de-Fonds, Switzerland and Osaka, Japan areas, where the majority of our engineering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More recently, the COVID-19 pandemic has increased the risks that our executives and other key employees may be suddenly unable to perform their duties due to health or other personal responsibilities.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Operating a Global Business</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We are exposed to the risks of operating in certain foreign locations where Cohu manufactures certain products and supports our sales and services to the global semiconductor industry.</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global corporation with offices and subsidiaries in certain foreign locations to manufacture our products and support our sales and services to the global semiconductor industry. As such, we face risks in doing business globally. For example, while our corporate headquarters are located in California, additional key engineering, sales, and administrative personnel are located in China, Germany, Japan, Malaysia, Philippines, Singapore, Switzerland, Taiwan and elsewhere in the U.S., and our manufacturing operations are primarily located in Germany, Japan, Malaysia, Philippines and the U.S. Certain aspects inherent in transacting business internationally could negatively impact our operating results, including:</w:t>
      </w:r>
    </w:p>
    <w:p>
      <w:pPr>
        <w:spacing w:after="0" w:line="178"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45" w:lineRule="exact"/>
        <w:rPr>
          <w:rFonts w:ascii="Arial" w:cs="Arial" w:eastAsia="Arial" w:hAnsi="Arial"/>
          <w:sz w:val="18"/>
          <w:szCs w:val="18"/>
          <w:color w:val="auto"/>
        </w:rPr>
      </w:pPr>
    </w:p>
    <w:p>
      <w:pPr>
        <w:ind w:left="320" w:right="100" w:hanging="314"/>
        <w:spacing w:after="0" w:line="26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spacing w:after="0" w:line="206"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 labor laws and privacy regulations;</w:t>
      </w:r>
    </w:p>
    <w:p>
      <w:pPr>
        <w:spacing w:after="0" w:line="245" w:lineRule="exact"/>
        <w:rPr>
          <w:rFonts w:ascii="Arial" w:cs="Arial" w:eastAsia="Arial" w:hAnsi="Arial"/>
          <w:sz w:val="18"/>
          <w:szCs w:val="18"/>
          <w:color w:val="auto"/>
        </w:rPr>
      </w:pPr>
    </w:p>
    <w:p>
      <w:pPr>
        <w:ind w:left="320" w:right="400" w:hanging="314"/>
        <w:spacing w:after="0" w:line="26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adequately supervising employees widely distributed around the world (including due to implementing remote work arrangements in response to the COVID-19 pandemic);</w:t>
      </w:r>
    </w:p>
    <w:p>
      <w:pPr>
        <w:spacing w:after="0" w:line="206"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receivable collections;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epidemics, such as the COVID-19 pandemic;</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and global political and economic conditions, including ongoing uncertainty surrounding the COVID-19 pandemic and its implications;</w:t>
      </w:r>
    </w:p>
    <w:p>
      <w:pPr>
        <w:spacing w:after="0" w:line="257" w:lineRule="exact"/>
        <w:rPr>
          <w:rFonts w:ascii="Arial" w:cs="Arial" w:eastAsia="Arial" w:hAnsi="Arial"/>
          <w:sz w:val="17"/>
          <w:szCs w:val="17"/>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other climate risks and geopolitical instability;</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varied environmental laws and regulations at each of our principal locations;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complex tax laws and potentially adverse tax consequences, including restrictions on repatriating earnings and the threat of “double taxation;” and</w:t>
      </w:r>
    </w:p>
    <w:p>
      <w:pPr>
        <w:spacing w:after="0" w:line="268" w:lineRule="exact"/>
        <w:rPr>
          <w:rFonts w:ascii="Arial" w:cs="Arial" w:eastAsia="Arial" w:hAnsi="Arial"/>
          <w:sz w:val="16"/>
          <w:szCs w:val="16"/>
          <w:color w:val="auto"/>
        </w:rPr>
      </w:pPr>
    </w:p>
    <w:p>
      <w:pPr>
        <w:ind w:left="320" w:hanging="314"/>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foreign currency exchange rates against the U.S. Dollar, which can affect demand for our products and increase our costs.</w:t>
      </w:r>
    </w:p>
    <w:p>
      <w:pPr>
        <w:spacing w:after="0" w:line="23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5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continue to monitor global privacy laws and legislation to determine its impact on our business. We do not sell to consumers nor process individual credit card information, but do maintain certain personally identifiable information on our employees. Such employee information may be subject to the EU General Data Protection Regulation and the recently effective California Consumer Protection Act. We believe that we have implemented reasonable procedures and internal controls in compliance with these laws, but should such actions be insufficient, we may be subject to regulatory investigations, fines and legal costs. If one or more of these risks occurs, it could require us to dedicate significant resources to remedy, and if we are unsuccessful in finding a solution, our financial results will suffer.</w:t>
      </w:r>
    </w:p>
    <w:p>
      <w:pPr>
        <w:spacing w:after="0" w:line="19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Geopolitical instability in locations critical to Cohu and its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business, manufacturing, and engineering operations may adversely impact our operations and sales.</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 increase in geopolitical tensions in Asia, particularly in the Taiwan Strait, could disrupt existing semiconductor chip manufacturing and increase the prospect of an interruption to the semiconductor chip supply across the world. A setback to the current state of relative peace and stability in the region could compromise existing semiconductor chip production and have downstream implications for our company. The world’s largest semiconductor chip manufacturer is located in Taiwan and is a top supplier for many U.S. companies, many of which are part of the company’s customer base. Further, recent geopolitical tensions between Ukraine and Russia could adversely impact the supply chain in this region, particularly with respect to critical materials and metals, such as palladium which is used in our interface products as well as in semiconductors. Any interruption to semiconductor chip supply and its related impact to the company’s customers, or any disruption in our supply chain, could result in an adverse impact to our financial results.</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Global economic and political conditions, including trade tariffs and exchange rates, have impacted our business and may continue to have an impact on our business and financial conditions that we currently cannot predict.</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fiscal year 2021, 91% of our revenue was from products shipped to customer locations outside the United States. We also purchase a significant portion of components and subassemblies from suppliers outside the United States. Additionally, a significant portion of our facilities are located outside the United States, including China, Germany, France, Italy, Japan, Malaysia, Philippines, Singapore, Switzerland and Taiwan. Given our extensive global operations, we are subject to immediate impacts from any changing tariff or export regulations (see risk factor entitled “</w:t>
      </w:r>
      <w:r>
        <w:rPr>
          <w:rFonts w:ascii="Arial" w:cs="Arial" w:eastAsia="Arial" w:hAnsi="Arial"/>
          <w:sz w:val="17"/>
          <w:szCs w:val="17"/>
          <w:i w:val="1"/>
          <w:iCs w:val="1"/>
          <w:color w:val="auto"/>
        </w:rPr>
        <w:t>Increasingly restrictive trade and export regulations</w:t>
      </w:r>
      <w:r>
        <w:rPr>
          <w:rFonts w:ascii="Arial" w:cs="Arial" w:eastAsia="Arial" w:hAnsi="Arial"/>
          <w:sz w:val="17"/>
          <w:szCs w:val="17"/>
          <w:color w:val="auto"/>
        </w:rPr>
        <w:t xml:space="preserve"> </w:t>
      </w:r>
      <w:r>
        <w:rPr>
          <w:rFonts w:ascii="Arial" w:cs="Arial" w:eastAsia="Arial" w:hAnsi="Arial"/>
          <w:sz w:val="17"/>
          <w:szCs w:val="17"/>
          <w:i w:val="1"/>
          <w:iCs w:val="1"/>
          <w:color w:val="auto"/>
        </w:rPr>
        <w:t>may materially harm Cohu</w:t>
      </w:r>
      <w:r>
        <w:rPr>
          <w:rFonts w:ascii="Arial" w:cs="Arial" w:eastAsia="Arial" w:hAnsi="Arial"/>
          <w:sz w:val="17"/>
          <w:szCs w:val="17"/>
          <w:color w:val="auto"/>
        </w:rPr>
        <w:t>’</w:t>
      </w:r>
      <w:r>
        <w:rPr>
          <w:rFonts w:ascii="Arial" w:cs="Arial" w:eastAsia="Arial" w:hAnsi="Arial"/>
          <w:sz w:val="17"/>
          <w:szCs w:val="17"/>
          <w:i w:val="1"/>
          <w:iCs w:val="1"/>
          <w:color w:val="auto"/>
        </w:rPr>
        <w:t>s business and ability to sell its products without limitations</w:t>
      </w:r>
      <w:r>
        <w:rPr>
          <w:rFonts w:ascii="Arial" w:cs="Arial" w:eastAsia="Arial" w:hAnsi="Arial"/>
          <w:sz w:val="17"/>
          <w:szCs w:val="17"/>
          <w:color w:val="auto"/>
        </w:rPr>
        <w:t>”).</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It remains our plan to continue our international growth. We have business operations within the jurisdictions listed above, and while we report our financial results in U.S. dollars, we incur certain costs in other currencies. As a result, the company holds exposure to fluctuations in currency exchange rates, and significant fluctuations in exchange rates between the U.S. dollar and foreign currencies may adversely affect our revenues and earnings, despite actions we take to minimize those currency exposures. Additionally, engaging in foreign currency contracts to minimize such currency exposure could result in additional costs and risks that could adversely affect our financial condition and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0" w:name="page21"/>
    <w:bookmarkEnd w:id="20"/>
    <w:p>
      <w:pPr>
        <w:ind w:right="140"/>
        <w:spacing w:after="0" w:line="266" w:lineRule="auto"/>
        <w:rPr>
          <w:sz w:val="20"/>
          <w:szCs w:val="20"/>
          <w:color w:val="auto"/>
        </w:rPr>
      </w:pPr>
      <w:r>
        <w:rPr>
          <w:rFonts w:ascii="Arial" w:cs="Arial" w:eastAsia="Arial" w:hAnsi="Arial"/>
          <w:sz w:val="18"/>
          <w:szCs w:val="18"/>
          <w:b w:val="1"/>
          <w:bCs w:val="1"/>
          <w:i w:val="1"/>
          <w:iCs w:val="1"/>
          <w:color w:val="auto"/>
        </w:rPr>
        <w:t>The occurrence of natural disasters, health epidemics, and geopolitical instability caused by terrorist attacks and other threats may adversely impact our operations and sales.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corporate headquarters is located in San Diego, California, our Asian sales and service headquarters are located in Singapore and Taiwan,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Although we believe that we carry reasonable and appropriate business insurance, we may not be insured for certain losses and business interruptions of this kind, or for geopolitical or terrorism impacts, and presently have very limited redundant, multiple site capacity in the event of a disaster. In the event of such disaster, our business would materially suffer.</w:t>
      </w:r>
    </w:p>
    <w:p>
      <w:pPr>
        <w:spacing w:after="0" w:line="1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business could also be adversely affected by the effects of a widespread outbreak of contagious diseases, and has been and is continuing to be adversely affected by the COVID-19 global pandemic (see risk factor entitled “</w:t>
      </w:r>
      <w:r>
        <w:rPr>
          <w:rFonts w:ascii="Arial" w:cs="Arial" w:eastAsia="Arial" w:hAnsi="Arial"/>
          <w:sz w:val="18"/>
          <w:szCs w:val="18"/>
          <w:i w:val="1"/>
          <w:iCs w:val="1"/>
          <w:color w:val="auto"/>
        </w:rPr>
        <w:t>The ongoing global COVID-19 pandemic has adversely affected, and is continuing to</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affect, our business, financial condition and results of operations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and adversely affected by climate change and related matters.</w:t>
      </w:r>
    </w:p>
    <w:p>
      <w:pPr>
        <w:spacing w:after="0" w:line="21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analyze climate change risks in two separate categories: transition risks and physical risks. Transition risks are those risks relating to the transition of the global economy to a focus on more climate-friendly technologies. This transition could have adverse financial impacts on us in several ways. For instance, more stringent environmental policies or regulations could lead to increased expenses relating to green-house gas emissions or other emissions that could increase our operating costs. Enhanced emissions-reporting or shifting technology could require us to write off or impair assets or retire existing assets early. Increased environmental mandates could also increase our exposure to litigation. We could be required to incur increased costs and significant capital investment to transition to lower emissions technologies. In addition, overall market shifts could increase costs of our raw materials and cause unexpected shifts in energy costs. Focus on sustainability has increased, and the company or its industry could be stigmatized as not friendly to the environment, which could adversely affect our reputation and our business, including due to difficulties in employee hiring and retention and our ability to access capital. Any of these matters could materially and adversely affect our business, financial condition or results of operations.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Physical risks from climate change that could affect our business include acute weather events such as floods, tornadoes or other severe weather and ongoing changes such as rising temperatures or extreme variability in weather patterns. These events could lead to increased capital costs from damage to our facilities, increased insurance premiums or reduced revenue from decreased production capacity based on supply chain interruptions. Any of these events could have a material adverse effect on our business, financial condition or results of operations (see risk factor entitled “</w:t>
      </w:r>
      <w:r>
        <w:rPr>
          <w:rFonts w:ascii="Arial" w:cs="Arial" w:eastAsia="Arial" w:hAnsi="Arial"/>
          <w:sz w:val="16"/>
          <w:szCs w:val="16"/>
          <w:i w:val="1"/>
          <w:iCs w:val="1"/>
          <w:color w:val="auto"/>
        </w:rPr>
        <w:t>The occurrence of natural disasters,</w:t>
      </w:r>
      <w:r>
        <w:rPr>
          <w:rFonts w:ascii="Arial" w:cs="Arial" w:eastAsia="Arial" w:hAnsi="Arial"/>
          <w:sz w:val="16"/>
          <w:szCs w:val="16"/>
          <w:color w:val="auto"/>
        </w:rPr>
        <w:t xml:space="preserve"> </w:t>
      </w:r>
      <w:r>
        <w:rPr>
          <w:rFonts w:ascii="Arial" w:cs="Arial" w:eastAsia="Arial" w:hAnsi="Arial"/>
          <w:sz w:val="16"/>
          <w:szCs w:val="16"/>
          <w:i w:val="1"/>
          <w:iCs w:val="1"/>
          <w:color w:val="auto"/>
        </w:rPr>
        <w:t>health epidemics, and geopolitical instability caused by terrorist attacks and other threats may adversely impact our operations and sales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Increasingly restrictive trade and export regulations may materially harm and limit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and ability to sell its products.</w:t>
      </w:r>
    </w:p>
    <w:p>
      <w:pPr>
        <w:spacing w:after="0" w:line="2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There have been significant changes in U.S. export regulations relating to China since 2019. Such changes included restrictions on exports to certain China-domiciled entities including Huawei and broader definitions and restrictions on “military end users” and “uses.” Despite an ongoing material adverse impact on direct and indirect Huawei sales, we have not seen any overall material impact to our business from the foregoing restrictions. However, we believe that 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Recent history indicates that the U.S. government may impose other new export restrictions, or tariffs, and have done so within the past year as the U.S. Department of Commerce Bureau of Industry and Security has included additional China-based entities to its restricted entities list. Such ongoing restrictions with little or no prior notice will impact our ability (or our customers’ ability) to sell and ship products to China-based companies and any such additional restrictions may have an adverse effect on our business,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Risks Relating to our Indebtedness, Financing and Future Access to Capital</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The remaining indebtedness in connection with our financing of the Xcerra acquisition may have an adverse impact on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liquidity, limit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flexibility in responding to other business opportunities and increase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vulnerability to adverse economic and industry conditions; the Tax Cuts and Jobs Act severely limits the deductibility of interest expense.</w:t>
      </w:r>
    </w:p>
    <w:p>
      <w:pPr>
        <w:spacing w:after="0" w:line="19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connection with the Xcerra acquisition in 2018, Cohu entered into a term loan facility, with an aggregate principal amount of $350.0 million (the “Debt Financing” or “Credit Agreement”). The remaining indebtedness of approximately $103 million may reduce Cohu’s liquidity and cause Cohu to place more reliance on cash generated from operations to pay principal and interest on Cohu’s debt, thereby reducing the availability of Cohu’s cash flow for working capital and capital expenditure needs or to pursue other potential strategic plans. The Federal Reserve has signaled its intention to raise interest rates in 2022, and with a variable interest rate on its remaining indebtedness, Cohu would incur an increase in interest expenses. In addition, our indebtedness may make us more vulnerable to changes in general economic conditions and/or a downturn in our business, thereby making it more difficult for us to satisfy our obligations. In 2021, Cohu continued to take steps to reduce outstanding principal under its Debt Financing; however, Cohu gives no assurance as to if, when or how much any subsequent voluntary principal reductions may be. If we fail to make required debt payments, or if we fail to comply with financial or other covenants in our Credit Agreement, we would be in default under the agreement. Furthermore, the Tax Cuts and Jobs Act (“Tax Act”) limits the deductibility of interest expense in a given year to 30% of adjusted taxable income, as defined; the Coronavirus Aid, Relief, and Economic Security (“CARES”) Act temporarily increased this limitation to 50% for 2019 and 2020. This resulted in the inability of Cohu to utilize a substantial portion of its interest expense deductions in 2018 and 2019. We were able to fully deduct the interest expense in 2020 plus the disallowed amounts carried over from 2018 and 2019, however, the Tax Acts may continue to impact our ability to utilize future deductions.</w:t>
      </w:r>
    </w:p>
    <w:p>
      <w:pPr>
        <w:spacing w:after="0" w:line="17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i w:val="1"/>
          <w:iCs w:val="1"/>
          <w:color w:val="auto"/>
        </w:rPr>
        <w:t>Our Credit Agreement contains various representations and negative covenants that limit, subject to certain exceptions and baskets, our ability and/or our subsidiaries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among other things:</w:t>
      </w:r>
    </w:p>
    <w:p>
      <w:pPr>
        <w:spacing w:after="0" w:line="180"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cash dividends or make distributions on capital stock, repurchase, redeem or make payments on capital stock;</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rate, commodity, equity or currency swap, hedging or other similar transactions;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investments or acquisitions;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245" w:lineRule="exact"/>
        <w:rPr>
          <w:rFonts w:ascii="Arial" w:cs="Arial" w:eastAsia="Arial" w:hAnsi="Arial"/>
          <w:sz w:val="18"/>
          <w:szCs w:val="18"/>
          <w:color w:val="auto"/>
        </w:rPr>
      </w:pPr>
    </w:p>
    <w:p>
      <w:pPr>
        <w:ind w:left="320" w:right="80" w:hanging="314"/>
        <w:spacing w:after="0" w:line="330"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create or permit restrictions on the ability of our subsidiaries to pay dividends or make other distributions to us or to guarantee our debt, limit our or any of our subsidiaries’ ability to create liens, or that require the grant of a lien to secure an obligation if a lien is granted to secure another obligation;</w:t>
      </w:r>
    </w:p>
    <w:p>
      <w:pPr>
        <w:spacing w:after="0" w:line="159" w:lineRule="exact"/>
        <w:rPr>
          <w:rFonts w:ascii="Arial" w:cs="Arial" w:eastAsia="Arial" w:hAnsi="Arial"/>
          <w:sz w:val="16"/>
          <w:szCs w:val="16"/>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transfer, license, lease or dispose of our or our subsidiaries’ assets; and</w:t>
      </w:r>
    </w:p>
    <w:p>
      <w:pPr>
        <w:spacing w:after="0" w:line="245" w:lineRule="exact"/>
        <w:rPr>
          <w:rFonts w:ascii="Arial" w:cs="Arial" w:eastAsia="Arial" w:hAnsi="Arial"/>
          <w:sz w:val="18"/>
          <w:szCs w:val="18"/>
          <w:color w:val="auto"/>
        </w:rPr>
      </w:pPr>
    </w:p>
    <w:p>
      <w:pPr>
        <w:ind w:right="200" w:firstLine="6"/>
        <w:spacing w:after="0" w:line="493"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dissolve, liquidate, consolidate or merge with or into, or sell substantially all the assets of us and our subsidiaries, taken as a whole, to, another person. The restrictions contained in our Credit Agreement could adversely affect our ability to:</w:t>
      </w:r>
    </w:p>
    <w:p>
      <w:pPr>
        <w:spacing w:after="0" w:line="1"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 breach of any of these negative covenants could result in a default under the Credit Agreement. Further, additional indebtedness that we incur in the future may subject us to further covenants. Our failure to comply with these covenants could result in a default under the agreements governing the relevant indebtedness. The lender may accelerate the payment terms of the Credit Agreement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Any event that could require us to repay debt prior to its due date could have a material adverse impact on our financial condition and results of operations.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comply with covenants contained in such debt agreements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 In addition, our obligations under the Credit Agreement are secured, on a first-priority basis, and such security interests could be enforced in the event of default by the collateral agent for the Credit Agreement.</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80"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33"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however, a material adverse impact on our business from unforeseen events or a desire to reduce our outstanding indebtedness could result in a need to raise additional capital. Alternatively, we could decide to raise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Further, under our Credit Agreement, we are limited by financial and other negative covenants in our credit arrangements, including limitations on our borrowing of additional funds and issuing dividends.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 and Other Strategic Transactions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Because a significant portion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total assets are represented by goodwill, which is subject to mandatory impairment evaluation, and other intangibles, Cohu could be required to write off some or all of this goodwill and other intangibles, which may adversely affect the combined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condition and results of operations.</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Cohu accounted for the acquisition of Xcerra using the purchase method of accounting. A portion of the purchase price for this business was allocated to identifiable tangible and intangible assets and assumed liabilities based on estimated fair values at the date of consummation of the merger. 32% of Cohu’s total assets is comprised of goodwill and other intangibles, of which approximately $219.8 million is allocated to goodwill.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goodwill and certain other intangible assets with indefinite useful lives are not amortized but are reviewed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or more frequently if there are indications of impairment. Significant declines in the price of Cohu’s common stock could increase the risk of an impairment. All other intangible assets are subject to periodic amortization. Cohu evaluates the remaining useful lives of other intangible assets each quarter to determine whether events and circumstances warrant a revision to the remaining period of amortization. If we are unable to realize the anticipated benefits of the Xcerra acquisition, when Cohu performs future impairment tests, it is possible that the carrying value of goodwill or other intangible assets could exceed their implied fair value and therefore would require adjustment. Such adjustment would result in a charge to operating income in that period. For example, in 2020 and 2021, Cohu recorded impairment charges of approximately $11.2 million and $0.1 million, respectively, to adjust in-process research and development (“IPR&amp;D”) assets obtained in the acquisition of Xcerra to their current fair value. There can be no assurance that there will not be further adjustments for impairment in future periods.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We are exposed to other risks associated with additional potential acquisitions, investments and divestitures such as integration difficulties, disruption to our core business, dilution of stockholder value, and diversion of management attention.</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business strategy, we will continue to regularly evaluate investments in, or acquisitions of, complementary businesses, joint ventures, services and technologies, and we expect that periodically we will continue to make such investments and acquisitions in the future. Acquisitions and investments involve numerous risks, including, but not limited to:</w:t>
      </w:r>
    </w:p>
    <w:p>
      <w:pPr>
        <w:spacing w:after="0" w:line="190"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may underperform and we may not achieve any forecasted growth, benefits or synergies;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entering potentially new markets or manufacturing in new geographies where Cohu has no or limited direct prior experience;</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57" w:lineRule="exact"/>
        <w:rPr>
          <w:rFonts w:ascii="Arial" w:cs="Arial" w:eastAsia="Arial" w:hAnsi="Arial"/>
          <w:sz w:val="17"/>
          <w:szCs w:val="17"/>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manufacturing disruptions and delays as we potentially consolidate certain manufacturing sites;</w:t>
      </w:r>
    </w:p>
    <w:p>
      <w:pPr>
        <w:spacing w:after="0" w:line="245" w:lineRule="exact"/>
        <w:rPr>
          <w:rFonts w:ascii="Arial" w:cs="Arial" w:eastAsia="Arial" w:hAnsi="Arial"/>
          <w:sz w:val="18"/>
          <w:szCs w:val="18"/>
          <w:color w:val="auto"/>
        </w:rPr>
      </w:pPr>
    </w:p>
    <w:p>
      <w:pPr>
        <w:ind w:left="320" w:right="120" w:hanging="314"/>
        <w:spacing w:after="0" w:line="266"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significant costs in integrating the systems and processes of two companies with complex operations including multiple manufacturing sites;</w:t>
      </w:r>
    </w:p>
    <w:p>
      <w:pPr>
        <w:spacing w:after="0" w:line="206"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245"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257" w:lineRule="exact"/>
        <w:rPr>
          <w:rFonts w:ascii="Arial" w:cs="Arial" w:eastAsia="Arial" w:hAnsi="Arial"/>
          <w:sz w:val="17"/>
          <w:szCs w:val="17"/>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1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Mergers, acquisitions and investments are inherently risky and the inability to effectively manage these risks could materially and adversely affect our business, financial condition and results of operations.</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Risks Relating to Owning Our Stock</w:t>
      </w:r>
    </w:p>
    <w:p>
      <w:pPr>
        <w:spacing w:after="0" w:line="225" w:lineRule="exact"/>
        <w:rPr>
          <w:sz w:val="20"/>
          <w:szCs w:val="20"/>
          <w:color w:val="auto"/>
        </w:rPr>
      </w:pPr>
    </w:p>
    <w:p>
      <w:pPr>
        <w:ind w:right="480"/>
        <w:spacing w:after="0" w:line="296" w:lineRule="auto"/>
        <w:rPr>
          <w:sz w:val="20"/>
          <w:szCs w:val="20"/>
          <w:color w:val="auto"/>
        </w:rPr>
      </w:pPr>
      <w:r>
        <w:rPr>
          <w:rFonts w:ascii="Arial" w:cs="Arial" w:eastAsia="Arial" w:hAnsi="Arial"/>
          <w:sz w:val="17"/>
          <w:szCs w:val="17"/>
          <w:b w:val="1"/>
          <w:bCs w:val="1"/>
          <w:i w:val="1"/>
          <w:iCs w:val="1"/>
          <w:color w:val="auto"/>
        </w:rPr>
        <w:t>Our financial and operating results may vary and fall below analysts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estimates, or credit rating agencies may change their ratings on Cohu, any of which may cause the price of our common stock to decline or make it difficult to obtain other financing.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19"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decisions to cancel orders or push out deliveries;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intangible and deferred tax asset write-downs; and</w:t>
      </w:r>
    </w:p>
    <w:p>
      <w:pPr>
        <w:spacing w:after="0" w:line="218"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global COVID-19 pandemic.</w:t>
      </w:r>
    </w:p>
    <w:p>
      <w:pPr>
        <w:spacing w:after="0" w:line="219"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as a result of the Term Loan Credit Facility, we maintain credit ratings with Moody’s Investors Service, Inc. (“Moody’s”) and S&amp;P Global Ratings (“S&amp;P”). Any downgrades of Cohu’s credit ratings or rating outlooks, if and when they were to occur, may materially and adversely affect the market price of our equity and the availability, cost or interest rate of other credit or financing. Cohu’s current credit ratings are considered non-investment grade and make it more costly (as compared to investment grade borrowers) for Cohu or its subsidiaries to borrow money or enter into new credit facilities and to raise certain other types of capital and/or complete additional financings.</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required by the Securities and Exchange Commission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Likewise, if our financial statements are not filed on a timely basis as required by the Securities and Exchange Commission and Nasdaq Global Select Market, we could face severe consequences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1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25, 2021, the price of our common stock has ranged from $51.86 to $8.89.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industry, our limited backlog, our debt levels, and our relatively low daily stock trading volume. The market price of our common stock is likely to continue to fluctuate significantly in the future, including fluctuations related and unrelated to our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underperform relative to our expectations.</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Also, perceived company underperformance could attract shareholder activism and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spacing w:after="0" w:line="18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The issuance of shares of our common stock in connection with any future offerings of securities by us, will dilute our shareholders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ownership interest in the company.</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may seek additional financing in the future to meet our capital needs, to repay outstanding indebtedness under our existing Credit Agreement or to meet our strategic initiatives or operating activities. We have in the past issued common stock as acquisition consideration and for general corporate purposes. For example, most recently, in March 2021, we issued 5,692,500 additional shares of our common stock in an underwritten follow-on public offering, an increase of 13.4% of outstanding shares of common stock. We may determine to utilize common stock as acquisition consideration, issue convertible debt, or pursue another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certificate of incorporation and bylaws and Delaware law may make a takeover of Cohu more difficult.</w:t>
      </w:r>
    </w:p>
    <w:p>
      <w:pPr>
        <w:spacing w:after="0" w:line="21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There are provisions in our basic corporate documents and under Delaware law that could discourage, delay or prevent a change in control, even if a change in control may be regarded as beneficial to some or all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 repurchase program may not have an impact that is fully reflected in the current stock valuation.</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Effective November 2, 2021, a $70 million share repurchase program was authorized by our Board of Directors. The stock repurchase program was authorized to potentially offset dilution from equity issuances under Cohu’s equity incentive plans and because the Board believes that, for reasons unrelated to the company’s performance, the trading price of Cohu’s common stock from time to time may not be reflective of the true value of the company. Any repurchases have been and may be made in the future using our existing cash resources. The company gives no assurances as to when, how much and for what duration stock repurchases may be made. However, stock repurchases may adversely affect the company if the economy turns downward, due to the existing COVID-19 pandemic or for other reasons, as it could leave the company limited in its ability to obtain cash necessary for ongoing operations or potential acquisition targets. Further, as stock may be repurchased, given the volatility of our stock price, we may repurchase stock at prices which, in hindsight, are materially higher than the subsequent price of our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Risks Relating to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1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Specific legislative and regulatory proposals that could have a material impact on us include, but are not limited to, infrastructure renewal programs, modifications to international trade policy, increased duties, tariffs or other export restrictions, public company reporting requirements, climate change and environmental regulation, corporate tax legislation, new employment and privacy laws, and antitrust enforcement.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Unanticipated changes in our tax provisions, enactment of new tax laws, or exposure to additional income tax liabilities could affect our profitability.</w:t>
      </w:r>
    </w:p>
    <w:p>
      <w:pPr>
        <w:spacing w:after="0" w:line="26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Our German subsidiaries income tax returns for 2015 to 2017, and our Philippines subsidiary income tax return for 2017 are currently under routine examination by tax authorities in their respective countries. During 2021, we were notified by the taxing authority in Malaysia of its intent to perform an audit for 2014 to 2019 for one of our Malaysian subsidiaries.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 As a result of the acquisition of Xcerra, a greater than 50% cumulative ownership change in Xcerra triggered a significant limitation in the utilization of their net operating loss and research credit carryforwards. Cohu’s ability to use the acquired Xcerra U.S. net operating loss and credit carryforwards is subject to annual limitations as defined in sections 382 and 383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assurances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b w:val="1"/>
          <w:bCs w:val="1"/>
          <w:i w:val="1"/>
          <w:iCs w:val="1"/>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shareholder or other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Cybersecurity, Intellectual Property and Litigation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cybersecurity breaches within our operational systems or products.</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extensive employee telework practices, implemented in response to the COVID-19 pandemic, have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Any future attacks, similar to the “SolarWinds” hack that occurred in 2020, which may disrupt our IT systems, or those of our suppliers, could impact our sales, financial results and stock price. In response to these risks, we expect to continue to devote additional resources to the security of our information technology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and we may incur litigation costs to protect our proprietary rights.</w:t>
      </w:r>
    </w:p>
    <w:p>
      <w:pPr>
        <w:spacing w:after="0" w:line="21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We are also subject to the theft and misappropriation of our intellectual property by others, including incidents relating to former employees. Additionally, instances where we identify third parties potentially infringing on our proprietary rights may require our further investigation that could be time-consuming and costly. We believe that our company is taking reasonable actions to protect and continuously improve our security, through strengthened IT infrastructure and internal controls, but if these actions are not successful our business could be adversely affected.</w:t>
      </w:r>
    </w:p>
    <w:p>
      <w:pPr>
        <w:spacing w:after="0" w:line="19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Other parties may claim that we are infringing upon their intellectual property rights, and we could suffer litigation or licensing costs, and be prohibited from selling our products.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may receive notice from third parties regarding patent or copyright claims of potential infringement by our company. Any such claims, with or without merit, could be time-consuming to defend, result in costly litigation, divert management’s attention and resources, and cause us to incur significant expenses. In the event of a successful claim of infringement against us, it may be costly for us to obtain licensing rights, or we may fail to obtain licensing rights or have an inability to license the infringed technology. Additionally, we may not be able to timely acquire or develop similar non-infringing technology, which may require us to change our products or processes. In each of these instances, our business, financial condition and results of operations could be adversely affected.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25, 2021, is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Major</w:t>
            </w:r>
          </w:p>
        </w:tc>
        <w:tc>
          <w:tcPr>
            <w:tcW w:w="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Reportable</w:t>
            </w:r>
          </w:p>
        </w:tc>
        <w:tc>
          <w:tcPr>
            <w:tcW w:w="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Approx.</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Activities</w:t>
            </w:r>
          </w:p>
        </w:tc>
        <w:tc>
          <w:tcPr>
            <w:tcW w:w="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Sq. Ft.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1, 2, 3, 4, 5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Kolbermoor, Germany</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83,000</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Malacca, Malaysia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Calamba City, Laguna, Philippines</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52,000</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La Chaux-de-Fonds, Switzerland</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Osaka, Japan</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67,000</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Milpitas, California</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2, 4, 5</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31,000</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Norwood, Massachusetts</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Lincoln, Rhode Island</w:t>
            </w: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22,000</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 Paul, Minnesota</w:t>
            </w:r>
          </w:p>
        </w:tc>
        <w:tc>
          <w:tcPr>
            <w:tcW w:w="1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2, 3, 4, 5</w:t>
            </w:r>
          </w:p>
        </w:tc>
        <w:tc>
          <w:tcPr>
            <w:tcW w:w="3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Semiconductor Test &amp; Inspection</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33"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color w:val="auto"/>
        </w:rPr>
        <w:t>In addition to the locations listed above, we lease other properties primarily for manufacturing, sales, service, engineering, and general administration in various locations. We believe our facilities are suitable for their respective uses and are adequate for our present needs.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12, “Commitments and Contingencies” in Part IV, Item 15(a) of this Form 10-K for information regarding 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February 10, 2022, Cohu had 578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Dividends</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5860" w:type="dxa"/>
            <w:vAlign w:val="bottom"/>
            <w:gridSpan w:val="2"/>
          </w:tcPr>
          <w:p>
            <w:pPr>
              <w:spacing w:after="0"/>
              <w:rPr>
                <w:sz w:val="20"/>
                <w:szCs w:val="20"/>
                <w:color w:val="auto"/>
              </w:rPr>
            </w:pPr>
            <w:r>
              <w:rPr>
                <w:rFonts w:ascii="Arial" w:cs="Arial" w:eastAsia="Arial" w:hAnsi="Arial"/>
                <w:sz w:val="18"/>
                <w:szCs w:val="18"/>
                <w:color w:val="auto"/>
              </w:rPr>
              <w:t>Cash dividends, per share, declared in 2021 and 2020 were as follows:</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4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Fiscal 2021</w:t>
            </w:r>
          </w:p>
        </w:tc>
        <w:tc>
          <w:tcPr>
            <w:tcW w:w="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Fiscal 2020</w:t>
            </w:r>
          </w:p>
        </w:tc>
        <w:tc>
          <w:tcPr>
            <w:tcW w:w="100" w:type="dxa"/>
            <w:vAlign w:val="bottom"/>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CEEFF"/>
          </w:tcPr>
          <w:p>
            <w:pPr>
              <w:jc w:val="right"/>
              <w:ind w:right="11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3"/>
        </w:trPr>
        <w:tc>
          <w:tcPr>
            <w:tcW w:w="4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right"/>
              <w:ind w:right="11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CEEFF"/>
          </w:tcPr>
          <w:p>
            <w:pPr>
              <w:jc w:val="right"/>
              <w:ind w:right="11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Fourth Quarter</w:t>
            </w:r>
          </w:p>
        </w:tc>
        <w:tc>
          <w:tcPr>
            <w:tcW w:w="840" w:type="dxa"/>
            <w:vAlign w:val="bottom"/>
          </w:tcPr>
          <w:p>
            <w:pPr>
              <w:spacing w:after="0"/>
              <w:rPr>
                <w:sz w:val="18"/>
                <w:szCs w:val="18"/>
                <w:color w:val="auto"/>
              </w:rPr>
            </w:pPr>
          </w:p>
        </w:tc>
        <w:tc>
          <w:tcPr>
            <w:tcW w:w="1320" w:type="dxa"/>
            <w:vAlign w:val="bottom"/>
          </w:tcPr>
          <w:p>
            <w:pPr>
              <w:jc w:val="right"/>
              <w:ind w:right="1131"/>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8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1"/>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0"/>
        </w:trPr>
        <w:tc>
          <w:tcPr>
            <w:tcW w:w="480" w:type="dxa"/>
            <w:vAlign w:val="bottom"/>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We are proactively managing cash flow and Cohu’s Board of Directors authorized suspending our quarterly cash dividend indefinitely, as of May 5, 2020. The dividend suspension has resulted in approximately $10 million of annualized cash savings, which we are utilizing to deleverage and strengthen our balance sheet. Future reinstatement of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did not issue any securities that were not registered under the Securities Act of 1933, as amended.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October 28, 2021, we announced that our Board of Directors authorized a $70 million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The total number of shares of common stock we purchased during the fiscal year ended December 25, 2021 was 206,572 shares.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Share repurchase activity during the fourth quarter of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Maximum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0"/>
              </w:rPr>
              <w:t>Shares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40" w:type="dxa"/>
            <w:vAlign w:val="bottom"/>
          </w:tcPr>
          <w:p>
            <w:pPr>
              <w:spacing w:after="0"/>
              <w:rPr>
                <w:sz w:val="18"/>
                <w:szCs w:val="18"/>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as Part of</w:t>
            </w:r>
          </w:p>
        </w:tc>
        <w:tc>
          <w:tcPr>
            <w:tcW w:w="2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That May Yet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 of</w:t>
            </w:r>
          </w:p>
        </w:tc>
        <w:tc>
          <w:tcPr>
            <w:tcW w:w="240" w:type="dxa"/>
            <w:vAlign w:val="bottom"/>
          </w:tcPr>
          <w:p>
            <w:pPr>
              <w:spacing w:after="0"/>
              <w:rPr>
                <w:sz w:val="18"/>
                <w:szCs w:val="18"/>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Publicly</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Purchased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18"/>
                <w:szCs w:val="18"/>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color w:val="auto"/>
                <w:w w:val="87"/>
              </w:rPr>
              <w:t>Price Paid</w:t>
            </w:r>
          </w:p>
        </w:tc>
        <w:tc>
          <w:tcPr>
            <w:tcW w:w="2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Purchase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Under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Purchased</w:t>
            </w:r>
          </w:p>
        </w:tc>
        <w:tc>
          <w:tcPr>
            <w:tcW w:w="240" w:type="dxa"/>
            <w:vAlign w:val="bottom"/>
          </w:tcPr>
          <w:p>
            <w:pPr>
              <w:spacing w:after="0"/>
              <w:rPr>
                <w:sz w:val="19"/>
                <w:szCs w:val="19"/>
                <w:color w:val="auto"/>
              </w:rPr>
            </w:pPr>
          </w:p>
        </w:tc>
        <w:tc>
          <w:tcPr>
            <w:tcW w:w="1300" w:type="dxa"/>
            <w:vAlign w:val="bottom"/>
          </w:tcPr>
          <w:p>
            <w:pPr>
              <w:jc w:val="center"/>
              <w:ind w:right="272"/>
              <w:spacing w:after="0" w:line="225" w:lineRule="exact"/>
              <w:rPr>
                <w:sz w:val="20"/>
                <w:szCs w:val="20"/>
                <w:color w:val="auto"/>
              </w:rPr>
            </w:pPr>
            <w:r>
              <w:rPr>
                <w:rFonts w:ascii="Arial" w:cs="Arial" w:eastAsia="Arial" w:hAnsi="Arial"/>
                <w:sz w:val="16"/>
                <w:szCs w:val="16"/>
                <w:color w:val="auto"/>
                <w:w w:val="92"/>
              </w:rPr>
              <w:t>Per Share</w:t>
            </w:r>
            <w:r>
              <w:rPr>
                <w:rFonts w:ascii="Arial" w:cs="Arial" w:eastAsia="Arial" w:hAnsi="Arial"/>
                <w:sz w:val="26"/>
                <w:szCs w:val="26"/>
                <w:color w:val="auto"/>
                <w:w w:val="92"/>
                <w:vertAlign w:val="superscript"/>
              </w:rPr>
              <w:t>(1)</w:t>
            </w:r>
          </w:p>
        </w:tc>
        <w:tc>
          <w:tcPr>
            <w:tcW w:w="200" w:type="dxa"/>
            <w:vAlign w:val="bottom"/>
          </w:tcPr>
          <w:p>
            <w:pPr>
              <w:spacing w:after="0"/>
              <w:rPr>
                <w:sz w:val="19"/>
                <w:szCs w:val="19"/>
                <w:color w:val="auto"/>
              </w:rPr>
            </w:pPr>
          </w:p>
        </w:tc>
        <w:tc>
          <w:tcPr>
            <w:tcW w:w="1220" w:type="dxa"/>
            <w:vAlign w:val="bottom"/>
            <w:gridSpan w:val="2"/>
          </w:tcPr>
          <w:p>
            <w:pPr>
              <w:jc w:val="center"/>
              <w:ind w:right="400"/>
              <w:spacing w:after="0" w:line="225" w:lineRule="exact"/>
              <w:rPr>
                <w:sz w:val="20"/>
                <w:szCs w:val="20"/>
                <w:color w:val="auto"/>
              </w:rPr>
            </w:pPr>
            <w:r>
              <w:rPr>
                <w:rFonts w:ascii="Arial" w:cs="Arial" w:eastAsia="Arial" w:hAnsi="Arial"/>
                <w:sz w:val="16"/>
                <w:szCs w:val="16"/>
                <w:color w:val="auto"/>
                <w:w w:val="92"/>
              </w:rPr>
              <w:t>Cost</w:t>
            </w:r>
            <w:r>
              <w:rPr>
                <w:rFonts w:ascii="Arial" w:cs="Arial" w:eastAsia="Arial" w:hAnsi="Arial"/>
                <w:sz w:val="26"/>
                <w:szCs w:val="26"/>
                <w:color w:val="auto"/>
                <w:w w:val="92"/>
                <w:vertAlign w:val="superscript"/>
              </w:rPr>
              <w:t>(2)</w:t>
            </w:r>
          </w:p>
        </w:tc>
        <w:tc>
          <w:tcPr>
            <w:tcW w:w="1280" w:type="dxa"/>
            <w:vAlign w:val="bottom"/>
            <w:gridSpan w:val="2"/>
          </w:tcPr>
          <w:p>
            <w:pPr>
              <w:jc w:val="center"/>
              <w:ind w:right="100"/>
              <w:spacing w:after="0" w:line="225" w:lineRule="exact"/>
              <w:rPr>
                <w:sz w:val="20"/>
                <w:szCs w:val="20"/>
                <w:color w:val="auto"/>
              </w:rPr>
            </w:pPr>
            <w:r>
              <w:rPr>
                <w:rFonts w:ascii="Arial" w:cs="Arial" w:eastAsia="Arial" w:hAnsi="Arial"/>
                <w:sz w:val="16"/>
                <w:szCs w:val="16"/>
                <w:color w:val="auto"/>
                <w:w w:val="94"/>
              </w:rPr>
              <w:t>Programs</w:t>
            </w:r>
            <w:r>
              <w:rPr>
                <w:rFonts w:ascii="Arial" w:cs="Arial" w:eastAsia="Arial" w:hAnsi="Arial"/>
                <w:sz w:val="26"/>
                <w:szCs w:val="26"/>
                <w:color w:val="auto"/>
                <w:w w:val="94"/>
                <w:vertAlign w:val="superscript"/>
              </w:rPr>
              <w:t>(3)</w:t>
            </w:r>
          </w:p>
        </w:tc>
        <w:tc>
          <w:tcPr>
            <w:tcW w:w="1400" w:type="dxa"/>
            <w:vAlign w:val="bottom"/>
            <w:gridSpan w:val="3"/>
          </w:tcPr>
          <w:p>
            <w:pPr>
              <w:jc w:val="center"/>
              <w:spacing w:after="0" w:line="225" w:lineRule="exact"/>
              <w:rPr>
                <w:sz w:val="20"/>
                <w:szCs w:val="20"/>
                <w:color w:val="auto"/>
              </w:rPr>
            </w:pPr>
            <w:r>
              <w:rPr>
                <w:rFonts w:ascii="Arial" w:cs="Arial" w:eastAsia="Arial" w:hAnsi="Arial"/>
                <w:sz w:val="16"/>
                <w:szCs w:val="16"/>
                <w:color w:val="auto"/>
                <w:w w:val="94"/>
              </w:rPr>
              <w:t>The Programs</w:t>
            </w:r>
            <w:r>
              <w:rPr>
                <w:rFonts w:ascii="Arial" w:cs="Arial" w:eastAsia="Arial" w:hAnsi="Arial"/>
                <w:sz w:val="26"/>
                <w:szCs w:val="26"/>
                <w:color w:val="auto"/>
                <w:w w:val="94"/>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ind w:left="140"/>
              <w:spacing w:after="0" w:line="205" w:lineRule="exact"/>
              <w:rPr>
                <w:sz w:val="20"/>
                <w:szCs w:val="20"/>
                <w:color w:val="auto"/>
              </w:rPr>
            </w:pPr>
            <w:r>
              <w:rPr>
                <w:rFonts w:ascii="Arial" w:cs="Arial" w:eastAsia="Arial" w:hAnsi="Arial"/>
                <w:sz w:val="18"/>
                <w:szCs w:val="18"/>
                <w:i w:val="1"/>
                <w:iCs w:val="1"/>
                <w:color w:val="auto"/>
                <w:w w:val="97"/>
              </w:rPr>
              <w:t>(In Thousands except price per share)</w:t>
            </w: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Oct 24 - Nov 20, 2021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63,351</w:t>
            </w:r>
          </w:p>
        </w:tc>
        <w:tc>
          <w:tcPr>
            <w:tcW w:w="0" w:type="dxa"/>
            <w:vAlign w:val="bottom"/>
          </w:tcPr>
          <w:p>
            <w:pPr>
              <w:spacing w:after="0"/>
              <w:rPr>
                <w:sz w:val="1"/>
                <w:szCs w:val="1"/>
                <w:color w:val="auto"/>
              </w:rPr>
            </w:pPr>
          </w:p>
        </w:tc>
      </w:tr>
      <w:tr>
        <w:trPr>
          <w:trHeight w:val="213"/>
        </w:trPr>
        <w:tc>
          <w:tcPr>
            <w:tcW w:w="3140" w:type="dxa"/>
            <w:vAlign w:val="bottom"/>
            <w:gridSpan w:val="2"/>
          </w:tcPr>
          <w:p>
            <w:pPr>
              <w:spacing w:after="0"/>
              <w:rPr>
                <w:sz w:val="20"/>
                <w:szCs w:val="20"/>
                <w:color w:val="auto"/>
              </w:rPr>
            </w:pPr>
            <w:r>
              <w:rPr>
                <w:rFonts w:ascii="Arial" w:cs="Arial" w:eastAsia="Arial" w:hAnsi="Arial"/>
                <w:sz w:val="18"/>
                <w:szCs w:val="18"/>
                <w:color w:val="auto"/>
              </w:rPr>
              <w:t>Nov 21 - Dec 25, 2021</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33.75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62,676</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35.44</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60" w:hanging="260"/>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price paid per share of common stock does not include the cost of commissions.</w:t>
      </w:r>
    </w:p>
    <w:p>
      <w:pPr>
        <w:spacing w:after="0" w:line="17" w:lineRule="exact"/>
        <w:rPr>
          <w:rFonts w:ascii="Arial" w:cs="Arial" w:eastAsia="Arial" w:hAnsi="Arial"/>
          <w:sz w:val="18"/>
          <w:szCs w:val="18"/>
          <w:color w:val="auto"/>
        </w:rPr>
      </w:pPr>
    </w:p>
    <w:p>
      <w:pPr>
        <w:ind w:left="360" w:hanging="260"/>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purchase cost includes the cost of commissions.</w:t>
      </w:r>
    </w:p>
    <w:p>
      <w:pPr>
        <w:spacing w:after="0" w:line="6" w:lineRule="exact"/>
        <w:rPr>
          <w:rFonts w:ascii="Arial" w:cs="Arial" w:eastAsia="Arial" w:hAnsi="Arial"/>
          <w:sz w:val="18"/>
          <w:szCs w:val="18"/>
          <w:color w:val="auto"/>
        </w:rPr>
      </w:pPr>
    </w:p>
    <w:p>
      <w:pPr>
        <w:ind w:left="360" w:right="1200" w:hanging="260"/>
        <w:spacing w:after="0" w:line="265"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October 28, 2021, we announced that our Board of Directors authorized a $70 million share repurchase program. This share repurchase program is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i w:val="1"/>
          <w:iCs w:val="1"/>
          <w:color w:val="auto"/>
        </w:rPr>
        <w:t xml:space="preserve">The information contained in this Stock Performance Graph section shall not be deemed to be </w:t>
      </w:r>
      <w:r>
        <w:rPr>
          <w:rFonts w:ascii="Arial" w:cs="Arial" w:eastAsia="Arial" w:hAnsi="Arial"/>
          <w:sz w:val="18"/>
          <w:szCs w:val="18"/>
          <w:color w:val="auto"/>
        </w:rPr>
        <w:t>“</w:t>
      </w:r>
      <w:r>
        <w:rPr>
          <w:rFonts w:ascii="Arial" w:cs="Arial" w:eastAsia="Arial" w:hAnsi="Arial"/>
          <w:sz w:val="18"/>
          <w:szCs w:val="18"/>
          <w:i w:val="1"/>
          <w:iCs w:val="1"/>
          <w:color w:val="auto"/>
        </w:rPr>
        <w:t>soliciting material</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filed</w:t>
      </w:r>
      <w:r>
        <w:rPr>
          <w:rFonts w:ascii="Arial" w:cs="Arial" w:eastAsia="Arial" w:hAnsi="Arial"/>
          <w:sz w:val="18"/>
          <w:szCs w:val="18"/>
          <w:color w:val="auto"/>
        </w:rPr>
        <w:t>”</w:t>
      </w:r>
      <w:r>
        <w:rPr>
          <w:rFonts w:ascii="Arial" w:cs="Arial" w:eastAsia="Arial" w:hAnsi="Arial"/>
          <w:sz w:val="18"/>
          <w:szCs w:val="18"/>
          <w:i w:val="1"/>
          <w:iCs w:val="1"/>
          <w:color w:val="auto"/>
        </w:rPr>
        <w:t xml:space="preserve"> with the SEC or subject to the liabilities of Section 18 of the Exchange Act except to the extent that Cohu specifically incorporates it by reference into a document filed under the Securities Act or the Exchange Act.</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31, 2016, and reinvestment of all dividends). The custom Peer Group Index is comprised of the peer group companies associated with our executive compensation plan. This peer group is revised annually to reflect acquisitions and to include equivalent companies in the semiconductor equipment market to ensure a sufficiently large number of companies in the peer group composition to enable a meaningful comparison of our stock performance. In 2021, the custom Peer Group Index was comprised of Advanced Energy Industries, Inc., Axcelis Technologies, Inc., Azenta, Inc. (formerly Brooks Automation, Inc.), CMC Materials, Inc. (formerly Cabot Microelectronics Corp), Cirrus Logic, Inc., Entegris, Inc., FormFactor, Inc., Kulicke and Soffa Industries, Inc., Novanta, Inc., OSI Systems, Inc., Onto Innovation, Inc., Photronics, Inc., Synaptics, Inc., Ultra Clean Holdings, Inc., and Veeco Instruments, Inc. In selecting our 2021 peer group the Compensation Committee of our Board of Directors considered competitive market data and an analysis prepared by Compensia and identified companies headquartered in the U.S. in the semiconductor capital equipment and electronic capital equipment and instrumentation sectors that were comparable to us on the basis of revenue, our market capitalization, and that had similar scope of operations.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146685</wp:posOffset>
            </wp:positionV>
            <wp:extent cx="5038090" cy="393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38090" cy="393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0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900" w:type="dxa"/>
            <w:vAlign w:val="bottom"/>
            <w:gridSpan w:val="2"/>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rPr>
              <w:t>NASDAQ Index</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90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Russell 2000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900" w:type="dxa"/>
            <w:vAlign w:val="bottom"/>
            <w:gridSpan w:val="2"/>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Peer Group</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90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have adopted the amendments to Items 301 and 302 of Regulation S-K contained in SEC Release No. 33-10890. As a result, the disclosure previously provided in Part II, Item 6 is no longer required. There were no retrospective changes to the Consolidated Statements of Operations for any quarters in the two most recent fiscal years that would require disclosure under Item 302, as amended.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Cohu is a leading supplier of semiconductor test and inspection handlers, micro-electromechanical system (MEMS) test modules, test contactors and thermal subsystems, and semiconductor automated test equipment used by global semiconductor and electronics manufacturers and test subcontractors. We offer a wide range of products and services and our revenue from capital equipment products is driven by the capital expenditure budgets and spending patterns of our customers, who often abruptly delay or accelerate purchases in reaction to variations in their business. The level of capital expenditures by these companies depends on the current and anticipated market demand for semiconductor devices and the products that incorporate them. Our consumable products are driven by the number of semiconductor devices that are tested and by the continuous introduction of new products and new technologies by our customers. As a result, our consumable products provide a more stable recurring source of revenue and generally do not have the same degree of cyclicality as our capital equipment products.</w:t>
      </w:r>
    </w:p>
    <w:p>
      <w:pPr>
        <w:spacing w:after="0" w:line="18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 the year ended December 25, 2021, our net sales increased 39.5% year-over-year to $887.2 million. In 2020, the global semiconductor market was affected by U.S. and China trade tensions which impacted many of our customers’ ability to supply product to certain end users resulting in customer test cell utilization below levels that have historically triggered the need for additional capacity. Net sales during the first half of 2020 were also negatively impacted by the rapid and global spread of COVID-19 which led to supply disruptions impacting our ability to ship product. During the second half of 2020, we began seeing strong demand for our products and that strength has continued through 2021. During 2021 our net sales were favorably impacted by robust automotive demand, driven by xEV and ADAS technologies, strength in industrial markets, and continued mobility expansion with 5G proliferation. Demand for equipment testing 5G, Wi-Fi 6 and Ultra-Wideband devices, data centers, personal computers and automotive semiconductor and sensors were at near record levels. Based on improved business conditions, during 2021 we took actions to reduce outstanding principal under our Term Loan Credit Facility associated with the financing of the Xcerra acquisition in October 2018. During the first quarter of 2021, using a portion of the proceeds from our underwritten follow-on public offering, we prepaid $100 million of the term loan and on June 30, 2021, utilizing a portion of the gross proceeds from the sale of the PCB Test business, we made an additional $100 million prepayment of the term loan.</w:t>
      </w:r>
    </w:p>
    <w:p>
      <w:pPr>
        <w:spacing w:after="0" w:line="16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long-term market drivers and market strategy remain intact and we are encouraged by demand across our main market segments, and customer traction with our new products. We remain optimistic about the long-term prospects for our business due to the increasing ubiquity of semiconductors, the future rollout of 5G networks, increasing semiconductor complexity, increasing quality demands from semiconductor customers, increasing test intensity and continued proliferation of electronics in a variety of products across the automotive, mobility, industrial and consumer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7" w:lineRule="exact"/>
        <w:rPr>
          <w:sz w:val="20"/>
          <w:szCs w:val="20"/>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32" w:lineRule="exact"/>
        <w:rPr>
          <w:rFonts w:ascii="Arial" w:cs="Arial" w:eastAsia="Arial" w:hAnsi="Arial"/>
          <w:sz w:val="18"/>
          <w:szCs w:val="18"/>
          <w:color w:val="auto"/>
        </w:rPr>
      </w:pPr>
    </w:p>
    <w:p>
      <w:pPr>
        <w:ind w:left="480" w:hanging="314"/>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estimation of valuation allowances and accrued liabilities, specifically inventory reserves, which impact gross margin or operating expenses;</w:t>
      </w:r>
    </w:p>
    <w:p>
      <w:pPr>
        <w:spacing w:after="0" w:line="44" w:lineRule="exact"/>
        <w:rPr>
          <w:rFonts w:ascii="Arial" w:cs="Arial" w:eastAsia="Arial" w:hAnsi="Arial"/>
          <w:sz w:val="17"/>
          <w:szCs w:val="17"/>
          <w:color w:val="auto"/>
        </w:rPr>
      </w:pPr>
    </w:p>
    <w:p>
      <w:pPr>
        <w:ind w:left="480" w:right="520" w:hanging="314"/>
        <w:spacing w:after="0" w:line="285"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w:t>
      </w:r>
    </w:p>
    <w:p>
      <w:pPr>
        <w:ind w:left="480" w:right="60" w:hanging="314"/>
        <w:spacing w:after="0" w:line="246"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assessment of recoverability of long-lived and indefinite-lived assets including goodwill and other intangible assets, which primarily impacts gross margin or operating expenses if we are required to record impairments of assets or accelerate their depreciation; and</w:t>
      </w:r>
    </w:p>
    <w:p>
      <w:pPr>
        <w:spacing w:after="0" w:line="1" w:lineRule="exact"/>
        <w:rPr>
          <w:rFonts w:ascii="Arial" w:cs="Arial" w:eastAsia="Arial" w:hAnsi="Arial"/>
          <w:sz w:val="18"/>
          <w:szCs w:val="18"/>
          <w:color w:val="auto"/>
        </w:rPr>
      </w:pPr>
    </w:p>
    <w:p>
      <w:pPr>
        <w:ind w:left="480" w:right="160" w:hanging="314"/>
        <w:spacing w:after="0" w:line="253"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40"/>
        <w:spacing w:after="0" w:line="296"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net sales are derived from the sale of products and services and are adjusted for estimated returns and allowances,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25, 2021, and December 26, 2020, we had $7.7 million and $8.3 million of revenue expected to be recognized in the future related to performance obligations that are unsatisfied (or partially unsatisfied) with expected durations of over one year, respectively. As allowed under ASC 606, we have opted to not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6"/>
          <w:szCs w:val="16"/>
          <w:i w:val="1"/>
          <w:iCs w:val="1"/>
          <w:color w:val="auto"/>
        </w:rPr>
        <w:t>Guarantees (</w:t>
      </w:r>
      <w:r>
        <w:rPr>
          <w:rFonts w:ascii="Arial" w:cs="Arial" w:eastAsia="Arial" w:hAnsi="Arial"/>
          <w:sz w:val="16"/>
          <w:szCs w:val="16"/>
          <w:color w:val="auto"/>
        </w:rPr>
        <w:t>“</w:t>
      </w:r>
      <w:r>
        <w:rPr>
          <w:rFonts w:ascii="Arial" w:cs="Arial" w:eastAsia="Arial" w:hAnsi="Arial"/>
          <w:sz w:val="16"/>
          <w:szCs w:val="16"/>
          <w:i w:val="1"/>
          <w:iCs w:val="1"/>
          <w:color w:val="auto"/>
        </w:rPr>
        <w:t>ASC 460</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We maintain an allowance for credit losses for estimated losses resulting from the inability of our customers to make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including the impact of the COVID-19 pandemic, which may result in changes to our estimates.</w:t>
      </w:r>
    </w:p>
    <w:p>
      <w:pPr>
        <w:spacing w:after="0" w:line="16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2"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25, 2021, was approximately $103.3 million, with a valuation allowance of approximately $76.3 million.</w:t>
      </w:r>
    </w:p>
    <w:p>
      <w:pPr>
        <w:spacing w:after="0" w:line="18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The CARES Act, enacted on March 27, 2020, was incorporated in 2020. See Note 9, “Income Taxes”, included in Part IV, Item 15(a) of this Form 10-K, which is incorporated herein by reference.</w:t>
      </w:r>
    </w:p>
    <w:p>
      <w:pPr>
        <w:spacing w:after="0" w:line="18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 xml:space="preserve">Segment Information: </w:t>
      </w:r>
      <w:r>
        <w:rPr>
          <w:rFonts w:ascii="Arial" w:cs="Arial" w:eastAsia="Arial" w:hAnsi="Arial"/>
          <w:sz w:val="17"/>
          <w:szCs w:val="17"/>
          <w:color w:val="auto"/>
        </w:rPr>
        <w:t>We applied the provisions of ASC Topic 280,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 Prior to the sale of our PCB Test Group (PTG) on June 24, 2021, we reported in two segments, Semiconductor Test &amp; Inspection and PCB Test Equipment (“PCB Test”).</w:t>
      </w:r>
    </w:p>
    <w:p>
      <w:pPr>
        <w:spacing w:after="0" w:line="18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 xml:space="preserve">Goodwill and Indefinite-Lived Intangibles, Other Intangible Assets and Long-lived Assets: </w:t>
      </w:r>
      <w:r>
        <w:rPr>
          <w:rFonts w:ascii="Arial" w:cs="Arial" w:eastAsia="Arial" w:hAnsi="Arial"/>
          <w:sz w:val="17"/>
          <w:szCs w:val="17"/>
          <w:color w:val="auto"/>
        </w:rPr>
        <w:t>We evaluate goodwill and other indefinite-lived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which are 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asset, in the case of in-process research and development. If the fair value is determined to be less than the book value, a second step is performed to compute the amount of impairment as the difference between the fair value of the reporting unit and it’s carrying value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 our annual impairment test as of October 1st of each year, and have determined there was no impairment as of October 1, 2021, as we determined that the estimated fair values of our reporting units exceeded their carrying values on that date. Other events and changes in circumstances may also require goodwill to be tested for impairment between annual measurement dates. As of December 25, 2021,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the first quarter of 2020, the volatility in Cohu’s stock price, the global economic downturn and business interruptions associated with the COVID-19 pandemic led us to determine that there was a triggering event related to goodwill within all of our identified reporting units and our indefinite-lived intangible assets. We performed an interim assessment as of March 28, 2020 and determined that the fair values of our identified reporting units all exceeded their carrying values and we concluded there was no impairment of goodwill within our reporting units. Anticipated delays in customer adoption of certain new products under development as a result of the COVID-19 pandemic, changes to future project roadmaps and an increase in the discount rate used in the developing our interim fair value estimate resulted in a $3.9 million impairment to IPR&amp;D recorded during the first quarter as the carrying value exceeded fair value. During the third quarter of 2020, we became aware of additional delays in customer adoption of the same new products under development leading us to re-evaluate the fair value of these projects and we determined that the carrying value exceeded the fair value and, as a result, we recorded a $7.3 million impairment to IPR&amp;D. For the twelve months ended December 26, 2020 total impairments recorded to IPR&amp;D projects was $11.2 million. During the fourth quarter of 2021 we completed and transferred to developed technology our last remaining in-process technology project which was reviewed for impairment as part of this process. Due to a change in forecasted results an impairment charge of $0.1 million was recorded.</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97"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5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estimate of share-based compensation expense requires a number of complex and subjective assumptions and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9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24, 2021, we completed the sale of our PCB Test business. Due to the timing of the divestment of this business our results for 2021 include our PCB Test business for the six months ended June 24, 2021, whereas the periods ended December 26, 2020 and December 28, 2019 include this business for the full twelve months. Previously, management determined that the fixtures services business, that was acquired as part of Xcerra, did not align with Cohu’s long-term strategic plan and management divested this business in February 2020. The assets of our fixtures business were considered “held for sale” as of December 26, 2020 and the operating results of our fixtures business are presented as “discontinued operations” for the periods ended December 25, 2021, December 26, 2020 and December 28, 2019. Unless otherwise indicated, the discussion below covers the comparative results from continuing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gridSpan w:val="3"/>
          </w:tcPr>
          <w:p>
            <w:pPr>
              <w:jc w:val="right"/>
              <w:ind w:right="91"/>
              <w:spacing w:after="0"/>
              <w:rPr>
                <w:sz w:val="20"/>
                <w:szCs w:val="20"/>
                <w:color w:val="auto"/>
              </w:rPr>
            </w:pPr>
            <w:r>
              <w:rPr>
                <w:rFonts w:ascii="Arial" w:cs="Arial" w:eastAsia="Arial" w:hAnsi="Arial"/>
                <w:sz w:val="18"/>
                <w:szCs w:val="18"/>
                <w:color w:val="auto"/>
                <w:w w:val="88"/>
              </w:rPr>
              <w:t>The following table summarizes certain operating data as a percentage of net sales: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100" w:type="dxa"/>
            <w:vAlign w:val="bottom"/>
            <w:gridSpan w:val="2"/>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4"/>
                <w:szCs w:val="24"/>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(57.3)</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Amortization of purchased intangible assets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PCB Test business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Gain on sale of facilities</w:t>
            </w:r>
          </w:p>
        </w:tc>
        <w:tc>
          <w:tcPr>
            <w:tcW w:w="9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60"/>
        <w:spacing w:after="0" w:line="330" w:lineRule="auto"/>
        <w:rPr>
          <w:sz w:val="20"/>
          <w:szCs w:val="20"/>
          <w:color w:val="auto"/>
        </w:rPr>
      </w:pPr>
      <w:r>
        <w:rPr>
          <w:rFonts w:ascii="Arial" w:cs="Arial" w:eastAsia="Arial" w:hAnsi="Arial"/>
          <w:sz w:val="16"/>
          <w:szCs w:val="16"/>
          <w:color w:val="auto"/>
        </w:rPr>
        <w:t>Please refer to “Management’s Discussion and Analysis of Financial Condition and Results of Operations” in Part II, Item 7 in our 2020 Annual Report on Form 10-K, filed with the SEC on February 26, 2021, for comparative discussion of our fiscal years ended December 26, 2020 and December 28,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1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Cohu’s consolidated net sales increased 39.5% from $636.0 million in 2020 to $887.2 million in 2021. In 2020, the global semiconductor market was impacted by U.S. and China trade tensions which impacted our customers’ ability to supply product to certain end users. During the first half of 2020 our net sales were also negatively impacted by the rapid and global spread of COVID-19 which led to supply disruptions impacting our ability to ship product. While our total sales for fiscal year 2020 were negatively impacted by the global economic downturn caused by the COVID-19 pandemic, we began seeing strong demand for our products in the second half of 2020 and that strength has continued through 2021. During 2021 our net sales were favorably impacted by robust automotive demand, driven by xEV and ADAS technologies, strength in industrial markets, and continued mobility expansion with 5G proliferation. Demand for equipment testing 5G, Wi-Fi 6 and Ultra-Wideband devices, data centers, personal computers and automotive semiconductor and sensors were at near record levels.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(exclusive of amortization of acquisition-related intangible assets described below)</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Gross margin consists of net sales less cost of sales (excluding the impact of amortization of developed technology and backlog). Cost of sales consists primarily of the materials, assembly and test labor and overhead from operations. Our gross margin can fluctuate due to a number of factors, including, but not limited to, the mix of products sold, product support costs, increases to inventory reserves, the sale of previously reserved inventory and business volume which impacts the utilization of our manufacturing capacity. Our gross margin, as a percentage of net sales, increased to 43.6% in 2021 from 42.7% in 2020. Increased business volume in 2021 allowed us to better leverage our fixed costs helping to improve our gross margin over 2020. Other items impacting our gross margin in 2021 and 2020 are discussed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We compute the majority of our excess and obsolete inventory reserve requirements using inventory usage forecasts. During 2021, we recorded net charges to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cost of sales of approximately $7.1 million, for excess and obsolete inventory. In 2020, net charges to cost of sales for excess and obsolete inventory were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$6.0 million and we recorded $3.7 million of inventory related charges related to the decision to end manufacturing of certain of Xcerra’s semiconductor test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handler products. End manufacturing inventory charges related to semiconductor test handler products in 2021 were not significant.</w:t>
      </w:r>
    </w:p>
    <w:p>
      <w:pPr>
        <w:spacing w:after="0" w:line="208"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believe our reserves for excess and obsolete inventory and lower of cost or net realizable value are adequate to cover known exposures at December 25, 2021. Reductions in customer forecasts, continued modifications to products, our failure to meet specifications or other customer requirements may result in additional charges to operations that could negatively impact our gross margin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w:t>
      </w:r>
      <w:r>
        <w:rPr>
          <w:rFonts w:ascii="Arial" w:cs="Arial" w:eastAsia="Arial" w:hAnsi="Arial"/>
          <w:sz w:val="18"/>
          <w:szCs w:val="18"/>
          <w:color w:val="auto"/>
        </w:rPr>
        <w:t>“</w:t>
      </w:r>
      <w:r>
        <w:rPr>
          <w:rFonts w:ascii="Arial" w:cs="Arial" w:eastAsia="Arial" w:hAnsi="Arial"/>
          <w:sz w:val="18"/>
          <w:szCs w:val="18"/>
          <w:b w:val="1"/>
          <w:bCs w:val="1"/>
          <w:i w:val="1"/>
          <w:iCs w:val="1"/>
          <w:color w:val="auto"/>
        </w:rPr>
        <w:t>R&amp;D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2021 was $92.0 million, or 10.4% of net sales, compared to $86.2 million, or 13.5% of net sales in 2020. Increased R&amp;D spending in 2021 was driven by higher labor and material costs associated with product development and the discontinuation of cost control measures implemented in the prior year. During 2020, decreased travel and the implementation of temporary salary reductions and other cost control measures allowed us to control our costs in response to the economic uncertainty caused by the COVID-19 pandemic.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w:t>
      </w:r>
      <w:r>
        <w:rPr>
          <w:rFonts w:ascii="Arial" w:cs="Arial" w:eastAsia="Arial" w:hAnsi="Arial"/>
          <w:sz w:val="18"/>
          <w:szCs w:val="18"/>
          <w:color w:val="auto"/>
        </w:rPr>
        <w:t>“</w:t>
      </w:r>
      <w:r>
        <w:rPr>
          <w:rFonts w:ascii="Arial" w:cs="Arial" w:eastAsia="Arial" w:hAnsi="Arial"/>
          <w:sz w:val="18"/>
          <w:szCs w:val="18"/>
          <w:b w:val="1"/>
          <w:bCs w:val="1"/>
          <w:i w:val="1"/>
          <w:iCs w:val="1"/>
          <w:color w:val="auto"/>
        </w:rPr>
        <w:t>SG&amp;A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19" w:lineRule="exact"/>
        <w:rPr>
          <w:sz w:val="20"/>
          <w:szCs w:val="20"/>
          <w:color w:val="auto"/>
        </w:rPr>
      </w:pPr>
    </w:p>
    <w:p>
      <w:pPr>
        <w:ind w:right="180"/>
        <w:spacing w:after="0" w:line="325" w:lineRule="auto"/>
        <w:rPr>
          <w:sz w:val="20"/>
          <w:szCs w:val="20"/>
          <w:color w:val="auto"/>
        </w:rPr>
      </w:pPr>
      <w:r>
        <w:rPr>
          <w:rFonts w:ascii="Arial" w:cs="Arial" w:eastAsia="Arial" w:hAnsi="Arial"/>
          <w:sz w:val="14"/>
          <w:szCs w:val="14"/>
          <w:color w:val="auto"/>
        </w:rPr>
        <w:t>SG&amp;A expense consists primarily of salaries and benefit costs of employees, commission expense for independent sales representatives, product promotion and costs of professional services. SG&amp;A expense as a percentage of net sales decreased to 14.3% in 2021, from 20.3% in 2020, decreasing from</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$129.2 million in 2020 to $127.0 million in 2021. SG&amp;A expense in 2021 was lower as a result of sale of our PCB Test business on June 24, 2021. Our results for 2021 only include the results of our PCB Test business through that date which resulted in approximately $3.1 million in less expense in 2021. This reduction was offset, in part, by the discontinuation of cost control measures implemented in the prior year. During 2020, decreased travel and the implementation of temporary salary reductions and other cost control measures allowed us to control our costs in response to the economic uncertainty caused by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1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$35.4 million and $38.7 million for 2021 and 2020, respectively. The decrease in expense recorded during 2021 was a result of fluctuations in exchange rates and the sale of PCB Test business on June 24, 2021 as remaining purchased intangible assets that were being amortized were written-off as part of the sale.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PCB Test Business</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24, 2021, we completed the divestment of our PCB Test business which resulted in a gain of $70.8 million in 2021. As part of the transaction we also sold certain intellectual property held by our Semiconductor Test &amp; Inspection segment that is utilized by the PCB Test business. Our decision to sell this non-core business resulted from management’s determination that that they were no longer a fit within our 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19"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Subsequent to the merger with Xcerra in the fourth quarter 2018, we began a strategic restructuring program designed to reposition our organization and improve our cost structure as part of our targeted integration plan regarding Xcerra. In connection with the integration plan, we recorded restructuring charges, exclusive of the inventory related charges described above, totaling $1.8 million and $7.6 million in 2021 and 2020,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 4, “Restructuring Charges” in Part IV, Item 15(a) of this Form 10-K for additional information with respect to restructuring charges.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During 2020, the volatility in Cohu’s stock price and the global economic downturn and business interruptions associated with the COVID-19 pandemic led us to determine that there were triggering events related to our indefinite-lived intangible assets. We performed interim impairment assessments during both the first and third quarters of 2020 and anticipated delays in customer adoption of certain new products under development as a result of the COVID-19 pandemic, changes to future project roadmap and an increase in the discount rate used in developing our interim fair value estimate led us to conclude that the carrying value of these assets exceeded their fair value. For the twelve months ended December 26, 2020, total impairments recorded to IPR&amp;D projects was $11.2 million. During the fourth quarter of 2021 we completed and transferred to developed technology our last remaining in-process technology project which we tested for impairment as part of this process. A change in forecasted results of this project led to an impairment charge of $0.1 million being recorded in the fourth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facilities</w:t>
      </w:r>
    </w:p>
    <w:p>
      <w:pPr>
        <w:spacing w:after="0" w:line="21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As part of our previously announced Xcerra integration plan we implemented certain facility consolidation actions. During 2020 we completed the sales of our facilities located in Rosenheim, Germany and Penang, Malaysia resulting in a gain of $4.5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Interest expense was $6.4 million in 2021 compared to $13.8 million in 2020. The year-over-year decrease in our interest expense resulted from a significant decrease in the outstanding balance of our Term Loan Credit Facility and lower LIBOR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$0.2 million in both 2021 and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Transaction Gain (Loss) and Other</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have operations in foreign countries and conduct business in the local currency in these countries. Starting in the fourth quarter of 2020, we began entering into foreign currency forward contracts to hedge against future movements in foreign exchange rates that affect certain U.S. Dollar denominated assets and liabilities at our subsidiaries whose functional currency is the local currency. During 2021, the U.S. Dollar strengthened against the Swiss Franc, Euro and Japanese Yen resulting in foreign currency gains of $0.4 million, net of $3.4 million of losses generated by our foreign currency forward contracts. In 2020, the U.S. Dollar weakened significantly against the Swiss Franc and Euro, resulting in the recognition of $3.2 million in foreign currency losses, net of $0.8 million of gains generated by our foreign currency forward contracts.</w:t>
      </w:r>
    </w:p>
    <w:p>
      <w:pPr>
        <w:spacing w:after="0" w:line="181"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See Note 7 “Derivative Financial Instruments” in Part IV, Item 15(a) of this Form 10-K for additional information with respect to our foreign currency forward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income tax provision expressed as a percentage of pre-tax income or loss in 2021 and 2020 was 13.0% and (5.1)%, respectively. The income tax provision for the years ended December 25, 2021, and December 26, 2020 differs from the U.S. federal statutory rate primarily due to realization of federal tax credits, tax exempt gains, stock-based compensation windfall, changes in the valuation allowance on our deferred tax assets, foreign income taxed at different rates, offset by GILTI, deemed dividend and other factors.</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2021.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our cumulative, three-year U.S. GAAP pretax loss and excluding the one-time gain on the sale of PTG from our U.S. continuing operations at the end of 2021, we were unable to conclude that it was “more likely than not” that our U.S. DTAs would be realized. We will evaluate the realizability of our DTAs at the end of each quarterly reporting period in 2022 and should circumstances change it is possible an additional valuation allowance will be recorded or the remaining valuation allowance, or a portion thereof, will be reversed in a future period.</w:t>
      </w:r>
    </w:p>
    <w:p>
      <w:pPr>
        <w:spacing w:after="0" w:line="19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Our valuation allowance on our DTAs at December 25, 2021, and December 26, 2020, was approximately $76.3 million and $86.1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5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80"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9, “Income Taxes”, included in Part IV, Item 15(a) of this Form 10-K,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 and Net Income (Loss)</w:t>
      </w:r>
    </w:p>
    <w:p>
      <w:pPr>
        <w:spacing w:after="0" w:line="21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a result of the factors set forth above, our income from continuing operations and net income was $167.3 million in 2021. Both our loss from continuing operations and net loss, which includes the results of our discontinued operations and a small gain recognized on the disposal of the segment, was $13.8 million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9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December 25, 2021, $189.4 million or 49.9% of our cash, cash equivalents and short-term investments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25, 2021, our total indebtedness, net of discount and deferred financing costs, was $117.8 million, which included $101.6 million outstanding under the Term Loan Credit Facility, $3.1 million outstanding under Kita’s term loans, $10.0 million outstanding under Cohu GmbH’s construction loans, and $3.1 million outstanding under Kita’s lines of credit.</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March 2021, we closed an underwritten follow-on public offering totaling 5,692,500 shares of our common stock at $41.00 per share, raising net proceeds of approximately $223.1 million, after deducting underwriting discounts and commissions and offering expenses. We used $100.0 million of the net proceeds of this offering to repay outstanding principal on our Term Loan Credit Facility and we intend to use the rest for general corporate purposes, including to fund future growth initiatives. On June 30, 2021, we prepaid an additional $100.0 million of our Term Loan Credit Facility utilizing a portion of the net proceeds from the sale of our PCB Test business. In the fourth quarter of 2021, we repurchased 206,572 shares of our outstanding common stock for $7.3 million to be held as treasury stock.</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28, 2019 has been omitted from this Annual Report on Form 10-K, but may be found in “Item 7. Management’s Discussion and Analysis of Financial Condition and Results of Operations,” under the heading “Liquidity and Capital Resources” in our Annual Report on Form 10-K for the year ended December 26, 2020, filed with the SEC on February 26, 2021, which discussion is incorporated herein by reference and which is available free of charge on the SEC’s website at www.sec.gov.</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25, 2021 and December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1180" w:type="dxa"/>
            <w:vAlign w:val="bottom"/>
          </w:tcPr>
          <w:p>
            <w:pPr>
              <w:jc w:val="right"/>
              <w:ind w:right="391"/>
              <w:spacing w:after="0"/>
              <w:rPr>
                <w:sz w:val="20"/>
                <w:szCs w:val="20"/>
                <w:color w:val="auto"/>
              </w:rPr>
            </w:pPr>
            <w:r>
              <w:rPr>
                <w:rFonts w:ascii="Arial" w:cs="Arial" w:eastAsia="Arial" w:hAnsi="Arial"/>
                <w:sz w:val="18"/>
                <w:szCs w:val="18"/>
                <w:color w:val="auto"/>
                <w:w w:val="98"/>
              </w:rPr>
              <w:t>Increase</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379,905</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170,027</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209,878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Working capital</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558,334</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310,593</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247,741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provided by operating activities consists of our net income adjusted for non-cash expenses and changes in operating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These adjustments include impairment charges, depreciation expense on property, plant and equipment, share-based compensation expense, amortization of intangible assets, deferred income taxes, amortization of cloud-based software implementation costs, loss on extinguishment of debt, interest capitalized associated with cloud computing implementation, amortization of debt discounts and issuance costs and gains from the sale of our PCB Test business and property, plant and equipment. Our net cash flows provided by operating activities in 2021 totaled $97.7 million compared to $49.7 million in 2020. Cash provided by operating activities in the current year was a result of an increase in current year net sales and net income as compared to a net loss in the prior year. Cash provided by operating activities was also impacted by changes in current assets and liabilities which included increases in accounts receivable, inventory and accounts payable. Net sales in the fourth quarter of 2021 and the timing of the resulting cash conversion cycle drove the</w:t>
      </w:r>
    </w:p>
    <w:p>
      <w:pPr>
        <w:spacing w:after="0" w:line="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$59.1 million increase in accounts receivable. The $35.9 million increase in inventory was driven by purchases from suppliers made in the fourth quarter to fulfill anticipated future shipments of products and increased business activities, and the timing of payments to our suppliers resulted in the $17.3 million increase in accounts payable. Deferred profit increased $4.7 million as a result of deferrals made in accordance with our revenue recognition policy. Cash provided by operating activities was also impacted by increases in income taxes payable of $3.4 million a result of higher income tax to be paid in certain jurisdictions as a result of the increase in current year profitability, and advance payments from customers decreased $4.1 million as a result of product shipments during the current year.</w:t>
      </w:r>
    </w:p>
    <w:p>
      <w:pPr>
        <w:spacing w:after="0" w:line="19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 purchases of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acquisitions and proceeds from investment maturities, asset disposals and business divestitures. Our net cash provided by investing activities in 2021 totaled $39.9 million. Net cash proceeds from the sale of our PCB Test business on June 24, 2021, were $120.9 million. The decision to sell our PCB Test business resulted from Cohu management’s determination that this industry segment was not a fit within our organization and we could utilize the proceeds from the sale business to reduce outstanding debt and invest in growth opportunities in-line with our core business strategy. During 2020 we generated cash totaling $17.0 million from the sale of land, buildings, and fixed assets as part of facility consolidation program and $3.0 million from the sale of our fixtures services business. In 2021 we used $204.7 million in cash for purchases of short-term investments and generated $135.5 million from sales and maturities. We invest our excess cash, in an attempt to seek the highest available return while preserving capital, in short-term investments since excess cash may be required for a business-related purpose. Additions to property, plant and equipment in 2021 were $12.0 million and were made to support the operating and development activities of our Semiconductor Test &amp; Inspection segment. In 2020 we used $18.7 million for additions to property, plant and equipment and $19.7 million for purchases of short-term investments.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Financing cash flows consist primarily of net proceeds from the issuance of common stock from an underwritten public offering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stock option and employee stock purchase plans and repayments of debt, net of new borrowings. In fiscal 2021, our cash provided by financing activities totaled $6.7 million. In March 2021, we closed an underwritten public offering totaling 5,692,500 shares of our common stock at $41.00 per share, raising net proceeds of approximately $223.1 million, after deducting underwriting discounts and commissions and offering expenses. We used</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$100.0 million of the net proceeds of this offering to repay outstanding principal on our Term Loan Credit Facility and we intend to use the rest for general corporate purposes, including to fund future growth initiatives. Utilizing a portion of the gross proceeds from the sale of the PCB Test business, we made an additional $100.0 million prepayment of the Term Loan Credit Facility. Repayments of short-term borrowings and long-term debt during 2021 totaled $206.1 million and included a $200.0 million prepayment of our Term Loan Credit Facility using proceeds from our underwritten public offering and the sale of our PCB Test business to deleverage our balance sheet as discussed above. We received proceeds under a revolving line of credit and construction loan totaling $1.4 million in 2021 and $5.9 million in 2020. Proceeds from the construction loan are being used to expand our facility in Kolbermoor, Germany, enabling us to consolidate the German operations of our Semiconductor Test &amp; Inspection segment. Proceeds from the revolving line of credit are being used to increase the manufacturing capacity of our Semiconductor Test &amp; Inspection segment facility located in Osaka, Japan. The amount and timing of funds received under these facilities is based on the current needs of these expansion plans. We made payments totaling $7.3 million in the fourth quarter of 2021 for shares of our common stock repurchased under our share repurchase program to be held as treasury stock. We issue restricted stock units, stock options and maintain an employee stock purchase plan as components of our overall employee compensation. In 2021, cash used to settle the minimum statutory tax withholding requirements on behalf of our employees upon vesting of restricted and performance stock awards, net of proceeds from shares issued under our employee stock purchase plan and from the exercise of employee stock options was $4.4 million. Net proceeds from the issuance of our common stock under our equity incentive and employee stock purchase plans, totaled $2.1 million during 2020. The increase in cash used to settle tax withholding requirements between 2021 and 2020 is directly correlated to the increase in Cohu’s stock price at the end of March year over year when the majority of awards vest.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October 28, 2021, we announced that our Board of Directors authorized a $70 million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year ended December 25, 2021, we repurchased 206,572 shares of our common stock for $7.3 million to be held as treasury stock. As of December 25, 2021, we may purchase up to $62.7 million of shares of our common stock under our share repurchase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have access to credit facilitates and other borrowings provided by financial institutions to finance acquisitions, capital expenditures and our operations if needed. A summary of our borrowings and available credit is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must be repaid on or before October 1, 2025. The loans under the Term Loan Credit Facility bear interest, at Cohu’s option, at a floating annual rate equal to LIBOR plus a margin of 3.00%. At December 25, 2021, the outstanding loan balance, net of discount and deferred financing costs, was $101.6 million and $10.1 million of the outstanding balance is presented as current installments of long-term debt in our consolidated balance sheets. At December 26, 2020, the outstanding loan balance, net of discount and deferred financing costs, was $301.1 million and $2.4 million of the outstanding balance is presented as current installments of long-term debt in our consolidated balance sheets. As of December 25, 2021, the fair value of the debt was $102.7 million. The measurement of the fair value of debt is based on the average of the bid and ask trading quotes as of December 25, 2021 and is considered a Level 2 fair value measurement.</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25, 2021, we believe no such events of default have occurred.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During 2021, we prepaid $200.0 million in principal of our Term Loan Credit Facility for $200.0 million in cash. We accounted for the prepayment as a debt extinguishment, which resulted in a loss of $3.4 million reflected in other expense, net, in our consolidated statement of operations and a corresponding $3.4 million reduction in debt discounts and deferred financing costs in our consolidated balance sheets. During 2020, we repurchased $36.4 million in principal of our Term Loan Credit Facility for $35.4 million in cash. We accounted for the repurchase as a debt extinguishment, which resulted in a gain of $0.3 million reflected in other expense, net, in our consolidated statement of operations, as well as a $0.7 million reduction in debt discounts and deferred financing costs in our consolidated balance sheets. Approximately $103.1 million in principal of the Term Loan Credit Facility remains outstanding as of December 25,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0.43%, and expire at various dates through 2034. At December 25, 2021, the outstanding loan balance was $3.1 million and $0.2 million of the outstanding balance is presented as current installments of long-term debt in our consolidated balance sheets. At December 26, 2020, the outstanding loan balance was $3.6 million and $0.3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July 2019 and June 2020, one of our wholly owned subsidiaries located in Germany entered into a series of construction loans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9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€1.5 million, of which €0.9 million is drawn, is payable over 10 years at an annual interest rate of 1.2%. Principal and interest payments are due each month over the duration of the facility ending in May 2030.</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At December 25, 2021, total outstanding borrowings under the Loan Facilities was $10.0 million with $1.0 million of the total outstanding balance being presented as current installments of long-term debt in our consolidated balance sheets. At December 26, 2020, total outstanding borrowings under the Loan Facilities was $9.9 million with $0.4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25,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350 million Japanese Yen is drawn. At December 25, 2021, total borrowings outstanding under the revolving lines of credit were $3.1 million. As these credit facility agreements renew monthly, they have been included in short-term borrowings in our consolidated balance sheets.</w:t>
      </w:r>
    </w:p>
    <w:p>
      <w:pPr>
        <w:spacing w:after="0" w:line="192"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80"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Our wholly owned subsidiary in Switzerland has one available line of credit which provides it with borrowings of up to a total of 2.0 million Swiss Francs, a portion of which is reserved for tax guarantees. At December 25, 2021 and December 26, 2020, no amounts were outstanding under this line of credit.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348" w:lineRule="auto"/>
        <w:rPr>
          <w:sz w:val="20"/>
          <w:szCs w:val="20"/>
          <w:color w:val="auto"/>
        </w:rPr>
      </w:pPr>
      <w:r>
        <w:rPr>
          <w:rFonts w:ascii="Arial" w:cs="Arial" w:eastAsia="Arial" w:hAnsi="Arial"/>
          <w:sz w:val="14"/>
          <w:szCs w:val="14"/>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25, 2021, $0.3 million was outstanding under standby letters of credit and bank guarantees.</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following table summarizes our significant contractual obligations at December 25, 2021, and the effect such obligations are expected to have on our liquidity and cash flows in future periods. Amounts excluded include our liability for unrecognized tax benefits that totaled approximately $33.4 million at December 25, 2021. We are currently unable to provide a reasonably reliable estimate of the amount or period(s) the cash settlement of this liability may occur.</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color w:val="auto"/>
              </w:rPr>
              <w:t>Fiscal year-end</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31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9"/>
              </w:rPr>
              <w:t>2023-2024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w w:val="97"/>
              </w:rPr>
              <w:t>2025-2026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w w:val="93"/>
              </w:rPr>
              <w:t>Thereafter</w:t>
            </w:r>
          </w:p>
        </w:tc>
        <w:tc>
          <w:tcPr>
            <w:tcW w:w="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120" w:type="dxa"/>
            <w:vAlign w:val="bottom"/>
            <w:tcBorders>
              <w:top w:val="single" w:sz="8" w:color="auto"/>
            </w:tcBorders>
            <w:shd w:val="clear" w:color="auto" w:fill="CCEEFF"/>
          </w:tcPr>
          <w:p>
            <w:pPr>
              <w:spacing w:after="0" w:line="207"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34,021</w:t>
            </w:r>
          </w:p>
        </w:tc>
        <w:tc>
          <w:tcPr>
            <w:tcW w:w="360" w:type="dxa"/>
            <w:vAlign w:val="bottom"/>
            <w:tcBorders>
              <w:top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10,495</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7,529</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Bank term loans principal and interest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7,149</w:t>
            </w:r>
          </w:p>
        </w:tc>
      </w:tr>
      <w:tr>
        <w:trPr>
          <w:trHeight w:val="213"/>
        </w:trPr>
        <w:tc>
          <w:tcPr>
            <w:tcW w:w="3140" w:type="dxa"/>
            <w:vAlign w:val="bottom"/>
            <w:gridSpan w:val="2"/>
          </w:tcPr>
          <w:p>
            <w:pPr>
              <w:spacing w:after="0"/>
              <w:rPr>
                <w:sz w:val="20"/>
                <w:szCs w:val="20"/>
                <w:color w:val="auto"/>
              </w:rPr>
            </w:pPr>
            <w:r>
              <w:rPr>
                <w:rFonts w:ascii="Arial" w:cs="Arial" w:eastAsia="Arial" w:hAnsi="Arial"/>
                <w:sz w:val="18"/>
                <w:szCs w:val="18"/>
                <w:color w:val="auto"/>
              </w:rPr>
              <w:t>Revolving credit facilities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28,216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99,009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16,805</w:t>
            </w: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ind w:left="160"/>
        <w:spacing w:after="0"/>
        <w:rPr>
          <w:sz w:val="20"/>
          <w:szCs w:val="20"/>
          <w:color w:val="auto"/>
        </w:rPr>
      </w:pPr>
      <w:r>
        <w:rPr>
          <w:rFonts w:ascii="Arial" w:cs="Arial" w:eastAsia="Arial" w:hAnsi="Arial"/>
          <w:sz w:val="18"/>
          <w:szCs w:val="18"/>
          <w:color w:val="auto"/>
        </w:rPr>
        <w:t>(1) Excludes an insignificant amount of short-term lease obligations.</w:t>
      </w:r>
    </w:p>
    <w:p>
      <w:pPr>
        <w:spacing w:after="0" w:line="2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13, “Guarantees” in Part IV, Item 15(a) of this Form 10-K.</w:t>
      </w:r>
    </w:p>
    <w:p>
      <w:pPr>
        <w:spacing w:after="0" w:line="190"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25, 2021, $0.3 million was outstanding under standby letters of credit.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At December 25, 2021, our investment portfolio included short-term, fixed-income investment securities with a fair value of approximately $89.7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25, 2021, the cost and fair value of investments with loss positions were approximately $57.0 million. We evaluated the nature of these investments, credit worthiness of the issuer and the duration of these impairments and concluded that these losses were temporary and we have the ability and intent to hold these investments to maturity.</w:t>
      </w:r>
    </w:p>
    <w:p>
      <w:pPr>
        <w:spacing w:after="0" w:line="17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25, 2021, we have approximately $103.1 million of long-term debt due under a Term Loan Credit Facility that is subject to quarterly interest payments that are based on either a base rate plus a margin of up to 2.0% per annum, or the London Interbank Offered Rate (LIBOR) plus a margin of up to 3.0% per annum. The selection of the interest rate formula is at our discretion. The interest rate otherwise payable under the Term Loan Credit Facility will be subject to increase by 2.0% per annum during the continuance of a payment default and may be subject to increase by 2.0% per annum with respect to the overdue principal amount of any loans outstanding and overdue interest payments and other overdue fees and amounts. At December 25, 2021, the interest rate in effect on these borrowings was 3.09%.</w:t>
      </w:r>
    </w:p>
    <w:p>
      <w:pPr>
        <w:spacing w:after="0" w:line="18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July 2017, the UK’s Financial Conduct Authority, which regulates the LIBOR, announced that it intends to phase out LIBOR by the end of 2021. After 2021, it is unclear whether banks will continue to provide LIBOR submissions to the administrator of LIBOR, and no consensus currently exists as to what benchmark rate or rates may become accepted alternatives to LIBOR. In the United States, efforts to identify a set of alternative U.S. dollar reference interest rates include proposals by the Alternative Reference Rates Committee that has been convened by the Federal Reserve Board and the Federal Reserve Bank of New York. We cannot currently predict the effect of the discontinuation of, or other changes to, LIBOR or any establishment of alternative reference rates in the United States, the European Union or elsewhere in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Our Term Loan Credit Facility constitutes our most significant exposure to this transition and there is no guarantee that a shift from LIBOR to a new reference rate will not result in increases to our borrowing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9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December 25, 2021 compared to December 26, 2020, our stockholders’ equity decreased by $23.0 million as a result of the foreign currency translation.</w:t>
      </w:r>
    </w:p>
    <w:p>
      <w:pPr>
        <w:spacing w:after="0" w:line="197"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Based upon the current levels of net foreign assets, a hypothetical 10% devaluation of the U.S. dollar as compared to these currencies as of December 25, 2021 would result in an approximate $31.1 million positive translation adjustment recorded in other comprehensive income within stockholders’ equity. Conversely, a hypothetical 10% appreciation of the U.S. dollar as compared to these currencies as of December 25, 2021 would result in an approximate $31.1 million negative translation adjustment recorded in other comprehensive income within stockholders’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25, 2021, the end of the period covered by this annual report.</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was no change in our internal control over financial reporting (as defined in Rules 13a-15(f)</w:t>
      </w:r>
      <w:r>
        <w:rPr>
          <w:rFonts w:ascii="Arial" w:cs="Arial" w:eastAsia="Arial" w:hAnsi="Arial"/>
          <w:sz w:val="18"/>
          <w:szCs w:val="18"/>
          <w:b w:val="1"/>
          <w:bCs w:val="1"/>
          <w:color w:val="auto"/>
        </w:rPr>
        <w:t xml:space="preserve"> </w:t>
      </w:r>
      <w:r>
        <w:rPr>
          <w:rFonts w:ascii="Arial" w:cs="Arial" w:eastAsia="Arial" w:hAnsi="Arial"/>
          <w:sz w:val="18"/>
          <w:szCs w:val="18"/>
          <w:color w:val="auto"/>
        </w:rPr>
        <w:t>and 15d-15(f) under the Exchange Act) during the three months ended December 25, 2021, that has materially affected, or is reasonably likely to materially affect, our internal control over financial reporting.</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Management</w:t>
      </w:r>
      <w:r>
        <w:rPr>
          <w:rFonts w:ascii="Arial" w:cs="Arial" w:eastAsia="Arial" w:hAnsi="Arial"/>
          <w:sz w:val="17"/>
          <w:szCs w:val="17"/>
          <w:color w:val="auto"/>
        </w:rPr>
        <w:t>’</w:t>
      </w:r>
      <w:r>
        <w:rPr>
          <w:rFonts w:ascii="Arial" w:cs="Arial" w:eastAsia="Arial" w:hAnsi="Arial"/>
          <w:sz w:val="17"/>
          <w:szCs w:val="17"/>
          <w:b w:val="1"/>
          <w:bCs w:val="1"/>
          <w:color w:val="auto"/>
        </w:rPr>
        <w:t xml:space="preserve">s Annual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25, 2021.</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25, 2021, as stated in their report which is included 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audited Cohu, Inc.’s internal control over financial reporting as of December 25, 2021, based on criteria established in Internal Control—Integrated Framework issued by the Committee of Sponsoring Organizations of the Treadway Commission (2013 framework) (the COSO criteria). In our opinion, Cohu, Inc. (the Company) maintained, in all material respects, effective internal control over financial reporting as of December 25, 2021, based on the COSO criteria.</w:t>
      </w:r>
    </w:p>
    <w:p>
      <w:pPr>
        <w:spacing w:after="0" w:line="19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25, 2021 and December 26, 2020, and the related consolidated statements of operations, comprehensive income (loss), stockholders’ equity, and cash flows for each of the three years in the period ended December 25, 2021, and the related notes and the financial statement schedule listed in the Index at Item 15(a) and our report dated February 18, 2022,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0"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Cohu’s definitive proxy statement, which will be filed with the Securities and Exchange Commission (SEC) within 120 days after the close of fiscal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1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1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Information regarding Executive Compensation is hereby incorporated by reference to Cohu’s definitive proxy statement, which will be filed with the SEC within 120 days after the close of fiscal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ind w:right="500"/>
        <w:spacing w:after="0" w:line="296"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is hereby incorporated by reference to Cohu’s definitive proxy statement, which will be filed with the SEC within 120 days after the close of fiscal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Cohu’s definitive proxy statement, which will be filed with the SEC within 120 days after the close of fiscal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Cohu’s definitive proxy statement, which will be filed with the SEC within 120 days after the close of fiscal 2021.</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18" w:lineRule="exact"/>
        <w:rPr>
          <w:rFonts w:ascii="Arial" w:cs="Arial" w:eastAsia="Arial" w:hAnsi="Arial"/>
          <w:sz w:val="18"/>
          <w:szCs w:val="18"/>
          <w:color w:val="auto"/>
        </w:rPr>
      </w:pPr>
    </w:p>
    <w:p>
      <w:pPr>
        <w:ind w:left="640" w:hanging="314"/>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46" w:lineRule="exact"/>
        <w:rPr>
          <w:sz w:val="20"/>
          <w:szCs w:val="20"/>
          <w:color w:val="auto"/>
        </w:rPr>
      </w:pPr>
    </w:p>
    <w:p>
      <w:pPr>
        <w:ind w:left="640" w:right="320" w:firstLine="160"/>
        <w:spacing w:after="0" w:line="266"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47:</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Form 10-K</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84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91"/>
              </w:rPr>
              <w:t>Description</w:t>
            </w:r>
          </w:p>
        </w:tc>
        <w:tc>
          <w:tcPr>
            <w:tcW w:w="3480" w:type="dxa"/>
            <w:vAlign w:val="bottom"/>
            <w:gridSpan w:val="3"/>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line="185" w:lineRule="exact"/>
              <w:rPr>
                <w:sz w:val="20"/>
                <w:szCs w:val="20"/>
                <w:color w:val="auto"/>
              </w:rPr>
            </w:pPr>
            <w:r>
              <w:rPr>
                <w:rFonts w:ascii="Arial" w:cs="Arial" w:eastAsia="Arial" w:hAnsi="Arial"/>
                <w:sz w:val="18"/>
                <w:szCs w:val="18"/>
                <w:color w:val="auto"/>
                <w:w w:val="88"/>
              </w:rPr>
              <w:t>Page Number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60" w:type="dxa"/>
            <w:vAlign w:val="bottom"/>
            <w:gridSpan w:val="6"/>
            <w:vMerge w:val="restart"/>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 at December 25, 2021 and December 26, 2020</w:t>
              </w:r>
            </w:hyperlink>
          </w:p>
        </w:tc>
        <w:tc>
          <w:tcPr>
            <w:tcW w:w="3660" w:type="dxa"/>
            <w:vAlign w:val="bottom"/>
            <w:gridSpan w:val="5"/>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tcPr>
          <w:p>
            <w:pPr>
              <w:spacing w:after="0"/>
              <w:rPr>
                <w:sz w:val="14"/>
                <w:szCs w:val="14"/>
                <w:color w:val="auto"/>
              </w:rPr>
            </w:pPr>
          </w:p>
        </w:tc>
        <w:tc>
          <w:tcPr>
            <w:tcW w:w="5460" w:type="dxa"/>
            <w:vAlign w:val="bottom"/>
            <w:tcBorders>
              <w:bottom w:val="single" w:sz="8" w:color="0000EE"/>
            </w:tcBorders>
            <w:gridSpan w:val="6"/>
            <w:vMerge w:val="continue"/>
          </w:tcPr>
          <w:p>
            <w:pPr>
              <w:spacing w:after="0"/>
              <w:rPr>
                <w:sz w:val="14"/>
                <w:szCs w:val="14"/>
                <w:color w:val="auto"/>
              </w:rPr>
            </w:pPr>
          </w:p>
        </w:tc>
        <w:tc>
          <w:tcPr>
            <w:tcW w:w="3660" w:type="dxa"/>
            <w:vAlign w:val="bottom"/>
            <w:gridSpan w:val="5"/>
            <w:vMerge w:val="continue"/>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20" w:type="dxa"/>
            <w:vAlign w:val="bottom"/>
            <w:gridSpan w:val="4"/>
          </w:tcPr>
          <w:p>
            <w:pPr>
              <w:spacing w:after="0" w:line="193"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Operations for each of the three</w:t>
              </w:r>
            </w:hyperlink>
          </w:p>
        </w:tc>
        <w:tc>
          <w:tcPr>
            <w:tcW w:w="4800" w:type="dxa"/>
            <w:vAlign w:val="bottom"/>
            <w:gridSpan w:val="7"/>
          </w:tcPr>
          <w:p>
            <w:pPr>
              <w:ind w:left="20"/>
              <w:spacing w:after="0" w:line="193" w:lineRule="exact"/>
              <w:rPr>
                <w:rFonts w:ascii="Arial" w:cs="Arial" w:eastAsia="Arial" w:hAnsi="Arial"/>
                <w:sz w:val="18"/>
                <w:szCs w:val="18"/>
                <w:color w:val="0000EE"/>
              </w:rPr>
            </w:pPr>
            <w:hyperlink w:anchor="page51">
              <w:r>
                <w:rPr>
                  <w:rFonts w:ascii="Arial" w:cs="Arial" w:eastAsia="Arial" w:hAnsi="Arial"/>
                  <w:sz w:val="18"/>
                  <w:szCs w:val="18"/>
                  <w:color w:val="0000EE"/>
                </w:rPr>
                <w:t>years in the period ended December 25, 2021</w:t>
              </w:r>
            </w:hyperlink>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8980" w:type="dxa"/>
            <w:vAlign w:val="bottom"/>
            <w:tcBorders>
              <w:bottom w:val="single" w:sz="8" w:color="0000EE"/>
            </w:tcBorders>
            <w:gridSpan w:val="10"/>
          </w:tcPr>
          <w:p>
            <w:pPr>
              <w:spacing w:after="0" w:line="193" w:lineRule="exact"/>
              <w:rPr>
                <w:sz w:val="20"/>
                <w:szCs w:val="20"/>
                <w:color w:val="auto"/>
              </w:rPr>
            </w:pPr>
            <w:r>
              <w:rPr>
                <w:rFonts w:ascii="Arial" w:cs="Arial" w:eastAsia="Arial" w:hAnsi="Arial"/>
                <w:sz w:val="18"/>
                <w:szCs w:val="18"/>
                <w:color w:val="0000EE"/>
                <w:w w:val="88"/>
              </w:rPr>
              <w:t>Consolidated Statements of Comprehensive Income (Loss) for each of the three years in the period ended December 25, 2021</w:t>
            </w:r>
          </w:p>
        </w:tc>
        <w:tc>
          <w:tcPr>
            <w:tcW w:w="140" w:type="dxa"/>
            <w:vAlign w:val="bottom"/>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2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Stockholders’ Equity for each of</w:t>
              </w:r>
            </w:hyperlink>
          </w:p>
        </w:tc>
        <w:tc>
          <w:tcPr>
            <w:tcW w:w="3960" w:type="dxa"/>
            <w:vAlign w:val="bottom"/>
            <w:tcBorders>
              <w:bottom w:val="single" w:sz="8" w:color="0000EE"/>
            </w:tcBorders>
            <w:gridSpan w:val="5"/>
          </w:tcPr>
          <w:p>
            <w:pPr>
              <w:ind w:left="80"/>
              <w:spacing w:after="0" w:line="193"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the three years in the period ended December 25, 2021</w:t>
              </w:r>
            </w:hyperlink>
          </w:p>
        </w:tc>
        <w:tc>
          <w:tcPr>
            <w:tcW w:w="840" w:type="dxa"/>
            <w:vAlign w:val="bottom"/>
            <w:gridSpan w:val="2"/>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20" w:type="dxa"/>
            <w:vAlign w:val="bottom"/>
            <w:gridSpan w:val="4"/>
          </w:tcPr>
          <w:p>
            <w:pPr>
              <w:spacing w:after="0" w:line="193"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 for each of the three</w:t>
              </w:r>
            </w:hyperlink>
          </w:p>
        </w:tc>
        <w:tc>
          <w:tcPr>
            <w:tcW w:w="4800" w:type="dxa"/>
            <w:vAlign w:val="bottom"/>
            <w:gridSpan w:val="7"/>
          </w:tcPr>
          <w:p>
            <w:pPr>
              <w:ind w:left="80"/>
              <w:spacing w:after="0" w:line="193" w:lineRule="exact"/>
              <w:rPr>
                <w:rFonts w:ascii="Arial" w:cs="Arial" w:eastAsia="Arial" w:hAnsi="Arial"/>
                <w:sz w:val="18"/>
                <w:szCs w:val="18"/>
                <w:color w:val="0000EE"/>
              </w:rPr>
            </w:pPr>
            <w:hyperlink w:anchor="page54">
              <w:r>
                <w:rPr>
                  <w:rFonts w:ascii="Arial" w:cs="Arial" w:eastAsia="Arial" w:hAnsi="Arial"/>
                  <w:sz w:val="18"/>
                  <w:szCs w:val="18"/>
                  <w:color w:val="0000EE"/>
                </w:rPr>
                <w:t>years in the period ended December 25, 2021</w:t>
              </w:r>
            </w:hyperlink>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20" w:type="dxa"/>
            <w:vAlign w:val="bottom"/>
            <w:tcBorders>
              <w:top w:val="single" w:sz="8" w:color="0000EE"/>
            </w:tcBorders>
            <w:gridSpan w:val="4"/>
          </w:tcPr>
          <w:p>
            <w:pPr>
              <w:spacing w:after="0" w:line="193"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9120" w:type="dxa"/>
            <w:vAlign w:val="bottom"/>
            <w:gridSpan w:val="11"/>
          </w:tcPr>
          <w:p>
            <w:pPr>
              <w:spacing w:after="0" w:line="193" w:lineRule="exact"/>
              <w:rPr>
                <w:rFonts w:ascii="Arial" w:cs="Arial" w:eastAsia="Arial" w:hAnsi="Arial"/>
                <w:sz w:val="18"/>
                <w:szCs w:val="18"/>
                <w:color w:val="0000EE"/>
              </w:rPr>
            </w:pPr>
            <w:hyperlink w:anchor="page84">
              <w:r>
                <w:rPr>
                  <w:rFonts w:ascii="Arial" w:cs="Arial" w:eastAsia="Arial" w:hAnsi="Arial"/>
                  <w:sz w:val="18"/>
                  <w:szCs w:val="18"/>
                  <w:color w:val="0000EE"/>
                </w:rPr>
                <w:t>Report of Independent Registered Public Accounting Firm (PCAOB ID: 42)</w:t>
              </w:r>
            </w:hyperlink>
          </w:p>
        </w:tc>
        <w:tc>
          <w:tcPr>
            <w:tcW w:w="980" w:type="dxa"/>
            <w:vAlign w:val="bottom"/>
          </w:tcPr>
          <w:p>
            <w:pPr>
              <w:jc w:val="center"/>
              <w:spacing w:after="0" w:line="193"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800" w:type="dxa"/>
            <w:vAlign w:val="bottom"/>
            <w:gridSpan w:val="5"/>
          </w:tcPr>
          <w:p>
            <w:pPr>
              <w:spacing w:after="0"/>
              <w:rPr>
                <w:sz w:val="20"/>
                <w:szCs w:val="20"/>
                <w:color w:val="auto"/>
              </w:rPr>
            </w:pPr>
            <w:r>
              <w:rPr>
                <w:rFonts w:ascii="Arial" w:cs="Arial" w:eastAsia="Arial" w:hAnsi="Arial"/>
                <w:sz w:val="18"/>
                <w:szCs w:val="18"/>
                <w:color w:val="auto"/>
              </w:rPr>
              <w:t>(2) Financial Statement Schedule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80" w:type="dxa"/>
            <w:vAlign w:val="bottom"/>
          </w:tcPr>
          <w:p>
            <w:pPr>
              <w:spacing w:after="0"/>
              <w:rPr>
                <w:sz w:val="24"/>
                <w:szCs w:val="24"/>
                <w:color w:val="auto"/>
              </w:rPr>
            </w:pPr>
          </w:p>
        </w:tc>
        <w:tc>
          <w:tcPr>
            <w:tcW w:w="432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Schedule II – Valuation and Qualifying Accounts</w:t>
              </w:r>
            </w:hyperlink>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640" w:firstLine="160"/>
        <w:spacing w:after="0" w:line="330"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Exhibits</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669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69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December 25,</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December 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89,704</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20,669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161,053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485,046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63,957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219,791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252,304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22,123</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25,060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1,259,044</w:t>
            </w:r>
          </w:p>
        </w:tc>
        <w:tc>
          <w:tcPr>
            <w:tcW w:w="2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7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3,059</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installments of long-term debt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85,230</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advances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39,835</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34,862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Deferred profit</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13,208</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19,002</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192,459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174,453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Noncurrent income tax liabilities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benefits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18,037</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25,887</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28,816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22,040</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25,787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 shares authorized, none issued</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20" w:type="dxa"/>
            <w:vAlign w:val="bottom"/>
          </w:tcPr>
          <w:p>
            <w:pPr>
              <w:ind w:left="140"/>
              <w:spacing w:after="0" w:line="201" w:lineRule="exact"/>
              <w:rPr>
                <w:sz w:val="20"/>
                <w:szCs w:val="20"/>
                <w:color w:val="auto"/>
              </w:rPr>
            </w:pPr>
            <w:r>
              <w:rPr>
                <w:rFonts w:ascii="Arial" w:cs="Arial" w:eastAsia="Arial" w:hAnsi="Arial"/>
                <w:sz w:val="18"/>
                <w:szCs w:val="18"/>
                <w:color w:val="auto"/>
                <w:w w:val="89"/>
              </w:rPr>
              <w:t>Common stock, $1 par value; 60,000 shares authorized, 48,756 shares issued and outstanding in 2021 and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42,190 shares in 2020</w:t>
            </w:r>
          </w:p>
        </w:tc>
        <w:tc>
          <w:tcPr>
            <w:tcW w:w="1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48,756</w:t>
            </w:r>
          </w:p>
        </w:tc>
        <w:tc>
          <w:tcPr>
            <w:tcW w:w="1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42,190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448,194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Treasury stock, at cost; 207 shares in 2021 and 0 shares in 2020</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(7,324)</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(27,262)</w:t>
            </w: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1,259,044</w:t>
            </w:r>
          </w:p>
        </w:tc>
        <w:tc>
          <w:tcPr>
            <w:tcW w:w="2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669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69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Years ended</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gridSpan w:val="3"/>
          </w:tcPr>
          <w:p>
            <w:pPr>
              <w:jc w:val="right"/>
              <w:ind w:right="200"/>
              <w:spacing w:after="0" w:line="195" w:lineRule="exact"/>
              <w:rPr>
                <w:sz w:val="20"/>
                <w:szCs w:val="20"/>
                <w:color w:val="auto"/>
              </w:rPr>
            </w:pPr>
            <w:r>
              <w:rPr>
                <w:rFonts w:ascii="Arial" w:cs="Arial" w:eastAsia="Arial" w:hAnsi="Arial"/>
                <w:sz w:val="18"/>
                <w:szCs w:val="18"/>
                <w:color w:val="auto"/>
                <w:w w:val="90"/>
              </w:rPr>
              <w:t>December 25,</w:t>
            </w:r>
          </w:p>
        </w:tc>
        <w:tc>
          <w:tcPr>
            <w:tcW w:w="80" w:type="dxa"/>
            <w:vAlign w:val="bottom"/>
          </w:tcPr>
          <w:p>
            <w:pPr>
              <w:spacing w:after="0"/>
              <w:rPr>
                <w:sz w:val="16"/>
                <w:szCs w:val="16"/>
                <w:color w:val="auto"/>
              </w:rPr>
            </w:pPr>
          </w:p>
        </w:tc>
        <w:tc>
          <w:tcPr>
            <w:tcW w:w="1320" w:type="dxa"/>
            <w:vAlign w:val="bottom"/>
            <w:gridSpan w:val="3"/>
          </w:tcPr>
          <w:p>
            <w:pPr>
              <w:jc w:val="center"/>
              <w:ind w:right="240"/>
              <w:spacing w:after="0" w:line="195" w:lineRule="exact"/>
              <w:rPr>
                <w:sz w:val="20"/>
                <w:szCs w:val="20"/>
                <w:color w:val="auto"/>
              </w:rPr>
            </w:pPr>
            <w:r>
              <w:rPr>
                <w:rFonts w:ascii="Arial" w:cs="Arial" w:eastAsia="Arial" w:hAnsi="Arial"/>
                <w:sz w:val="18"/>
                <w:szCs w:val="18"/>
                <w:color w:val="auto"/>
                <w:w w:val="88"/>
              </w:rPr>
              <w:t>December 26,</w:t>
            </w:r>
          </w:p>
        </w:tc>
        <w:tc>
          <w:tcPr>
            <w:tcW w:w="110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0"/>
              </w:rPr>
              <w:t>December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887,214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636,007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and expenses: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line="213" w:lineRule="exact"/>
              <w:rPr>
                <w:sz w:val="20"/>
                <w:szCs w:val="20"/>
                <w:color w:val="auto"/>
              </w:rPr>
            </w:pPr>
            <w:r>
              <w:rPr>
                <w:rFonts w:ascii="Arial" w:cs="Arial" w:eastAsia="Arial" w:hAnsi="Arial"/>
                <w:sz w:val="15"/>
                <w:szCs w:val="15"/>
                <w:color w:val="auto"/>
              </w:rPr>
              <w:t xml:space="preserve">Cost of sales </w:t>
            </w:r>
            <w:r>
              <w:rPr>
                <w:rFonts w:ascii="Arial" w:cs="Arial" w:eastAsia="Arial" w:hAnsi="Arial"/>
                <w:sz w:val="24"/>
                <w:szCs w:val="24"/>
                <w:color w:val="auto"/>
                <w:vertAlign w:val="superscript"/>
              </w:rPr>
              <w:t>(1)</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364,225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86,151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86,147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129,248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Amortization of purchased intangible assets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38,746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line="213" w:lineRule="exact"/>
              <w:rPr>
                <w:sz w:val="20"/>
                <w:szCs w:val="20"/>
                <w:color w:val="auto"/>
              </w:rPr>
            </w:pPr>
            <w:r>
              <w:rPr>
                <w:rFonts w:ascii="Arial" w:cs="Arial" w:eastAsia="Arial" w:hAnsi="Arial"/>
                <w:sz w:val="15"/>
                <w:szCs w:val="15"/>
                <w:color w:val="auto"/>
              </w:rPr>
              <w:t xml:space="preserve">Gain on sale of PCB Test business </w:t>
            </w:r>
            <w:r>
              <w:rPr>
                <w:rFonts w:ascii="Arial" w:cs="Arial" w:eastAsia="Arial" w:hAnsi="Arial"/>
                <w:sz w:val="24"/>
                <w:szCs w:val="24"/>
                <w:color w:val="auto"/>
                <w:vertAlign w:val="superscript"/>
              </w:rPr>
              <w:t>(2)</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Restructuring charges (Note 4)</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7,623</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Gain on sale of facilities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(4,495)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685,696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632,747</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635,657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201,518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(52,328)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(13,759)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(20,556)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Foreign transaction gain (loss)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extinguishment of debt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192,344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(13,177)</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(72,077)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(13,843)</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(68,995)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167,325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(13,801)</w:t>
            </w:r>
          </w:p>
        </w:tc>
        <w:tc>
          <w:tcPr>
            <w:tcW w:w="220" w:type="dxa"/>
            <w:vAlign w:val="bottom"/>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Net income attributable to noncontrolling interest</w:t>
            </w:r>
          </w:p>
        </w:tc>
        <w:tc>
          <w:tcPr>
            <w:tcW w:w="1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20" w:type="dxa"/>
            <w:vAlign w:val="bottom"/>
            <w:gridSpan w:val="2"/>
          </w:tcPr>
          <w:p>
            <w:pPr>
              <w:spacing w:after="0"/>
              <w:rPr>
                <w:sz w:val="20"/>
                <w:szCs w:val="20"/>
                <w:color w:val="auto"/>
              </w:rPr>
            </w:pPr>
            <w:r>
              <w:rPr>
                <w:rFonts w:ascii="Arial" w:cs="Arial" w:eastAsia="Arial" w:hAnsi="Arial"/>
                <w:sz w:val="18"/>
                <w:szCs w:val="18"/>
                <w:color w:val="auto"/>
              </w:rPr>
              <w:t>Net income (loss) attributable to Cohu</w:t>
            </w: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167,325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(13,801)</w:t>
            </w:r>
          </w:p>
        </w:tc>
        <w:tc>
          <w:tcPr>
            <w:tcW w:w="220" w:type="dxa"/>
            <w:vAlign w:val="bottom"/>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6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(loss) per share: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Income (loss) from continuing operations</w:t>
            </w: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220" w:type="dxa"/>
            <w:vAlign w:val="bottom"/>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w:t>
            </w:r>
          </w:p>
        </w:tc>
        <w:tc>
          <w:tcPr>
            <w:tcW w:w="1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income (loss) attributable to Cohu</w:t>
            </w:r>
          </w:p>
        </w:tc>
        <w:tc>
          <w:tcPr>
            <w:tcW w:w="15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Income (loss) from continuing operations</w:t>
            </w: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220" w:type="dxa"/>
            <w:vAlign w:val="bottom"/>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w:t>
            </w:r>
          </w:p>
        </w:tc>
        <w:tc>
          <w:tcPr>
            <w:tcW w:w="1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income (loss) attributable to Cohu</w:t>
            </w:r>
          </w:p>
        </w:tc>
        <w:tc>
          <w:tcPr>
            <w:tcW w:w="15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1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ind w:left="140"/>
              <w:spacing w:after="0" w:line="193" w:lineRule="exact"/>
              <w:rPr>
                <w:sz w:val="20"/>
                <w:szCs w:val="20"/>
                <w:color w:val="auto"/>
              </w:rPr>
            </w:pPr>
            <w:r>
              <w:rPr>
                <w:rFonts w:ascii="Arial" w:cs="Arial" w:eastAsia="Arial" w:hAnsi="Arial"/>
                <w:sz w:val="18"/>
                <w:szCs w:val="18"/>
                <w:color w:val="auto"/>
              </w:rPr>
              <w:t>Diluted</w:t>
            </w: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48,460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41,854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41,159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80" w:right="580" w:hanging="314"/>
        <w:spacing w:after="0" w:line="266"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amortization of $27,508, $29,510, and $30,126 for the years ended December 25, 2021, December 26, 2020, and December 28, 2019, respectively.</w:t>
      </w:r>
    </w:p>
    <w:p>
      <w:pPr>
        <w:spacing w:after="0" w:line="180" w:lineRule="exact"/>
        <w:rPr>
          <w:rFonts w:ascii="Arial" w:cs="Arial" w:eastAsia="Arial" w:hAnsi="Arial"/>
          <w:sz w:val="18"/>
          <w:szCs w:val="18"/>
          <w:color w:val="auto"/>
        </w:rPr>
      </w:pPr>
    </w:p>
    <w:p>
      <w:pPr>
        <w:jc w:val="both"/>
        <w:ind w:left="480" w:right="720" w:hanging="314"/>
        <w:spacing w:after="0" w:line="303"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June 24, 2021 we completed the divestment of our PCB Test business. The divestment of this business did not qualify for presentation as discontinued operations and the results of the PCB Test business are included in continuing operations for all periods presented. See Note 14, “Business Divestitures and Discontinued Operations” for additional information on this transaction and financial statement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7"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66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69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6"/>
              </w:rPr>
              <w:t>Years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3"/>
              </w:rPr>
              <w:t>December 25,</w:t>
            </w:r>
          </w:p>
        </w:tc>
        <w:tc>
          <w:tcPr>
            <w:tcW w:w="180" w:type="dxa"/>
            <w:vAlign w:val="bottom"/>
          </w:tcPr>
          <w:p>
            <w:pPr>
              <w:spacing w:after="0"/>
              <w:rPr>
                <w:sz w:val="16"/>
                <w:szCs w:val="16"/>
                <w:color w:val="auto"/>
              </w:rPr>
            </w:pPr>
          </w:p>
        </w:tc>
        <w:tc>
          <w:tcPr>
            <w:tcW w:w="15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6"/>
              </w:rPr>
              <w:t>December 26,</w:t>
            </w:r>
          </w:p>
        </w:tc>
        <w:tc>
          <w:tcPr>
            <w:tcW w:w="160" w:type="dxa"/>
            <w:vAlign w:val="bottom"/>
          </w:tcPr>
          <w:p>
            <w:pPr>
              <w:spacing w:after="0"/>
              <w:rPr>
                <w:sz w:val="16"/>
                <w:szCs w:val="16"/>
                <w:color w:val="auto"/>
              </w:rPr>
            </w:pPr>
          </w:p>
        </w:tc>
        <w:tc>
          <w:tcPr>
            <w:tcW w:w="132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88"/>
              </w:rPr>
              <w:t>December 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Cohu</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(13,801)</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20" w:type="dxa"/>
            <w:vAlign w:val="bottom"/>
            <w:tcBorders>
              <w:top w:val="single" w:sz="8" w:color="CCEEFF"/>
            </w:tcBorders>
          </w:tcPr>
          <w:p>
            <w:pPr>
              <w:spacing w:after="0" w:line="193" w:lineRule="exact"/>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(22,956)</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27,321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Adjustments related to postretirement benefits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2,602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unrealized gain/loss on 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Reclassification due to sale of PCB Test business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(2,515)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(22,936)</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140"/>
              <w:spacing w:after="0"/>
              <w:rPr>
                <w:sz w:val="20"/>
                <w:szCs w:val="20"/>
                <w:color w:val="auto"/>
              </w:rPr>
            </w:pPr>
            <w:r>
              <w:rPr>
                <w:rFonts w:ascii="Arial" w:cs="Arial" w:eastAsia="Arial" w:hAnsi="Arial"/>
                <w:sz w:val="18"/>
                <w:szCs w:val="18"/>
                <w:color w:val="auto"/>
              </w:rPr>
              <w:t>Other comprehensive loss attributable to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attributable to Cohu</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(22,936)</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29,704</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144,389</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(77,842)</w:t>
            </w:r>
          </w:p>
        </w:tc>
        <w:tc>
          <w:tcPr>
            <w:tcW w:w="0" w:type="dxa"/>
            <w:vAlign w:val="bottom"/>
          </w:tcPr>
          <w:p>
            <w:pPr>
              <w:spacing w:after="0"/>
              <w:rPr>
                <w:sz w:val="1"/>
                <w:szCs w:val="1"/>
                <w:color w:val="auto"/>
              </w:rPr>
            </w:pPr>
          </w:p>
        </w:tc>
      </w:tr>
      <w:tr>
        <w:trPr>
          <w:trHeight w:val="213"/>
        </w:trPr>
        <w:tc>
          <w:tcPr>
            <w:tcW w:w="624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Cohu</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66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69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w w:val="90"/>
              </w:rPr>
              <w:t>Common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ind w:right="271"/>
              <w:spacing w:after="0"/>
              <w:rPr>
                <w:sz w:val="20"/>
                <w:szCs w:val="20"/>
                <w:color w:val="auto"/>
              </w:rPr>
            </w:pPr>
            <w:r>
              <w:rPr>
                <w:rFonts w:ascii="Arial" w:cs="Arial" w:eastAsia="Arial" w:hAnsi="Arial"/>
                <w:sz w:val="18"/>
                <w:szCs w:val="18"/>
                <w:color w:val="auto"/>
                <w:w w:val="92"/>
              </w:rPr>
              <w:t>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w w:val="96"/>
              </w:rPr>
              <w:t>Paid-in</w:t>
            </w:r>
          </w:p>
        </w:tc>
        <w:tc>
          <w:tcPr>
            <w:tcW w:w="18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w w:val="88"/>
              </w:rPr>
              <w:t>Retained</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6"/>
              </w:rPr>
              <w:t>comprehensive</w:t>
            </w:r>
          </w:p>
        </w:tc>
        <w:tc>
          <w:tcPr>
            <w:tcW w:w="20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w w:val="87"/>
              </w:rPr>
              <w:t>Treasury</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 par value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capital</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89"/>
              </w:rPr>
              <w:t>earnings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81"/>
              </w:rPr>
              <w:t>loss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419,690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111,670</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545,944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140"/>
              <w:spacing w:after="0" w:line="202" w:lineRule="exact"/>
              <w:rPr>
                <w:sz w:val="20"/>
                <w:szCs w:val="20"/>
                <w:color w:val="auto"/>
              </w:rPr>
            </w:pPr>
            <w:r>
              <w:rPr>
                <w:rFonts w:ascii="Arial" w:cs="Arial" w:eastAsia="Arial" w:hAnsi="Arial"/>
                <w:sz w:val="18"/>
                <w:szCs w:val="18"/>
                <w:color w:val="auto"/>
                <w:w w:val="94"/>
              </w:rPr>
              <w:t>Cumulative effect of accounting change</w:t>
            </w:r>
          </w:p>
        </w:tc>
        <w:tc>
          <w:tcPr>
            <w:tcW w:w="10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8"/>
                <w:szCs w:val="18"/>
                <w:color w:val="auto"/>
              </w:rPr>
              <w:t>10,352</w:t>
            </w:r>
          </w:p>
        </w:tc>
        <w:tc>
          <w:tcPr>
            <w:tcW w:w="300" w:type="dxa"/>
            <w:vAlign w:val="bottom"/>
          </w:tcPr>
          <w:p>
            <w:pPr>
              <w:spacing w:after="0"/>
              <w:rPr>
                <w:sz w:val="17"/>
                <w:szCs w:val="17"/>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40" w:type="dxa"/>
            <w:vAlign w:val="bottom"/>
          </w:tcPr>
          <w:p>
            <w:pPr>
              <w:ind w:left="140"/>
              <w:spacing w:after="0"/>
              <w:rPr>
                <w:sz w:val="20"/>
                <w:szCs w:val="20"/>
                <w:color w:val="auto"/>
              </w:rPr>
            </w:pPr>
            <w:r>
              <w:rPr>
                <w:rFonts w:ascii="Arial" w:cs="Arial" w:eastAsia="Arial" w:hAnsi="Arial"/>
                <w:sz w:val="15"/>
                <w:szCs w:val="15"/>
                <w:color w:val="auto"/>
              </w:rPr>
              <w:t>(a)</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ind w:left="14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(7,522)</w:t>
            </w:r>
          </w:p>
        </w:tc>
        <w:tc>
          <w:tcPr>
            <w:tcW w:w="20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Adjustments related to postretirement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Cash dividends - $0.24 per share</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(9,866)</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Shares issued under ESPP</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Shares issued for restricted stock units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(2,575)</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14,148</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Divestiture of interest in consolidated</w:t>
            </w: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entity</w:t>
            </w: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Balance at December 28, 2019</w:t>
            </w:r>
          </w:p>
        </w:tc>
        <w:tc>
          <w:tcPr>
            <w:tcW w:w="100" w:type="dxa"/>
            <w:vAlign w:val="bottom"/>
          </w:tcPr>
          <w:p>
            <w:pPr>
              <w:spacing w:after="0"/>
              <w:rPr>
                <w:sz w:val="17"/>
                <w:szCs w:val="17"/>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41,395</w:t>
            </w:r>
          </w:p>
        </w:tc>
        <w:tc>
          <w:tcPr>
            <w:tcW w:w="22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433,190</w:t>
            </w:r>
          </w:p>
        </w:tc>
        <w:tc>
          <w:tcPr>
            <w:tcW w:w="180" w:type="dxa"/>
            <w:vAlign w:val="bottom"/>
          </w:tcPr>
          <w:p>
            <w:pPr>
              <w:spacing w:after="0"/>
              <w:rPr>
                <w:sz w:val="17"/>
                <w:szCs w:val="17"/>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42,517</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(34,030)</w:t>
            </w:r>
          </w:p>
        </w:tc>
        <w:tc>
          <w:tcPr>
            <w:tcW w:w="200" w:type="dxa"/>
            <w:vAlign w:val="bottom"/>
          </w:tcPr>
          <w:p>
            <w:pPr>
              <w:spacing w:after="0"/>
              <w:rPr>
                <w:sz w:val="17"/>
                <w:szCs w:val="17"/>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483,072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ind w:left="14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27,321</w:t>
            </w:r>
          </w:p>
        </w:tc>
        <w:tc>
          <w:tcPr>
            <w:tcW w:w="20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27,321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9"/>
              </w:rPr>
              <w:t>Adjustments related to postretirement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2,383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Cash dividends - $0.06 per share</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(2,486)</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Shares issued under ESPP</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3,026</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Shares issued for restricted stock units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14,234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Balance at December 26, 2020</w:t>
            </w:r>
          </w:p>
        </w:tc>
        <w:tc>
          <w:tcPr>
            <w:tcW w:w="100" w:type="dxa"/>
            <w:vAlign w:val="bottom"/>
          </w:tcPr>
          <w:p>
            <w:pPr>
              <w:spacing w:after="0"/>
              <w:rPr>
                <w:sz w:val="17"/>
                <w:szCs w:val="17"/>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42,190</w:t>
            </w:r>
          </w:p>
        </w:tc>
        <w:tc>
          <w:tcPr>
            <w:tcW w:w="220" w:type="dxa"/>
            <w:vAlign w:val="bottom"/>
          </w:tcPr>
          <w:p>
            <w:pPr>
              <w:spacing w:after="0"/>
              <w:rPr>
                <w:sz w:val="17"/>
                <w:szCs w:val="17"/>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448,194</w:t>
            </w:r>
          </w:p>
        </w:tc>
        <w:tc>
          <w:tcPr>
            <w:tcW w:w="180" w:type="dxa"/>
            <w:vAlign w:val="bottom"/>
          </w:tcPr>
          <w:p>
            <w:pPr>
              <w:spacing w:after="0"/>
              <w:rPr>
                <w:sz w:val="17"/>
                <w:szCs w:val="17"/>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26,230</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(4,326)</w:t>
            </w:r>
          </w:p>
        </w:tc>
        <w:tc>
          <w:tcPr>
            <w:tcW w:w="200" w:type="dxa"/>
            <w:vAlign w:val="bottom"/>
          </w:tcPr>
          <w:p>
            <w:pPr>
              <w:spacing w:after="0"/>
              <w:rPr>
                <w:sz w:val="17"/>
                <w:szCs w:val="17"/>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512,288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167,325</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167,325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Changes in cumulative translation</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ind w:left="140"/>
              <w:spacing w:after="0" w:line="201" w:lineRule="exact"/>
              <w:rPr>
                <w:sz w:val="20"/>
                <w:szCs w:val="20"/>
                <w:color w:val="auto"/>
              </w:rPr>
            </w:pPr>
            <w:r>
              <w:rPr>
                <w:rFonts w:ascii="Arial" w:cs="Arial" w:eastAsia="Arial" w:hAnsi="Arial"/>
                <w:sz w:val="18"/>
                <w:szCs w:val="18"/>
                <w:color w:val="auto"/>
                <w:w w:val="99"/>
              </w:rPr>
              <w:t>Adjustments related to postretirement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benefits, net of tax</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Changes in unrealized gains and losses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on investments, net of tax</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under ESPP</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ind w:left="140"/>
              <w:spacing w:after="0" w:line="201" w:lineRule="exact"/>
              <w:rPr>
                <w:sz w:val="20"/>
                <w:szCs w:val="20"/>
                <w:color w:val="auto"/>
              </w:rPr>
            </w:pPr>
            <w:r>
              <w:rPr>
                <w:rFonts w:ascii="Arial" w:cs="Arial" w:eastAsia="Arial" w:hAnsi="Arial"/>
                <w:sz w:val="18"/>
                <w:szCs w:val="18"/>
                <w:color w:val="auto"/>
                <w:w w:val="96"/>
              </w:rPr>
              <w:t>Shares issued for restricted stock units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Impact of sale of PCB Test business</w:t>
            </w:r>
          </w:p>
        </w:tc>
        <w:tc>
          <w:tcPr>
            <w:tcW w:w="1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14,420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ind w:left="140"/>
              <w:spacing w:after="0" w:line="201" w:lineRule="exact"/>
              <w:rPr>
                <w:sz w:val="20"/>
                <w:szCs w:val="20"/>
                <w:color w:val="auto"/>
              </w:rPr>
            </w:pPr>
            <w:r>
              <w:rPr>
                <w:rFonts w:ascii="Arial" w:cs="Arial" w:eastAsia="Arial" w:hAnsi="Arial"/>
                <w:sz w:val="18"/>
                <w:szCs w:val="18"/>
                <w:color w:val="auto"/>
                <w:w w:val="96"/>
              </w:rPr>
              <w:t>Sale of common stock, net of issuance</w:t>
            </w:r>
          </w:p>
        </w:tc>
        <w:tc>
          <w:tcPr>
            <w:tcW w:w="100" w:type="dxa"/>
            <w:vAlign w:val="bottom"/>
          </w:tcPr>
          <w:p>
            <w:pPr>
              <w:spacing w:after="0"/>
              <w:rPr>
                <w:sz w:val="17"/>
                <w:szCs w:val="17"/>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5,693</w:t>
            </w:r>
          </w:p>
        </w:tc>
        <w:tc>
          <w:tcPr>
            <w:tcW w:w="220" w:type="dxa"/>
            <w:vAlign w:val="bottom"/>
          </w:tcPr>
          <w:p>
            <w:pPr>
              <w:spacing w:after="0"/>
              <w:rPr>
                <w:sz w:val="17"/>
                <w:szCs w:val="17"/>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color w:val="auto"/>
              </w:rPr>
              <w:t>217,426</w:t>
            </w:r>
          </w:p>
        </w:tc>
        <w:tc>
          <w:tcPr>
            <w:tcW w:w="180" w:type="dxa"/>
            <w:vAlign w:val="bottom"/>
          </w:tcPr>
          <w:p>
            <w:pPr>
              <w:spacing w:after="0"/>
              <w:rPr>
                <w:sz w:val="17"/>
                <w:szCs w:val="17"/>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223,119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25, 2021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48,756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674,777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193,555</w:t>
            </w:r>
          </w:p>
        </w:tc>
        <w:tc>
          <w:tcPr>
            <w:tcW w:w="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Cumulative effect of accounting change relates to our adoption of ASU 2016-02.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7"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041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1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Years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Net income (loss) attributable to Cohu</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167,325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(13,801)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(69,700)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from noncontrolling interest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60" w:type="dxa"/>
            <w:vAlign w:val="bottom"/>
          </w:tcPr>
          <w:p>
            <w:pPr>
              <w:ind w:left="140"/>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by operating</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loss on business divestitures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Interest capitalized associated with cloud computing implementation</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divestiture of consolidated entity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(Gain) loss on extinguishment of debt</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charges related to indefinite lived intangibles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48,568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52,746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 expense including restructuring charges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Amortization of inventory step-up and inventory related charges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Accrued retiree benefits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Changes in other assets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cloud-based software implementation costs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(Gain) loss from sale of property, plant and equipment</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other accrued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w w:val="95"/>
              </w:rPr>
              <w:t>Changes in current assets and liabilities, excluding effects from divestitures: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Customer advances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(59,123)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(20,210)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Accrued compensation, warranty and other liabilities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4,678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Deferred profit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Current and long-term operating lease liabilities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(6,852)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(6,437)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Net cash received from sale of land, facility and assets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(204,699)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received from disposition of business, net of cash paid</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39,893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(18,363)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(16,548)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(4,971)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line of credit and construction loans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(206,069)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(41,056)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 (repurchases) of stock, including awards settled in cash</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Acquisition of treasury stock</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received from issuance of common stock, net of fees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(38,072)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140,843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149,358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held by discontinued operations (Note 14)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 from continuing operations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290,201</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149,358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22,717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5,772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capitalized as capital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8" w:lineRule="exact"/>
        <w:rPr>
          <w:rFonts w:ascii="Arial" w:cs="Arial" w:eastAsia="Arial" w:hAnsi="Arial"/>
          <w:sz w:val="18"/>
          <w:szCs w:val="18"/>
          <w:b w:val="1"/>
          <w:bCs w:val="1"/>
          <w:color w:val="auto"/>
        </w:rPr>
      </w:pPr>
    </w:p>
    <w:p>
      <w:pPr>
        <w:ind w:left="320" w:right="160"/>
        <w:spacing w:after="0" w:line="29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“us” and the “Company”), through our wholly owned subsidiaries, is a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semiconductor test equipment and services. Our consolidated financial statements include the accounts of Cohu and our wholly owned subsidiaries and variable interest entities (“VIEs”) for which we are the primary beneficiary. All intercompany balances and transactions have been eliminated in consolidation. We evaluate the need to consolidate affiliates based on standards set forth in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60" w:lineRule="exact"/>
        <w:rPr>
          <w:rFonts w:ascii="Arial" w:cs="Arial" w:eastAsia="Arial" w:hAnsi="Arial"/>
          <w:sz w:val="18"/>
          <w:szCs w:val="18"/>
          <w:b w:val="1"/>
          <w:bCs w:val="1"/>
          <w:color w:val="auto"/>
        </w:rPr>
      </w:pPr>
    </w:p>
    <w:p>
      <w:pPr>
        <w:ind w:left="32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9" w:lineRule="exact"/>
        <w:rPr>
          <w:rFonts w:ascii="Arial" w:cs="Arial" w:eastAsia="Arial" w:hAnsi="Arial"/>
          <w:sz w:val="18"/>
          <w:szCs w:val="18"/>
          <w:b w:val="1"/>
          <w:bCs w:val="1"/>
          <w:color w:val="auto"/>
        </w:rPr>
      </w:pPr>
    </w:p>
    <w:p>
      <w:pPr>
        <w:ind w:left="320" w:right="24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current fiscal year, which ended on December 25, 2021, consisted of 52 weeks. Our fiscal years ended on December 26, 2020, and December 28, 2019, each consisted of 52 weeks.</w:t>
      </w:r>
    </w:p>
    <w:p>
      <w:pPr>
        <w:spacing w:after="0" w:line="132" w:lineRule="exact"/>
        <w:rPr>
          <w:rFonts w:ascii="Arial" w:cs="Arial" w:eastAsia="Arial" w:hAnsi="Arial"/>
          <w:sz w:val="18"/>
          <w:szCs w:val="18"/>
          <w:b w:val="1"/>
          <w:bCs w:val="1"/>
          <w:color w:val="auto"/>
        </w:rPr>
      </w:pPr>
    </w:p>
    <w:p>
      <w:pPr>
        <w:ind w:left="320" w:right="2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Certain prior year balances within property, plant and equipment disclosures have been reclassified to conform to the current year’s presentation. Such reclassifications did not affect the consolidated financial statements as previously reported.</w:t>
      </w:r>
    </w:p>
    <w:p>
      <w:pPr>
        <w:spacing w:after="0" w:line="174" w:lineRule="exact"/>
        <w:rPr>
          <w:rFonts w:ascii="Arial" w:cs="Arial" w:eastAsia="Arial" w:hAnsi="Arial"/>
          <w:sz w:val="18"/>
          <w:szCs w:val="18"/>
          <w:b w:val="1"/>
          <w:bCs w:val="1"/>
          <w:color w:val="auto"/>
        </w:rPr>
      </w:pPr>
    </w:p>
    <w:p>
      <w:pPr>
        <w:ind w:left="320" w:right="22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Principles of Consolidation for Variable Interest Entities </w:t>
      </w:r>
      <w:r>
        <w:rPr>
          <w:rFonts w:ascii="Arial" w:cs="Arial" w:eastAsia="Arial" w:hAnsi="Arial"/>
          <w:sz w:val="18"/>
          <w:szCs w:val="18"/>
          <w:color w:val="auto"/>
        </w:rPr>
        <w:t>– We follow ASC Topic 810-10-15 guidance with respect to accounting for VIEs.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28, 2019, we divested our entire 20% interest in ALBS Solutions Sdn Bhd (“ALBS”), our only VIE. As a result of the divestment, we no longer had a controlling interest in ALBS and stopped consolidating ALBS as of that date. Divestment of our ownership in ALBS resulted in a gain of $0.1 million which is included in restructuring charges for the year ended December 28, 2019.</w:t>
      </w:r>
    </w:p>
    <w:p>
      <w:pPr>
        <w:spacing w:after="0" w:line="185" w:lineRule="exact"/>
        <w:rPr>
          <w:rFonts w:ascii="Arial" w:cs="Arial" w:eastAsia="Arial" w:hAnsi="Arial"/>
          <w:sz w:val="18"/>
          <w:szCs w:val="18"/>
          <w:b w:val="1"/>
          <w:bCs w:val="1"/>
          <w:color w:val="auto"/>
        </w:rPr>
      </w:pPr>
    </w:p>
    <w:p>
      <w:pPr>
        <w:ind w:left="320"/>
        <w:spacing w:after="0" w:line="266"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Business Divestitures and Discontinued Operations </w:t>
      </w:r>
      <w:r>
        <w:rPr>
          <w:rFonts w:ascii="Arial" w:cs="Arial" w:eastAsia="Arial" w:hAnsi="Arial"/>
          <w:sz w:val="17"/>
          <w:szCs w:val="17"/>
          <w:color w:val="auto"/>
        </w:rPr>
        <w:t>– On June 24, 2021, we completed the sale of our PCB Test business, which represented our PCB</w:t>
      </w:r>
      <w:r>
        <w:rPr>
          <w:rFonts w:ascii="Arial" w:cs="Arial" w:eastAsia="Arial" w:hAnsi="Arial"/>
          <w:sz w:val="17"/>
          <w:szCs w:val="17"/>
          <w:b w:val="1"/>
          <w:bCs w:val="1"/>
          <w:color w:val="auto"/>
        </w:rPr>
        <w:t xml:space="preserve"> </w:t>
      </w:r>
      <w:r>
        <w:rPr>
          <w:rFonts w:ascii="Arial" w:cs="Arial" w:eastAsia="Arial" w:hAnsi="Arial"/>
          <w:sz w:val="17"/>
          <w:szCs w:val="17"/>
          <w:color w:val="auto"/>
        </w:rPr>
        <w:t>Test segment. As part of the transaction we also sold certain intellectual property held by our Semiconductor Test &amp; Inspection segment that is utilized by the PCB Test business. In February 2020, we divested our fixtures services business. Our decision to sell these non-core businesses and assets resulted from management’s determination that that they were not a fit within the core business of our organization which is delivering leading-edge solutions for the manufacturing of semiconductors through back-end semiconductor equipment and services. Unless otherwise indicated, all amounts herein relate to continuing operations. For financial statement purposes, only the results of operations of our fixtures services business have been segregated from those of continuing operations and have been presented in our consolidated financial statements as discontinued operations for all periods presented. See Note 14, “</w:t>
      </w:r>
      <w:r>
        <w:rPr>
          <w:rFonts w:ascii="Arial" w:cs="Arial" w:eastAsia="Arial" w:hAnsi="Arial"/>
          <w:sz w:val="17"/>
          <w:szCs w:val="17"/>
          <w:i w:val="1"/>
          <w:iCs w:val="1"/>
          <w:color w:val="auto"/>
        </w:rPr>
        <w:t>Business Divestitures and Discontinued Operations</w:t>
      </w:r>
      <w:r>
        <w:rPr>
          <w:rFonts w:ascii="Arial" w:cs="Arial" w:eastAsia="Arial" w:hAnsi="Arial"/>
          <w:sz w:val="17"/>
          <w:szCs w:val="17"/>
          <w:color w:val="auto"/>
        </w:rPr>
        <w:t>” for additional information. Unless otherwise indicated, all amounts herein relate to continuing operations.</w:t>
      </w:r>
    </w:p>
    <w:p>
      <w:pPr>
        <w:spacing w:after="0" w:line="180" w:lineRule="exact"/>
        <w:rPr>
          <w:rFonts w:ascii="Arial" w:cs="Arial" w:eastAsia="Arial" w:hAnsi="Arial"/>
          <w:sz w:val="18"/>
          <w:szCs w:val="18"/>
          <w:b w:val="1"/>
          <w:bCs w:val="1"/>
          <w:color w:val="auto"/>
        </w:rPr>
      </w:pPr>
    </w:p>
    <w:p>
      <w:pPr>
        <w:ind w:left="320"/>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25, 2021, December 26, 2020 and December 28, 2019, approximately 180,000, 113,000 and 422,000 shares, respectively, of our common stock were excluded from the computation.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47,409</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41,854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41,159</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6"/>
        </w:trPr>
        <w:tc>
          <w:tcPr>
            <w:tcW w:w="5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48,460</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41,854</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41,159</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60"/>
        <w:spacing w:after="0" w:line="295" w:lineRule="auto"/>
        <w:rPr>
          <w:sz w:val="20"/>
          <w:szCs w:val="20"/>
          <w:color w:val="auto"/>
        </w:rPr>
      </w:pPr>
      <w:r>
        <w:rPr>
          <w:rFonts w:ascii="Arial" w:cs="Arial" w:eastAsia="Arial" w:hAnsi="Arial"/>
          <w:sz w:val="16"/>
          <w:szCs w:val="16"/>
          <w:color w:val="auto"/>
        </w:rPr>
        <w:t>For the years ended December 26, 2020, and December 28, 2019, 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54" w:lineRule="exact"/>
        <w:rPr>
          <w:sz w:val="20"/>
          <w:szCs w:val="20"/>
          <w:color w:val="auto"/>
        </w:rPr>
      </w:pPr>
    </w:p>
    <w:p>
      <w:pPr>
        <w:ind w:left="320"/>
        <w:spacing w:after="0" w:line="268"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in debt securities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6" w:lineRule="exact"/>
        <w:rPr>
          <w:sz w:val="20"/>
          <w:szCs w:val="20"/>
          <w:color w:val="auto"/>
        </w:rPr>
      </w:pPr>
    </w:p>
    <w:p>
      <w:pPr>
        <w:ind w:left="320" w:right="280"/>
        <w:spacing w:after="0" w:line="304"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44" w:lineRule="exact"/>
        <w:rPr>
          <w:sz w:val="20"/>
          <w:szCs w:val="20"/>
          <w:color w:val="auto"/>
        </w:rPr>
      </w:pPr>
    </w:p>
    <w:p>
      <w:pPr>
        <w:jc w:val="both"/>
        <w:ind w:left="320" w:right="120"/>
        <w:spacing w:after="0" w:line="26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85"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 xml:space="preserve">Our trade accounts receivable are presented net of an allowance for credit losses, which is determined in accordance with the guidance provided by ASC Topic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(“ASC 326”). Our customers include semiconductor manufacturers and semiconductor test subcontractors throughout many areas of the world. While we believe that our allowance for credit losses is adequate and represents our best estimate at December 25, 2021, we will continue to monitor customer liquidity and other economic conditions, including the impact of the COVID-19 pandemic, which may result in changes to our estimates regarding expected credit losses.</w:t>
      </w:r>
    </w:p>
    <w:p>
      <w:pPr>
        <w:spacing w:after="0" w:line="172" w:lineRule="exact"/>
        <w:rPr>
          <w:sz w:val="20"/>
          <w:szCs w:val="20"/>
          <w:color w:val="auto"/>
        </w:rPr>
      </w:pPr>
    </w:p>
    <w:p>
      <w:pPr>
        <w:ind w:left="320" w:right="40"/>
        <w:spacing w:after="0" w:line="266"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 Inventories are stated at the lower of cost, determined on a first-in, first-out basis, or net realizable value. Cost includes labor, material and</w:t>
      </w:r>
      <w:r>
        <w:rPr>
          <w:rFonts w:ascii="Arial" w:cs="Arial" w:eastAsia="Arial" w:hAnsi="Arial"/>
          <w:sz w:val="17"/>
          <w:szCs w:val="17"/>
          <w:b w:val="1"/>
          <w:bCs w:val="1"/>
          <w:color w:val="auto"/>
        </w:rPr>
        <w:t xml:space="preserve"> </w:t>
      </w:r>
      <w:r>
        <w:rPr>
          <w:rFonts w:ascii="Arial" w:cs="Arial" w:eastAsia="Arial" w:hAnsi="Arial"/>
          <w:sz w:val="17"/>
          <w:szCs w:val="17"/>
          <w:color w:val="auto"/>
        </w:rPr>
        <w:t>overhead costs. Determining the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$7.1 million in 2021. Included in this amount are inventory charges related to the decision to end manufacturing of certain of our semiconductor test handler products associated with the integration of Xcerra which were not significant in 2021. Charges to cost of sales for excess and obsolete inventories totaled $8.1 million in 2020 and included $2.1 million of inventory charges related to the decision to end manufacturing of certain of our semiconductor test handler products associated with the integration of Xcerra. Charges to cost of sales for excess and obsolete inventories totaled $4.8 million in 2019 and included $0.7 million of inventory charges related to the decision to end manufacturing of certain of Xcerra’s semiconductor test handler products.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Inventories by category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-123190</wp:posOffset>
            </wp:positionV>
            <wp:extent cx="6416040"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6040" cy="135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4445</wp:posOffset>
            </wp:positionV>
            <wp:extent cx="641604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6040" cy="14351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Finished goods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December 25,</w:t>
            </w:r>
          </w:p>
        </w:tc>
        <w:tc>
          <w:tcPr>
            <w:tcW w:w="1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December 26,</w:t>
            </w:r>
          </w:p>
        </w:tc>
      </w:tr>
      <w:tr>
        <w:trPr>
          <w:trHeight w:val="225"/>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92,798</w:t>
            </w:r>
          </w:p>
        </w:tc>
        <w:tc>
          <w:tcPr>
            <w:tcW w:w="1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83,755</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40,732</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44,315</w:t>
            </w:r>
          </w:p>
        </w:tc>
      </w:tr>
      <w:tr>
        <w:trPr>
          <w:trHeight w:val="225"/>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27,523</w:t>
            </w:r>
          </w:p>
        </w:tc>
        <w:tc>
          <w:tcPr>
            <w:tcW w:w="1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14,430</w:t>
            </w:r>
          </w:p>
        </w:tc>
      </w:tr>
      <w:tr>
        <w:trPr>
          <w:trHeight w:val="207"/>
        </w:trPr>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161,053</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142,500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6480" w:space="720"/>
            <w:col w:w="4040"/>
          </w:cols>
          <w:pgMar w:left="320" w:top="127" w:right="339" w:bottom="1440" w:gutter="0" w:footer="0" w:header="0"/>
          <w:type w:val="continuous"/>
        </w:sectPr>
      </w:pPr>
    </w:p>
    <w:p>
      <w:pPr>
        <w:ind w:left="320" w:right="80"/>
        <w:spacing w:after="0" w:line="260" w:lineRule="auto"/>
        <w:rPr>
          <w:sz w:val="20"/>
          <w:szCs w:val="20"/>
          <w:color w:val="auto"/>
        </w:rPr>
      </w:pPr>
      <w:r>
        <w:rPr>
          <w:rFonts w:ascii="Arial" w:cs="Arial" w:eastAsia="Arial" w:hAnsi="Arial"/>
          <w:sz w:val="18"/>
          <w:szCs w:val="18"/>
          <w:b w:val="1"/>
          <w:bCs w:val="1"/>
          <w:color w:val="auto"/>
        </w:rPr>
        <w:t xml:space="preserve">Gain on Sale of Facilities </w:t>
      </w:r>
      <w:r>
        <w:rPr>
          <w:rFonts w:ascii="Arial" w:cs="Arial" w:eastAsia="Arial" w:hAnsi="Arial"/>
          <w:sz w:val="18"/>
          <w:szCs w:val="18"/>
          <w:color w:val="auto"/>
        </w:rPr>
        <w:t>– As part of our previously announced Xcerra integration plan we implemented certain facility consolidation actions. See</w:t>
      </w:r>
      <w:r>
        <w:rPr>
          <w:rFonts w:ascii="Arial" w:cs="Arial" w:eastAsia="Arial" w:hAnsi="Arial"/>
          <w:sz w:val="18"/>
          <w:szCs w:val="18"/>
          <w:b w:val="1"/>
          <w:bCs w:val="1"/>
          <w:color w:val="auto"/>
        </w:rPr>
        <w:t xml:space="preserve"> </w:t>
      </w:r>
      <w:r>
        <w:rPr>
          <w:rFonts w:ascii="Arial" w:cs="Arial" w:eastAsia="Arial" w:hAnsi="Arial"/>
          <w:sz w:val="18"/>
          <w:szCs w:val="18"/>
          <w:color w:val="auto"/>
        </w:rPr>
        <w:t>Note 4, “Restructuring Charges” for additional information on this program. During 2020, we completed the sales of our facilities located in Rosenheim, Germany and Penang, Malaysia which resulted in a gain of $4.5 million.</w:t>
      </w:r>
    </w:p>
    <w:p>
      <w:pPr>
        <w:spacing w:after="0" w:line="179" w:lineRule="exact"/>
        <w:rPr>
          <w:sz w:val="20"/>
          <w:szCs w:val="20"/>
          <w:color w:val="auto"/>
        </w:rPr>
      </w:pPr>
    </w:p>
    <w:p>
      <w:pPr>
        <w:ind w:left="320" w:right="80"/>
        <w:spacing w:after="0" w:line="219" w:lineRule="exact"/>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 Depreciation and amortization of property, plant and equipment, both owned and under financing lease, is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principally on the straight</w:t>
      </w:r>
      <w:r>
        <w:rPr>
          <w:rFonts w:ascii="MS PGothic" w:cs="MS PGothic" w:eastAsia="MS PGothic" w:hAnsi="MS PGothic"/>
          <w:sz w:val="16"/>
          <w:szCs w:val="16"/>
          <w:color w:val="auto"/>
        </w:rPr>
        <w:t>‑</w:t>
      </w:r>
      <w:r>
        <w:rPr>
          <w:rFonts w:ascii="Arial" w:cs="Arial" w:eastAsia="Arial" w:hAnsi="Arial"/>
          <w:sz w:val="16"/>
          <w:szCs w:val="16"/>
          <w:color w:val="auto"/>
        </w:rPr>
        <w: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752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December 25,</w:t>
            </w: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26,</w:t>
            </w:r>
          </w:p>
        </w:tc>
      </w:tr>
      <w:tr>
        <w:trPr>
          <w:trHeight w:val="225"/>
        </w:trPr>
        <w:tc>
          <w:tcPr>
            <w:tcW w:w="1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7"/>
        </w:trPr>
        <w:tc>
          <w:tcPr>
            <w:tcW w:w="16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00" w:type="dxa"/>
            <w:vAlign w:val="bottom"/>
            <w:shd w:val="clear" w:color="auto" w:fill="CCEEFF"/>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34,439</w:t>
            </w:r>
          </w:p>
        </w:tc>
      </w:tr>
      <w:tr>
        <w:trPr>
          <w:trHeight w:val="213"/>
        </w:trPr>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88,960</w:t>
            </w:r>
          </w:p>
        </w:tc>
      </w:tr>
      <w:tr>
        <w:trPr>
          <w:trHeight w:val="206"/>
        </w:trPr>
        <w:tc>
          <w:tcPr>
            <w:tcW w:w="16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134,956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131,540</w:t>
            </w:r>
          </w:p>
        </w:tc>
        <w:tc>
          <w:tcPr>
            <w:tcW w:w="100" w:type="dxa"/>
            <w:vAlign w:val="bottom"/>
            <w:tcBorders>
              <w:top w:val="single" w:sz="8" w:color="CCEEFF"/>
            </w:tcBorders>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(70,999)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(64,624)</w:t>
            </w:r>
          </w:p>
        </w:tc>
      </w:tr>
      <w:tr>
        <w:trPr>
          <w:trHeight w:val="20"/>
        </w:trPr>
        <w:tc>
          <w:tcPr>
            <w:tcW w:w="16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63,957</w:t>
            </w:r>
          </w:p>
        </w:tc>
        <w:tc>
          <w:tcPr>
            <w:tcW w:w="2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66,916</w:t>
            </w:r>
          </w:p>
        </w:tc>
      </w:tr>
      <w:tr>
        <w:trPr>
          <w:trHeight w:val="20"/>
        </w:trPr>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320" w:right="220"/>
        <w:spacing w:after="0" w:line="266" w:lineRule="auto"/>
        <w:rPr>
          <w:sz w:val="20"/>
          <w:szCs w:val="20"/>
          <w:color w:val="auto"/>
        </w:rPr>
      </w:pPr>
      <w:r>
        <w:rPr>
          <w:rFonts w:ascii="Arial" w:cs="Arial" w:eastAsia="Arial" w:hAnsi="Arial"/>
          <w:sz w:val="18"/>
          <w:szCs w:val="18"/>
          <w:color w:val="auto"/>
        </w:rPr>
        <w:t>Depreciation expense was $13.2 million in 2021, $14.0 million in 2020 and $19.3 million in 2019. The decrease in depreciation expense recognized in 2021 and 2020 compared to 2019 was a result of assets becoming fully depreciated and facility sales.</w:t>
      </w:r>
    </w:p>
    <w:p>
      <w:pPr>
        <w:spacing w:after="0" w:line="174" w:lineRule="exact"/>
        <w:rPr>
          <w:sz w:val="20"/>
          <w:szCs w:val="20"/>
          <w:color w:val="auto"/>
        </w:rPr>
      </w:pPr>
    </w:p>
    <w:p>
      <w:pPr>
        <w:ind w:left="320" w:right="140"/>
        <w:spacing w:after="0" w:line="255" w:lineRule="auto"/>
        <w:rPr>
          <w:sz w:val="20"/>
          <w:szCs w:val="20"/>
          <w:color w:val="auto"/>
        </w:rPr>
      </w:pPr>
      <w:r>
        <w:rPr>
          <w:rFonts w:ascii="Arial" w:cs="Arial" w:eastAsia="Arial" w:hAnsi="Arial"/>
          <w:sz w:val="18"/>
          <w:szCs w:val="18"/>
          <w:b w:val="1"/>
          <w:bCs w:val="1"/>
          <w:color w:val="auto"/>
        </w:rPr>
        <w:t xml:space="preserve">Cloud Computing Implementation Costs </w:t>
      </w:r>
      <w:r>
        <w:rPr>
          <w:rFonts w:ascii="Arial" w:cs="Arial" w:eastAsia="Arial" w:hAnsi="Arial"/>
          <w:sz w:val="18"/>
          <w:szCs w:val="18"/>
          <w:color w:val="auto"/>
        </w:rPr>
        <w:t>– We have capitalized certain costs associated with the implementation of our new cloud-based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Resource Planning (“ERP”) system in accordance with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w:t>
      </w:r>
      <w:r>
        <w:rPr>
          <w:rFonts w:ascii="Arial" w:cs="Arial" w:eastAsia="Arial" w:hAnsi="Arial"/>
          <w:sz w:val="18"/>
          <w:szCs w:val="18"/>
          <w:color w:val="auto"/>
        </w:rPr>
        <w:t>, (“ASC 350”). Capitalized costs include only external direct costs of materials and services consumed in developing the system and interest costs incurred, when material, while developing the system.</w:t>
      </w:r>
    </w:p>
    <w:p>
      <w:pPr>
        <w:spacing w:after="0" w:line="191" w:lineRule="exact"/>
        <w:rPr>
          <w:sz w:val="20"/>
          <w:szCs w:val="20"/>
          <w:color w:val="auto"/>
        </w:rPr>
      </w:pPr>
    </w:p>
    <w:p>
      <w:pPr>
        <w:ind w:left="320" w:right="60"/>
        <w:spacing w:after="0" w:line="251" w:lineRule="auto"/>
        <w:rPr>
          <w:sz w:val="20"/>
          <w:szCs w:val="20"/>
          <w:color w:val="auto"/>
        </w:rPr>
      </w:pPr>
      <w:r>
        <w:rPr>
          <w:rFonts w:ascii="Arial" w:cs="Arial" w:eastAsia="Arial" w:hAnsi="Arial"/>
          <w:sz w:val="18"/>
          <w:szCs w:val="18"/>
          <w:color w:val="auto"/>
        </w:rPr>
        <w:t>Total unamortized capitalized cloud computing implementation costs totaled $13.5 million at both December 25, 2021 and December 26, 2020. These amounts are recorded within other assets in our consolidated balance sheets and the consistency year-over-year was due to new costs capitalized in 2021, being on pace with increased amortization as development was completed. Implementation costs are amortized using the straight-line method over seven years and we recorded $1.6 million and $1.2 million in amortization expense during the years ended December 25, 2021 and December 26, 2020, respectively.</w:t>
      </w:r>
    </w:p>
    <w:p>
      <w:pPr>
        <w:spacing w:after="0" w:line="190"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color w:val="auto"/>
        </w:rPr>
        <w:t>– We applied the provisions of ASC Topic 280,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Segment Reporting</w:t>
      </w:r>
      <w:r>
        <w:rPr>
          <w:rFonts w:ascii="Arial" w:cs="Arial" w:eastAsia="Arial" w:hAnsi="Arial"/>
          <w:sz w:val="16"/>
          <w:szCs w:val="16"/>
          <w:color w:val="auto"/>
        </w:rPr>
        <w:t>, (“ASC 280”), which sets forth a management approach to</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 Prior to the sale of our PCB Test Group (PTG) on June 24, 2021, we reported in two segments, Semiconductor Test &amp; Inspection and PCB Test Equipment (“PCB Test”).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95" w:lineRule="exact"/>
        <w:rPr>
          <w:sz w:val="20"/>
          <w:szCs w:val="20"/>
          <w:color w:val="auto"/>
        </w:rPr>
      </w:pPr>
    </w:p>
    <w:p>
      <w:pPr>
        <w:ind w:left="320"/>
        <w:spacing w:after="0" w:line="284" w:lineRule="auto"/>
        <w:rPr>
          <w:sz w:val="20"/>
          <w:szCs w:val="20"/>
          <w:color w:val="auto"/>
        </w:rPr>
      </w:pPr>
      <w:r>
        <w:rPr>
          <w:rFonts w:ascii="Arial" w:cs="Arial" w:eastAsia="Arial" w:hAnsi="Arial"/>
          <w:sz w:val="16"/>
          <w:szCs w:val="16"/>
          <w:b w:val="1"/>
          <w:bCs w:val="1"/>
          <w:color w:val="auto"/>
        </w:rPr>
        <w:t xml:space="preserve">Goodwill, Purchased Intangible Assets and Other Long-lived Assets </w:t>
      </w:r>
      <w:r>
        <w:rPr>
          <w:rFonts w:ascii="Arial" w:cs="Arial" w:eastAsia="Arial" w:hAnsi="Arial"/>
          <w:sz w:val="16"/>
          <w:szCs w:val="16"/>
          <w:color w:val="auto"/>
        </w:rPr>
        <w:t>– We evaluate goodwill and other indefinite-lived intangible assets,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in the case of in-process research and development, to the fair value of the asset. If the fair value is determined to be less than the book value, a second step is performed to compute the amount of impairment as the difference between the fair value of the reporting unit and its carrying value, not to exceed the carrying value of goodwill.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72" w:lineRule="exact"/>
        <w:rPr>
          <w:sz w:val="20"/>
          <w:szCs w:val="20"/>
          <w:color w:val="auto"/>
        </w:rPr>
      </w:pPr>
    </w:p>
    <w:p>
      <w:pPr>
        <w:ind w:left="320" w:right="140"/>
        <w:spacing w:after="0" w:line="250" w:lineRule="auto"/>
        <w:rPr>
          <w:sz w:val="20"/>
          <w:szCs w:val="20"/>
          <w:color w:val="auto"/>
        </w:rPr>
      </w:pPr>
      <w:r>
        <w:rPr>
          <w:rFonts w:ascii="Arial" w:cs="Arial" w:eastAsia="Arial" w:hAnsi="Arial"/>
          <w:sz w:val="18"/>
          <w:szCs w:val="18"/>
          <w:color w:val="auto"/>
        </w:rPr>
        <w:t>We conduct our annual impairment test as of October 1st of each year, and have determined there was no impairment as of October 1, 2021, as we determined that the estimated fair values of our reporting units exceeded their carrying values on that date. Other events and changes in circumstances may also require goodwill to be tested for impairment between annual measurement dates. As of December 25, 2021,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97" w:lineRule="exact"/>
        <w:rPr>
          <w:sz w:val="20"/>
          <w:szCs w:val="20"/>
          <w:color w:val="auto"/>
        </w:rPr>
      </w:pPr>
    </w:p>
    <w:p>
      <w:pPr>
        <w:ind w:left="320" w:right="120"/>
        <w:spacing w:after="0" w:line="268"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5" w:lineRule="exact"/>
        <w:rPr>
          <w:sz w:val="20"/>
          <w:szCs w:val="20"/>
          <w:color w:val="auto"/>
        </w:rPr>
      </w:pPr>
    </w:p>
    <w:p>
      <w:pPr>
        <w:ind w:left="320" w:right="180"/>
        <w:spacing w:after="0" w:line="292"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9"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77" w:lineRule="exact"/>
        <w:rPr>
          <w:sz w:val="20"/>
          <w:szCs w:val="20"/>
          <w:color w:val="auto"/>
        </w:rPr>
      </w:pPr>
    </w:p>
    <w:p>
      <w:pPr>
        <w:ind w:left="320" w:right="60"/>
        <w:spacing w:after="0" w:line="290" w:lineRule="auto"/>
        <w:rPr>
          <w:sz w:val="20"/>
          <w:szCs w:val="20"/>
          <w:color w:val="auto"/>
        </w:rPr>
      </w:pPr>
      <w:r>
        <w:rPr>
          <w:rFonts w:ascii="Arial" w:cs="Arial" w:eastAsia="Arial" w:hAnsi="Arial"/>
          <w:sz w:val="16"/>
          <w:szCs w:val="16"/>
          <w:color w:val="auto"/>
        </w:rPr>
        <w:t>We recognized deferred tax assets and liabilities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for those jurisdictions when necessary to reduce deferred tax assets to the amounts that are more likely than not to be realized in the future.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95" w:lineRule="exact"/>
        <w:rPr>
          <w:sz w:val="20"/>
          <w:szCs w:val="20"/>
          <w:color w:val="auto"/>
        </w:rPr>
      </w:pPr>
    </w:p>
    <w:p>
      <w:pPr>
        <w:ind w:left="320" w:right="200"/>
        <w:spacing w:after="0" w:line="337"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an adverse judgment if, in our estimation, the adverse outcome is probable, and we can reasonably estimate the ultimate cost.</w:t>
      </w:r>
    </w:p>
    <w:p>
      <w:pPr>
        <w:spacing w:after="0" w:line="122" w:lineRule="exact"/>
        <w:rPr>
          <w:sz w:val="20"/>
          <w:szCs w:val="20"/>
          <w:color w:val="auto"/>
        </w:rPr>
      </w:pPr>
    </w:p>
    <w:p>
      <w:pPr>
        <w:ind w:left="320" w:right="120"/>
        <w:spacing w:after="0" w:line="282"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We determine if a contract contains a lease at inception. Operating leases are included in operating lease right of use (“ROU”) assets,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other accrued liabilities, and long-term lease liabilities on our consolidated balance sheets. Finance leases are included in property, plant and equipment, other current accrued liabilities, and long-term lease liabilities on our consolidated balance sheets.</w:t>
      </w:r>
    </w:p>
    <w:p>
      <w:pPr>
        <w:spacing w:after="0" w:line="169" w:lineRule="exact"/>
        <w:rPr>
          <w:sz w:val="20"/>
          <w:szCs w:val="20"/>
          <w:color w:val="auto"/>
        </w:rPr>
      </w:pPr>
    </w:p>
    <w:p>
      <w:pPr>
        <w:ind w:left="320" w:right="20"/>
        <w:spacing w:after="0" w:line="253"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the adoption date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92"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66" w:lineRule="exact"/>
        <w:rPr>
          <w:sz w:val="20"/>
          <w:szCs w:val="20"/>
          <w:color w:val="auto"/>
        </w:rPr>
      </w:pPr>
    </w:p>
    <w:p>
      <w:pPr>
        <w:ind w:left="320" w:right="60"/>
        <w:spacing w:after="0" w:line="256" w:lineRule="auto"/>
        <w:rPr>
          <w:sz w:val="20"/>
          <w:szCs w:val="20"/>
          <w:color w:val="auto"/>
        </w:rPr>
      </w:pPr>
      <w:r>
        <w:rPr>
          <w:rFonts w:ascii="Arial" w:cs="Arial" w:eastAsia="Arial" w:hAnsi="Arial"/>
          <w:sz w:val="18"/>
          <w:szCs w:val="18"/>
          <w:color w:val="auto"/>
        </w:rPr>
        <w:t>Leases with an initial term of 12 months or less are not recorded on the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90" w:lineRule="exact"/>
        <w:rPr>
          <w:sz w:val="20"/>
          <w:szCs w:val="20"/>
          <w:color w:val="auto"/>
        </w:rPr>
      </w:pPr>
    </w:p>
    <w:p>
      <w:pPr>
        <w:jc w:val="both"/>
        <w:ind w:left="320" w:right="280"/>
        <w:spacing w:after="0" w:line="256" w:lineRule="auto"/>
        <w:rPr>
          <w:sz w:val="20"/>
          <w:szCs w:val="20"/>
          <w:color w:val="auto"/>
        </w:rPr>
      </w:pPr>
      <w:r>
        <w:rPr>
          <w:rFonts w:ascii="Arial" w:cs="Arial" w:eastAsia="Arial" w:hAnsi="Arial"/>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84" w:lineRule="exact"/>
        <w:rPr>
          <w:sz w:val="20"/>
          <w:szCs w:val="20"/>
          <w:color w:val="auto"/>
        </w:rPr>
      </w:pPr>
    </w:p>
    <w:p>
      <w:pPr>
        <w:ind w:left="320" w:right="80"/>
        <w:spacing w:after="0" w:line="275"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Our net sales are derived from the sale of products and services and are adjusted for estimated returns and allowances,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w:t>
      </w:r>
    </w:p>
    <w:p>
      <w:pPr>
        <w:spacing w:after="0" w:line="175" w:lineRule="exact"/>
        <w:rPr>
          <w:sz w:val="20"/>
          <w:szCs w:val="20"/>
          <w:color w:val="auto"/>
        </w:rPr>
      </w:pPr>
    </w:p>
    <w:p>
      <w:pPr>
        <w:ind w:left="320" w:right="180"/>
        <w:spacing w:after="0" w:line="288"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66" w:lineRule="exact"/>
        <w:rPr>
          <w:sz w:val="20"/>
          <w:szCs w:val="20"/>
          <w:color w:val="auto"/>
        </w:rPr>
      </w:pPr>
    </w:p>
    <w:p>
      <w:pPr>
        <w:ind w:left="320" w:right="80"/>
        <w:spacing w:after="0" w:line="273" w:lineRule="auto"/>
        <w:rPr>
          <w:sz w:val="20"/>
          <w:szCs w:val="20"/>
          <w:color w:val="auto"/>
        </w:rPr>
      </w:pPr>
      <w:r>
        <w:rPr>
          <w:rFonts w:ascii="Arial" w:cs="Arial" w:eastAsia="Arial" w:hAnsi="Arial"/>
          <w:sz w:val="17"/>
          <w:szCs w:val="17"/>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120"/>
        <w:spacing w:after="0" w:line="273" w:lineRule="auto"/>
        <w:rPr>
          <w:sz w:val="20"/>
          <w:szCs w:val="20"/>
          <w:color w:val="auto"/>
        </w:rPr>
      </w:pPr>
      <w:r>
        <w:rPr>
          <w:rFonts w:ascii="Arial" w:cs="Arial" w:eastAsia="Arial" w:hAnsi="Arial"/>
          <w:sz w:val="17"/>
          <w:szCs w:val="17"/>
          <w:color w:val="auto"/>
        </w:rPr>
        <w:t>Unsatisfied performance obligations primarily represent contracts for products with future delivery dates. At December 25, 2021 and December 26, 2020, we had $7.7 million and $8.3 million of revenue expected to be recognized in the future related to performance obligations that are unsatisfied (or partially unsatisfied) for contracts with original expected durations of over one year, respectively. As allowed under ASC 606, we have opted to not disclose unsatisfied performance obligations for contracts with original expected durations of less than one year.</w:t>
      </w:r>
    </w:p>
    <w:p>
      <w:pPr>
        <w:spacing w:after="0" w:line="176" w:lineRule="exact"/>
        <w:rPr>
          <w:sz w:val="20"/>
          <w:szCs w:val="20"/>
          <w:color w:val="auto"/>
        </w:rPr>
      </w:pPr>
    </w:p>
    <w:p>
      <w:pPr>
        <w:jc w:val="both"/>
        <w:ind w:left="320" w:right="20"/>
        <w:spacing w:after="0" w:line="256" w:lineRule="auto"/>
        <w:rPr>
          <w:sz w:val="20"/>
          <w:szCs w:val="20"/>
          <w:color w:val="auto"/>
        </w:rPr>
      </w:pPr>
      <w:r>
        <w:rPr>
          <w:rFonts w:ascii="Arial" w:cs="Arial" w:eastAsia="Arial" w:hAnsi="Arial"/>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460, </w:t>
      </w:r>
      <w:r>
        <w:rPr>
          <w:rFonts w:ascii="Arial" w:cs="Arial" w:eastAsia="Arial" w:hAnsi="Arial"/>
          <w:sz w:val="18"/>
          <w:szCs w:val="18"/>
          <w:i w:val="1"/>
          <w:iCs w:val="1"/>
          <w:color w:val="auto"/>
        </w:rPr>
        <w:t>Guarantees (</w:t>
      </w:r>
      <w:r>
        <w:rPr>
          <w:rFonts w:ascii="Arial" w:cs="Arial" w:eastAsia="Arial" w:hAnsi="Arial"/>
          <w:sz w:val="18"/>
          <w:szCs w:val="18"/>
          <w:color w:val="auto"/>
        </w:rPr>
        <w:t>“</w:t>
      </w:r>
      <w:r>
        <w:rPr>
          <w:rFonts w:ascii="Arial" w:cs="Arial" w:eastAsia="Arial" w:hAnsi="Arial"/>
          <w:sz w:val="18"/>
          <w:szCs w:val="18"/>
          <w:i w:val="1"/>
          <w:iCs w:val="1"/>
          <w:color w:val="auto"/>
        </w:rPr>
        <w:t>ASC 460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and not as a separate performance obligation.</w:t>
      </w:r>
    </w:p>
    <w:p>
      <w:pPr>
        <w:spacing w:after="0" w:line="190" w:lineRule="exact"/>
        <w:rPr>
          <w:sz w:val="20"/>
          <w:szCs w:val="20"/>
          <w:color w:val="auto"/>
        </w:rPr>
      </w:pPr>
    </w:p>
    <w:p>
      <w:pPr>
        <w:ind w:left="320" w:right="60"/>
        <w:spacing w:after="0" w:line="288" w:lineRule="auto"/>
        <w:rPr>
          <w:sz w:val="20"/>
          <w:szCs w:val="20"/>
          <w:color w:val="auto"/>
        </w:rPr>
      </w:pPr>
      <w:r>
        <w:rPr>
          <w:rFonts w:ascii="Arial" w:cs="Arial" w:eastAsia="Arial" w:hAnsi="Arial"/>
          <w:sz w:val="16"/>
          <w:szCs w:val="16"/>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66" w:lineRule="exact"/>
        <w:rPr>
          <w:sz w:val="20"/>
          <w:szCs w:val="20"/>
          <w:color w:val="auto"/>
        </w:rPr>
      </w:pPr>
    </w:p>
    <w:p>
      <w:pPr>
        <w:ind w:left="320" w:right="440"/>
        <w:spacing w:after="0" w:line="266" w:lineRule="auto"/>
        <w:rPr>
          <w:sz w:val="20"/>
          <w:szCs w:val="20"/>
          <w:color w:val="auto"/>
        </w:rPr>
      </w:pPr>
      <w:r>
        <w:rPr>
          <w:rFonts w:ascii="Arial" w:cs="Arial" w:eastAsia="Arial" w:hAnsi="Arial"/>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80" w:lineRule="exact"/>
        <w:rPr>
          <w:sz w:val="20"/>
          <w:szCs w:val="20"/>
          <w:color w:val="auto"/>
        </w:rPr>
      </w:pPr>
    </w:p>
    <w:p>
      <w:pPr>
        <w:ind w:left="320" w:right="300"/>
        <w:spacing w:after="0" w:line="279" w:lineRule="auto"/>
        <w:rPr>
          <w:sz w:val="20"/>
          <w:szCs w:val="20"/>
          <w:color w:val="auto"/>
        </w:rPr>
      </w:pPr>
      <w:r>
        <w:rPr>
          <w:rFonts w:ascii="Arial" w:cs="Arial" w:eastAsia="Arial" w:hAnsi="Arial"/>
          <w:sz w:val="17"/>
          <w:szCs w:val="17"/>
          <w:color w:val="auto"/>
        </w:rPr>
        <w:t>Accounts receivable represents our unconditional right to receive consideration from our customers.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difference between the receivable recorded and the inventory shipped. In certain instances where customer payments are received prior to product</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shipment, the customer’s payments are recorded as customer advances. At December 25, 2021, we had deferred revenue totaling approximately</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$21.9 million, current deferred profit of $13.2 million and deferred profit expected to be recognized after one year included in noncurrent other accrued</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liabilities of $6.1 million. At December 26, 2020, we had deferred revenue totaling approximately $17.1 million, current deferred profit of $8.7 million</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deferred profit expected to be recognized after one year included in noncurrent other accrued liabilities of $6.7 million.</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Disaggregated net sales by segment are as follows: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160" w:type="dxa"/>
            <w:vAlign w:val="bottom"/>
          </w:tcPr>
          <w:p>
            <w:pPr>
              <w:spacing w:after="0"/>
              <w:rPr>
                <w:sz w:val="24"/>
                <w:szCs w:val="24"/>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07"/>
        </w:trPr>
        <w:tc>
          <w:tcPr>
            <w:tcW w:w="16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Systems-Semiconductor Test &amp; Inspection</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541,589</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317,821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299,473</w:t>
            </w:r>
          </w:p>
        </w:tc>
        <w:tc>
          <w:tcPr>
            <w:tcW w:w="100" w:type="dxa"/>
            <w:vAlign w:val="bottom"/>
            <w:shd w:val="clear" w:color="auto" w:fill="CCEEFF"/>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Non-systems-Semiconductor Test &amp; Inspection</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318,865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267,419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241,405</w:t>
            </w: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Systems-PCB Test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25,928</w:t>
            </w:r>
          </w:p>
        </w:tc>
      </w:tr>
      <w:tr>
        <w:trPr>
          <w:trHeight w:val="213"/>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Non-systems-PCB Test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16,523</w:t>
            </w:r>
          </w:p>
        </w:tc>
      </w:tr>
      <w:tr>
        <w:trPr>
          <w:trHeight w:val="246"/>
        </w:trPr>
        <w:tc>
          <w:tcPr>
            <w:tcW w:w="16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887,214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19" w:lineRule="exact"/>
        <w:rPr>
          <w:sz w:val="20"/>
          <w:szCs w:val="20"/>
          <w:color w:val="auto"/>
        </w:rPr>
      </w:pPr>
    </w:p>
    <w:p>
      <w:pPr>
        <w:ind w:left="320"/>
        <w:spacing w:after="0" w:line="287" w:lineRule="auto"/>
        <w:rPr>
          <w:sz w:val="20"/>
          <w:szCs w:val="20"/>
          <w:color w:val="auto"/>
        </w:rPr>
      </w:pPr>
      <w:r>
        <w:rPr>
          <w:rFonts w:ascii="Arial" w:cs="Arial" w:eastAsia="Arial" w:hAnsi="Arial"/>
          <w:sz w:val="16"/>
          <w:szCs w:val="16"/>
          <w:b w:val="1"/>
          <w:bCs w:val="1"/>
          <w:color w:val="auto"/>
        </w:rPr>
        <w:t xml:space="preserve">Restructuring Costs </w:t>
      </w:r>
      <w:r>
        <w:rPr>
          <w:rFonts w:ascii="Arial" w:cs="Arial" w:eastAsia="Arial" w:hAnsi="Arial"/>
          <w:sz w:val="16"/>
          <w:szCs w:val="16"/>
          <w:color w:val="auto"/>
        </w:rPr>
        <w:t>– We record restructuring activities including costs for one-time termination benefits in accordance with ASC Topic 420 (“ASC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These costs are recognized when management has committed to a restructuring plan and the severance costs are probable and estimable.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8" w:lineRule="exact"/>
        <w:rPr>
          <w:sz w:val="20"/>
          <w:szCs w:val="20"/>
          <w:color w:val="auto"/>
        </w:rPr>
      </w:pPr>
    </w:p>
    <w:p>
      <w:pPr>
        <w:ind w:left="320" w:right="60"/>
        <w:spacing w:after="0" w:line="253"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 We capitalize costs related to the issuance of debt. Debt issuance costs directly related to our Term Loan Credit Facility are</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$0.6 million, $1.2 million and $1.1 million for the years ended December 25, 2021, December 26, 2020 and December 28, 2019, respectively.</w:t>
      </w:r>
    </w:p>
    <w:p>
      <w:pPr>
        <w:spacing w:after="0" w:line="187" w:lineRule="exact"/>
        <w:rPr>
          <w:sz w:val="20"/>
          <w:szCs w:val="20"/>
          <w:color w:val="auto"/>
        </w:rPr>
      </w:pPr>
    </w:p>
    <w:p>
      <w:pPr>
        <w:ind w:left="320" w:right="380"/>
        <w:spacing w:after="0" w:line="292"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9" w:lineRule="exact"/>
        <w:rPr>
          <w:sz w:val="20"/>
          <w:szCs w:val="20"/>
          <w:color w:val="auto"/>
        </w:rPr>
      </w:pPr>
    </w:p>
    <w:p>
      <w:pPr>
        <w:ind w:left="320" w:right="20"/>
        <w:spacing w:after="0" w:line="268" w:lineRule="auto"/>
        <w:rPr>
          <w:sz w:val="20"/>
          <w:szCs w:val="20"/>
          <w:color w:val="auto"/>
        </w:rPr>
      </w:pPr>
      <w:r>
        <w:rPr>
          <w:rFonts w:ascii="Arial" w:cs="Arial" w:eastAsia="Arial" w:hAnsi="Arial"/>
          <w:sz w:val="17"/>
          <w:szCs w:val="17"/>
          <w:b w:val="1"/>
          <w:bCs w:val="1"/>
          <w:color w:val="auto"/>
        </w:rPr>
        <w:t xml:space="preserve">Foreign Remeasurement and Currency Translation </w:t>
      </w:r>
      <w:r>
        <w:rPr>
          <w:rFonts w:ascii="Arial" w:cs="Arial" w:eastAsia="Arial" w:hAnsi="Arial"/>
          <w:sz w:val="17"/>
          <w:szCs w:val="17"/>
          <w:color w:val="auto"/>
        </w:rPr>
        <w:t>– Assets and liabilities of our wholly owned foreign subsidiaries that use the U.S. Dollar as their</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 ended December 25, 2021, in our consolidated statement of operations we recognized foreign exchange gains totaling $0.4 million. During the years ended December 26, 2020 and December 28, 2019, we recognized a foreign exchange loss of $3.2 million and an insignificant gain, respectively.</w:t>
      </w:r>
    </w:p>
    <w:p>
      <w:pPr>
        <w:spacing w:after="0" w:line="182" w:lineRule="exact"/>
        <w:rPr>
          <w:sz w:val="20"/>
          <w:szCs w:val="20"/>
          <w:color w:val="auto"/>
        </w:rPr>
      </w:pPr>
    </w:p>
    <w:p>
      <w:pPr>
        <w:ind w:left="320" w:right="20"/>
        <w:spacing w:after="0" w:line="303" w:lineRule="auto"/>
        <w:rPr>
          <w:sz w:val="20"/>
          <w:szCs w:val="20"/>
          <w:color w:val="auto"/>
        </w:rPr>
      </w:pPr>
      <w:r>
        <w:rPr>
          <w:rFonts w:ascii="Arial" w:cs="Arial" w:eastAsia="Arial" w:hAnsi="Arial"/>
          <w:sz w:val="16"/>
          <w:szCs w:val="16"/>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49" w:lineRule="exact"/>
        <w:rPr>
          <w:sz w:val="20"/>
          <w:szCs w:val="20"/>
          <w:color w:val="auto"/>
        </w:rPr>
      </w:pPr>
    </w:p>
    <w:p>
      <w:pPr>
        <w:ind w:left="320"/>
        <w:spacing w:after="0" w:line="251" w:lineRule="auto"/>
        <w:rPr>
          <w:sz w:val="20"/>
          <w:szCs w:val="20"/>
          <w:color w:val="auto"/>
        </w:rPr>
      </w:pPr>
      <w:r>
        <w:rPr>
          <w:rFonts w:ascii="Arial" w:cs="Arial" w:eastAsia="Arial" w:hAnsi="Arial"/>
          <w:sz w:val="18"/>
          <w:szCs w:val="18"/>
          <w:b w:val="1"/>
          <w:bCs w:val="1"/>
          <w:color w:val="auto"/>
        </w:rPr>
        <w:t xml:space="preserve">Foreign Exchange Derivative Contracts </w:t>
      </w:r>
      <w:r>
        <w:rPr>
          <w:rFonts w:ascii="Arial" w:cs="Arial" w:eastAsia="Arial" w:hAnsi="Arial"/>
          <w:sz w:val="18"/>
          <w:szCs w:val="18"/>
          <w:color w:val="auto"/>
        </w:rPr>
        <w:t>– We operate and sell our products in various global markets. As a result, we are exposed to changes in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exchange rates. 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 Additional information related to our foreign exchange derivative contracts is included in Note 7, “</w:t>
      </w:r>
      <w:r>
        <w:rPr>
          <w:rFonts w:ascii="Arial" w:cs="Arial" w:eastAsia="Arial" w:hAnsi="Arial"/>
          <w:sz w:val="18"/>
          <w:szCs w:val="18"/>
          <w:i w:val="1"/>
          <w:iCs w:val="1"/>
          <w:color w:val="auto"/>
        </w:rPr>
        <w:t>Derivative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189" w:lineRule="exact"/>
        <w:rPr>
          <w:sz w:val="20"/>
          <w:szCs w:val="20"/>
          <w:color w:val="auto"/>
        </w:rPr>
      </w:pPr>
    </w:p>
    <w:p>
      <w:pPr>
        <w:ind w:left="320"/>
        <w:spacing w:after="0" w:line="286" w:lineRule="auto"/>
        <w:rPr>
          <w:sz w:val="20"/>
          <w:szCs w:val="20"/>
          <w:color w:val="auto"/>
        </w:rPr>
      </w:pP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 Our accumulated other comprehensive loss totaled approximately $27.3 million at December 25, 2021, and</w:t>
      </w:r>
      <w:r>
        <w:rPr>
          <w:rFonts w:ascii="Arial" w:cs="Arial" w:eastAsia="Arial" w:hAnsi="Arial"/>
          <w:sz w:val="16"/>
          <w:szCs w:val="16"/>
          <w:b w:val="1"/>
          <w:bCs w:val="1"/>
          <w:color w:val="auto"/>
        </w:rPr>
        <w:t xml:space="preserve"> </w:t>
      </w:r>
      <w:r>
        <w:rPr>
          <w:rFonts w:ascii="Arial" w:cs="Arial" w:eastAsia="Arial" w:hAnsi="Arial"/>
          <w:sz w:val="16"/>
          <w:szCs w:val="16"/>
          <w:color w:val="auto"/>
        </w:rPr>
        <w:t>$4.3 million at December 26, 2020, and was attributed to, net of income taxes where applicable, foreign currency adjustments resulting from the translation of certain accounts into U.S. Dollars and adjustments to accumulated postretirement benefit obligations. The U.S. Dollar strengthened relative to certain foreign currencies in countries where we have operations as of December 25, 2021, compared to December 26, 2020 and consequently, our accumulated other comprehensive loss increased by $23.0 million. In the previous year, the U.S. Dollar weakened relative to certain foreign currencies in countries where we have operations and, as a result, our accumulated other comprehensive loss decreased by $27.3 million. Reclassification adjustments from accumulated other comprehensive loss during 2021 and 2020 were not significant. Additional information related to accumulated other comprehensive loss, on an after-tax basis is included in Note 15, “</w:t>
      </w:r>
      <w:r>
        <w:rPr>
          <w:rFonts w:ascii="Arial" w:cs="Arial" w:eastAsia="Arial" w:hAnsi="Arial"/>
          <w:sz w:val="16"/>
          <w:szCs w:val="16"/>
          <w:i w:val="1"/>
          <w:iCs w:val="1"/>
          <w:color w:val="auto"/>
        </w:rPr>
        <w:t>Accumulated Other Comprehensive Income (Loss)</w:t>
      </w:r>
      <w:r>
        <w:rPr>
          <w:rFonts w:ascii="Arial" w:cs="Arial" w:eastAsia="Arial" w:hAnsi="Arial"/>
          <w:sz w:val="16"/>
          <w:szCs w:val="16"/>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Recently Adopted Accounting Pronouncements </w:t>
      </w:r>
      <w:r>
        <w:rPr>
          <w:rFonts w:ascii="Arial" w:cs="Arial" w:eastAsia="Arial" w:hAnsi="Arial"/>
          <w:sz w:val="18"/>
          <w:szCs w:val="18"/>
          <w:color w:val="auto"/>
        </w:rPr>
        <w:t>– All accounting pronouncements adopted during the current year were not material.</w:t>
      </w:r>
    </w:p>
    <w:p>
      <w:pPr>
        <w:spacing w:after="0" w:line="225" w:lineRule="exact"/>
        <w:rPr>
          <w:sz w:val="20"/>
          <w:szCs w:val="20"/>
          <w:color w:val="auto"/>
        </w:rPr>
      </w:pPr>
    </w:p>
    <w:p>
      <w:pPr>
        <w:ind w:left="320" w:right="20"/>
        <w:spacing w:after="0" w:line="267"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 In March 2020, the FASB issued Accounting Standards Update (“ASU”) 2020-04,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Reference Rate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Reform (Topic 848): Facilitation of the Effects of Reference Rate Reform on Financial Reporting</w:t>
      </w:r>
      <w:r>
        <w:rPr>
          <w:rFonts w:ascii="Arial" w:cs="Arial" w:eastAsia="Arial" w:hAnsi="Arial"/>
          <w:sz w:val="17"/>
          <w:szCs w:val="17"/>
          <w:color w:val="auto"/>
        </w:rPr>
        <w:t>, which provides temporary optional expedients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for applying generally accepted accounting principles to contracts, hedging relationships and other transactions affected by reference rate reform. Our Term Loan Credit Facility bears interest at fluctuating interest rates based on LIBOR. If LIBOR ceases to exist, we may need to renegotiate our loan and we cannot predict what alternative index would be negotiated with our lenders. ASU 2020-04 was effective upon issuance and may be applied prospectively to contract modifications made on or before December 31, 2022. We do not expect the adoption of this guidance to have a material impact on our consolidated financial statements.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53"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auto"/>
        </w:rPr>
        <w:t>Changes in the carrying value of our goodwill during the years ended December 25, 2021, and December 26, 2020,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Semiconductor Test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51"/>
              <w:spacing w:after="0"/>
              <w:rPr>
                <w:sz w:val="20"/>
                <w:szCs w:val="20"/>
                <w:color w:val="auto"/>
              </w:rPr>
            </w:pPr>
            <w:r>
              <w:rPr>
                <w:rFonts w:ascii="Arial" w:cs="Arial" w:eastAsia="Arial" w:hAnsi="Arial"/>
                <w:sz w:val="18"/>
                <w:szCs w:val="18"/>
                <w:color w:val="auto"/>
              </w:rPr>
              <w:t>&amp;</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0"/>
              </w:rPr>
              <w:t>Inspection</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PCB Test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 Goodwill</w:t>
            </w:r>
          </w:p>
        </w:tc>
        <w:tc>
          <w:tcPr>
            <w:tcW w:w="120" w:type="dxa"/>
            <w:vAlign w:val="bottom"/>
          </w:tcPr>
          <w:p>
            <w:pPr>
              <w:spacing w:after="0"/>
              <w:rPr>
                <w:sz w:val="19"/>
                <w:szCs w:val="19"/>
                <w:color w:val="auto"/>
              </w:rPr>
            </w:pPr>
          </w:p>
        </w:tc>
      </w:tr>
      <w:tr>
        <w:trPr>
          <w:trHeight w:val="20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2019</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218,775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238,669</w:t>
            </w:r>
          </w:p>
        </w:tc>
      </w:tr>
      <w:tr>
        <w:trPr>
          <w:trHeight w:val="213"/>
        </w:trPr>
        <w:tc>
          <w:tcPr>
            <w:tcW w:w="5380" w:type="dxa"/>
            <w:vAlign w:val="bottom"/>
          </w:tcPr>
          <w:p>
            <w:pPr>
              <w:ind w:left="320"/>
              <w:spacing w:after="0"/>
              <w:rPr>
                <w:sz w:val="20"/>
                <w:szCs w:val="20"/>
                <w:color w:val="auto"/>
              </w:rPr>
            </w:pPr>
            <w:r>
              <w:rPr>
                <w:rFonts w:ascii="Arial" w:cs="Arial" w:eastAsia="Arial" w:hAnsi="Arial"/>
                <w:sz w:val="18"/>
                <w:szCs w:val="18"/>
                <w:color w:val="auto"/>
              </w:rPr>
              <w:t>Impact of currency exchange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13,635</w:t>
            </w:r>
          </w:p>
        </w:tc>
      </w:tr>
      <w:tr>
        <w:trPr>
          <w:trHeight w:val="20"/>
        </w:trPr>
        <w:tc>
          <w:tcPr>
            <w:tcW w:w="5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 December 26, 2020</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252,304</w:t>
            </w:r>
          </w:p>
        </w:tc>
      </w:tr>
      <w:tr>
        <w:trPr>
          <w:trHeight w:val="213"/>
        </w:trPr>
        <w:tc>
          <w:tcPr>
            <w:tcW w:w="5380" w:type="dxa"/>
            <w:vAlign w:val="bottom"/>
          </w:tcPr>
          <w:p>
            <w:pPr>
              <w:ind w:left="320"/>
              <w:spacing w:after="0" w:line="213" w:lineRule="exact"/>
              <w:rPr>
                <w:sz w:val="20"/>
                <w:szCs w:val="20"/>
                <w:color w:val="auto"/>
              </w:rPr>
            </w:pPr>
            <w:r>
              <w:rPr>
                <w:rFonts w:ascii="Arial" w:cs="Arial" w:eastAsia="Arial" w:hAnsi="Arial"/>
                <w:sz w:val="15"/>
                <w:szCs w:val="15"/>
                <w:color w:val="auto"/>
              </w:rPr>
              <w:t xml:space="preserve">Sale of PCB Test Business </w:t>
            </w:r>
            <w:r>
              <w:rPr>
                <w:rFonts w:ascii="Arial" w:cs="Arial" w:eastAsia="Arial" w:hAnsi="Arial"/>
                <w:sz w:val="24"/>
                <w:szCs w:val="24"/>
                <w:color w:val="auto"/>
                <w:vertAlign w:val="superscript"/>
              </w:rPr>
              <w:t>(1)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(21,899)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(21,899)</w:t>
            </w:r>
          </w:p>
        </w:tc>
      </w:tr>
      <w:tr>
        <w:trPr>
          <w:trHeight w:val="213"/>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currency exchange</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(10,933)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(10,614)</w:t>
            </w:r>
          </w:p>
        </w:tc>
      </w:tr>
      <w:tr>
        <w:trPr>
          <w:trHeight w:val="20"/>
        </w:trPr>
        <w:tc>
          <w:tcPr>
            <w:tcW w:w="5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8"/>
                <w:szCs w:val="18"/>
                <w:color w:val="auto"/>
              </w:rPr>
              <w:t>Balance December 25, 2021</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219,791</w:t>
            </w:r>
          </w:p>
        </w:tc>
        <w:tc>
          <w:tcPr>
            <w:tcW w:w="2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219,791</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640" w:right="700" w:hanging="314"/>
        <w:spacing w:after="0" w:line="25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24, 2021, we completed the sale of our PCB Test business. See Note 14, “</w:t>
      </w:r>
      <w:r>
        <w:rPr>
          <w:rFonts w:ascii="Arial" w:cs="Arial" w:eastAsia="Arial" w:hAnsi="Arial"/>
          <w:sz w:val="18"/>
          <w:szCs w:val="18"/>
          <w:i w:val="1"/>
          <w:iCs w:val="1"/>
          <w:color w:val="auto"/>
        </w:rPr>
        <w:t>Business Divestitures and Discontinued Operations</w:t>
      </w:r>
      <w:r>
        <w:rPr>
          <w:rFonts w:ascii="Arial" w:cs="Arial" w:eastAsia="Arial" w:hAnsi="Arial"/>
          <w:sz w:val="18"/>
          <w:szCs w:val="18"/>
          <w:color w:val="auto"/>
        </w:rPr>
        <w:t>” for additional information.</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December 25, 2021</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color w:val="auto"/>
              </w:rPr>
              <w:t>December 26, 2020</w:t>
            </w:r>
          </w:p>
        </w:tc>
      </w:tr>
      <w:tr>
        <w:trPr>
          <w:trHeight w:val="195"/>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Gross Carrying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Accumulated</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00" w:type="dxa"/>
            <w:vAlign w:val="bottom"/>
          </w:tcPr>
          <w:p>
            <w:pPr>
              <w:spacing w:after="0"/>
              <w:rPr>
                <w:sz w:val="19"/>
                <w:szCs w:val="19"/>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Gross Carrying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Accumulated</w:t>
            </w:r>
          </w:p>
        </w:tc>
      </w:tr>
      <w:tr>
        <w:trPr>
          <w:trHeight w:val="227"/>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3"/>
              </w:rPr>
              <w:t>Amortization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1"/>
              </w:rPr>
              <w:t>Amortization</w:t>
            </w:r>
          </w:p>
        </w:tc>
        <w:tc>
          <w:tcPr>
            <w:tcW w:w="100" w:type="dxa"/>
            <w:vAlign w:val="bottom"/>
          </w:tcPr>
          <w:p>
            <w:pPr>
              <w:spacing w:after="0"/>
              <w:rPr>
                <w:sz w:val="19"/>
                <w:szCs w:val="19"/>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229,131</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104,855</w:t>
            </w: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4.5</w:t>
            </w: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83,246</w:t>
            </w:r>
          </w:p>
        </w:tc>
      </w:tr>
      <w:tr>
        <w:trPr>
          <w:trHeight w:val="213"/>
        </w:trPr>
        <w:tc>
          <w:tcPr>
            <w:tcW w:w="2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26,189</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22,751</w:t>
            </w:r>
          </w:p>
        </w:tc>
      </w:tr>
      <w:tr>
        <w:trPr>
          <w:trHeight w:val="213"/>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7,714</w:t>
            </w: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w:t>
            </w:r>
          </w:p>
        </w:tc>
      </w:tr>
      <w:tr>
        <w:trPr>
          <w:trHeight w:val="213"/>
        </w:trPr>
        <w:tc>
          <w:tcPr>
            <w:tcW w:w="2840" w:type="dxa"/>
            <w:vAlign w:val="bottom"/>
          </w:tcPr>
          <w:p>
            <w:pPr>
              <w:spacing w:after="0"/>
              <w:rPr>
                <w:sz w:val="20"/>
                <w:szCs w:val="20"/>
                <w:color w:val="auto"/>
              </w:rPr>
            </w:pPr>
            <w:r>
              <w:rPr>
                <w:rFonts w:ascii="Arial" w:cs="Arial" w:eastAsia="Arial" w:hAnsi="Arial"/>
                <w:sz w:val="18"/>
                <w:szCs w:val="18"/>
                <w:color w:val="auto"/>
              </w:rPr>
              <w:t>Covenant not-to-compete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
        </w:trPr>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28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316,232</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138,912</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112,412</w:t>
            </w: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20"/>
        <w:spacing w:after="0" w:line="253" w:lineRule="auto"/>
        <w:rPr>
          <w:sz w:val="20"/>
          <w:szCs w:val="20"/>
          <w:color w:val="auto"/>
        </w:rPr>
      </w:pPr>
      <w:r>
        <w:rPr>
          <w:rFonts w:ascii="Arial" w:cs="Arial" w:eastAsia="Arial" w:hAnsi="Arial"/>
          <w:sz w:val="18"/>
          <w:szCs w:val="18"/>
          <w:color w:val="auto"/>
        </w:rPr>
        <w:t>The table above excludes $7.8 million of in-process technology in 2020, which has an indefinite life and is subject to impairment or future amortization as developed technology when the projects are completed. During 2021 all remaining in-process technology was completed and transferred to developed technology and began being amortized. Changes in the carrying values of purchased intangible assets presented above are a result of the impact of fluctuation in currency exchange rates and the sale of our PCB Test business.</w:t>
      </w:r>
    </w:p>
    <w:p>
      <w:pPr>
        <w:spacing w:after="0" w:line="192" w:lineRule="exact"/>
        <w:rPr>
          <w:sz w:val="20"/>
          <w:szCs w:val="20"/>
          <w:color w:val="auto"/>
        </w:rPr>
      </w:pPr>
    </w:p>
    <w:p>
      <w:pPr>
        <w:ind w:left="320"/>
        <w:spacing w:after="0" w:line="251" w:lineRule="auto"/>
        <w:rPr>
          <w:sz w:val="20"/>
          <w:szCs w:val="20"/>
          <w:color w:val="auto"/>
        </w:rPr>
      </w:pPr>
      <w:r>
        <w:rPr>
          <w:rFonts w:ascii="Arial" w:cs="Arial" w:eastAsia="Arial" w:hAnsi="Arial"/>
          <w:sz w:val="18"/>
          <w:szCs w:val="18"/>
          <w:color w:val="auto"/>
        </w:rPr>
        <w:t>We evaluate goodwill and other indefinite-lived intangible assets for impairment annually and when an event occurs, or circumstances change that indicate that the carrying value may not be recoverable. We completed our required annual goodwill and indefinite-lived intangible impairment testing as of October 1, 2021, the first day of our fourth quarter and concluded there were no impairments of goodwill within our reporting units or our indefinite-lived intangible assets at that time. Other events and changes in circumstances may also require goodwill and our indefinite-lived intangible assets to be tested for impairment between annual measurement dates.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During the first quarter of 2020, the volatility in Cohu’s stock price, the global economic downturn and business interruptions associated with the COVID-19 pandemic led us to determine that there was a triggering event related to goodwill and our indefinite-lived intangible assets. We performed an interim assessment as of March 28, 2020 and concluded there was no impairment of goodwill within our reporting units. Anticipated delays in customer adoption of certain new products under development as a result of the COVID-19 pandemic, changes to future project roadmaps and an increase in the discount rate used in developing our interim fair value estimate resulted in a $3.9 million impairment to IPR&amp;D as the carrying value exceeded fair value. During the third quarter of 2020, we became aware of additional delays in customer adoption of these new products under development leading us to re-evaluate the fair value of these projects and we determined that the carrying value exceeded the fair value and, as a result, we recorded an additional $7.3 million impairment to IPR&amp;D. For the twelve months ended December 26, 2020 total impairments recorded to IPR&amp;D projects was $11.2 million. As noted above, during the fourth quarter of 2021 we completed and transferred to developed technology our last remaining in-process technology project which was reviewed for impairment as part of this process. Due to a change in forecasted results an impairment charge of $0.1 million was recorded.</w:t>
      </w:r>
    </w:p>
    <w:p>
      <w:pPr>
        <w:spacing w:after="0" w:line="182" w:lineRule="exact"/>
        <w:rPr>
          <w:sz w:val="20"/>
          <w:szCs w:val="20"/>
          <w:color w:val="auto"/>
        </w:rPr>
      </w:pPr>
    </w:p>
    <w:p>
      <w:pPr>
        <w:ind w:left="320" w:right="120"/>
        <w:spacing w:after="0" w:line="256" w:lineRule="auto"/>
        <w:rPr>
          <w:sz w:val="20"/>
          <w:szCs w:val="20"/>
          <w:color w:val="auto"/>
        </w:rPr>
      </w:pPr>
      <w:r>
        <w:rPr>
          <w:rFonts w:ascii="Arial" w:cs="Arial" w:eastAsia="Arial" w:hAnsi="Arial"/>
          <w:sz w:val="18"/>
          <w:szCs w:val="18"/>
          <w:color w:val="auto"/>
        </w:rPr>
        <w:t>Amortization expense related to purchased intangible assets was approximately $35.4 million in 2021, $38.7 million in 2020 and $39.6 million in 2019. As of December 25, 2021, we expect amortization expense in future periods to be as follows: 2022 - $34.8 million; 2023 - $34.8 million; 2024 - $34.8 million; 2025 - $26.1 million 2026 - $19.3 million; and thereafter $27.4 million.</w:t>
      </w:r>
    </w:p>
    <w:p>
      <w:pPr>
        <w:spacing w:after="0" w:line="200" w:lineRule="exact"/>
        <w:rPr>
          <w:sz w:val="20"/>
          <w:szCs w:val="20"/>
          <w:color w:val="auto"/>
        </w:rPr>
      </w:pPr>
    </w:p>
    <w:p>
      <w:pPr>
        <w:spacing w:after="0" w:line="223"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Agreements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our borrowings as of December 25, 2021 and December 26, 2020:</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7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6"/>
          </w:tcPr>
          <w:p>
            <w:pPr>
              <w:jc w:val="right"/>
              <w:ind w:right="1180"/>
              <w:spacing w:after="0"/>
              <w:rPr>
                <w:sz w:val="20"/>
                <w:szCs w:val="20"/>
                <w:color w:val="auto"/>
              </w:rPr>
            </w:pPr>
            <w:r>
              <w:rPr>
                <w:rFonts w:ascii="Arial" w:cs="Arial" w:eastAsia="Arial" w:hAnsi="Arial"/>
                <w:sz w:val="18"/>
                <w:szCs w:val="18"/>
                <w:color w:val="auto"/>
              </w:rPr>
              <w:t>Fiscal year ended</w:t>
            </w:r>
          </w:p>
        </w:tc>
      </w:tr>
      <w:tr>
        <w:trPr>
          <w:trHeight w:val="208"/>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7"/>
              </w:rPr>
              <w:t>December 25, 2021</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December 26, 2020</w:t>
            </w:r>
          </w:p>
        </w:tc>
        <w:tc>
          <w:tcPr>
            <w:tcW w:w="120" w:type="dxa"/>
            <w:vAlign w:val="bottom"/>
          </w:tcPr>
          <w:p>
            <w:pPr>
              <w:spacing w:after="0"/>
              <w:rPr>
                <w:sz w:val="18"/>
                <w:szCs w:val="18"/>
                <w:color w:val="auto"/>
              </w:rPr>
            </w:pPr>
          </w:p>
        </w:tc>
      </w:tr>
      <w:tr>
        <w:trPr>
          <w:trHeight w:val="20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Bank term loan under credit agreement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306,630</w:t>
            </w:r>
          </w:p>
        </w:tc>
      </w:tr>
      <w:tr>
        <w:trPr>
          <w:trHeight w:val="213"/>
        </w:trPr>
        <w:tc>
          <w:tcPr>
            <w:tcW w:w="7180" w:type="dxa"/>
            <w:vAlign w:val="bottom"/>
          </w:tcPr>
          <w:p>
            <w:pPr>
              <w:spacing w:after="0"/>
              <w:rPr>
                <w:sz w:val="20"/>
                <w:szCs w:val="20"/>
                <w:color w:val="auto"/>
              </w:rPr>
            </w:pPr>
            <w:r>
              <w:rPr>
                <w:rFonts w:ascii="Arial" w:cs="Arial" w:eastAsia="Arial" w:hAnsi="Arial"/>
                <w:sz w:val="18"/>
                <w:szCs w:val="18"/>
                <w:color w:val="auto"/>
              </w:rPr>
              <w:t>Bank term loans-Kita</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r>
      <w:tr>
        <w:trPr>
          <w:trHeight w:val="213"/>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loan-Cohu GmbH</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9,902</w:t>
            </w:r>
          </w:p>
        </w:tc>
      </w:tr>
      <w:tr>
        <w:trPr>
          <w:trHeight w:val="213"/>
        </w:trPr>
        <w:tc>
          <w:tcPr>
            <w:tcW w:w="7180" w:type="dxa"/>
            <w:vAlign w:val="bottom"/>
          </w:tcPr>
          <w:p>
            <w:pPr>
              <w:spacing w:after="0"/>
              <w:rPr>
                <w:sz w:val="20"/>
                <w:szCs w:val="20"/>
                <w:color w:val="auto"/>
              </w:rPr>
            </w:pPr>
            <w:r>
              <w:rPr>
                <w:rFonts w:ascii="Arial" w:cs="Arial" w:eastAsia="Arial" w:hAnsi="Arial"/>
                <w:sz w:val="18"/>
                <w:szCs w:val="18"/>
                <w:color w:val="auto"/>
              </w:rPr>
              <w:t>Lines of credit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5,314</w:t>
            </w:r>
          </w:p>
        </w:tc>
      </w:tr>
      <w:tr>
        <w:trPr>
          <w:trHeight w:val="20"/>
        </w:trPr>
        <w:tc>
          <w:tcPr>
            <w:tcW w:w="7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325,508</w:t>
            </w:r>
          </w:p>
        </w:tc>
      </w:tr>
      <w:tr>
        <w:trPr>
          <w:trHeight w:val="213"/>
        </w:trPr>
        <w:tc>
          <w:tcPr>
            <w:tcW w:w="7180" w:type="dxa"/>
            <w:vAlign w:val="bottom"/>
          </w:tcPr>
          <w:p>
            <w:pPr>
              <w:spacing w:after="0"/>
              <w:rPr>
                <w:sz w:val="20"/>
                <w:szCs w:val="20"/>
                <w:color w:val="auto"/>
              </w:rPr>
            </w:pPr>
            <w:r>
              <w:rPr>
                <w:rFonts w:ascii="Arial" w:cs="Arial" w:eastAsia="Arial" w:hAnsi="Arial"/>
                <w:sz w:val="18"/>
                <w:szCs w:val="18"/>
                <w:color w:val="auto"/>
              </w:rPr>
              <w:t>Less: financing fees and discount</w:t>
            </w:r>
          </w:p>
        </w:tc>
        <w:tc>
          <w:tcPr>
            <w:tcW w:w="8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(5,568)</w:t>
            </w:r>
          </w:p>
        </w:tc>
      </w:tr>
      <w:tr>
        <w:trPr>
          <w:trHeight w:val="213"/>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(8,389)</w:t>
            </w:r>
          </w:p>
        </w:tc>
      </w:tr>
      <w:tr>
        <w:trPr>
          <w:trHeight w:val="20"/>
        </w:trPr>
        <w:tc>
          <w:tcPr>
            <w:tcW w:w="7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7180" w:type="dxa"/>
            <w:vAlign w:val="bottom"/>
          </w:tcPr>
          <w:p>
            <w:pPr>
              <w:ind w:left="160"/>
              <w:spacing w:after="0"/>
              <w:rPr>
                <w:sz w:val="20"/>
                <w:szCs w:val="20"/>
                <w:color w:val="auto"/>
              </w:rPr>
            </w:pPr>
            <w:r>
              <w:rPr>
                <w:rFonts w:ascii="Arial" w:cs="Arial" w:eastAsia="Arial" w:hAnsi="Arial"/>
                <w:sz w:val="18"/>
                <w:szCs w:val="18"/>
                <w:color w:val="auto"/>
              </w:rPr>
              <w:t>Total long-term debt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103,393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311,551</w:t>
            </w:r>
          </w:p>
        </w:tc>
      </w:tr>
      <w:tr>
        <w:trPr>
          <w:trHeight w:val="20"/>
        </w:trPr>
        <w:tc>
          <w:tcPr>
            <w:tcW w:w="7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debt principal payments, excluding financing lease obligations, for the next five years and thereafter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14,795</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2023</w:t>
            </w:r>
          </w:p>
        </w:tc>
        <w:tc>
          <w:tcPr>
            <w:tcW w:w="3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4,751</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2025</w:t>
            </w:r>
          </w:p>
        </w:tc>
        <w:tc>
          <w:tcPr>
            <w:tcW w:w="3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86,892</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8"/>
                <w:szCs w:val="18"/>
                <w:color w:val="auto"/>
              </w:rPr>
            </w:pPr>
          </w:p>
        </w:tc>
      </w:tr>
      <w:tr>
        <w:trPr>
          <w:trHeight w:val="22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119,304</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October 1, 2018, we entered into a Credit Agreement providing for a $350.0 million Term Loan Credit Facility and borrowed the full amount to</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finance a portion of the Xcerra acquisition. Loans under the Term Loan Credit Facility amortize in equal quarterly installments of 0.25% of the original</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principal amount, with the balance payable at maturity. All outstanding principal and interest in respect of the Term Loan Credit Facility must be repaid</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or before October 1, 2025. The loans under the Term Loan Credit Facility bear interest, at Cohu’s option, at a floating annual rate equal to LIBOR</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plus a margin of 3.00%. At December 25, 2021, the outstanding loan balance, net of discount and deferred financing costs, was $101.6 million and</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 million of the outstanding balance is presented as current installments of long-term debt in our consolidated balance sheets. At December 26, 2020,</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outstanding loan balance, net of discount and deferred financing costs, was $301.1 million and $2.4 million of the outstanding balance is presented as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current installments of long-term debt in our consolidated balance sheets. As of December 25, 2021, the fair value of the debt was $102.7 million. The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measurement of the fair value of debt is based on the average of the bid and ask trading quotes as of December 25, 2021 and is considered a Level 2 fair</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value measurement.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60"/>
        <w:spacing w:after="0" w:line="250" w:lineRule="auto"/>
        <w:rPr>
          <w:sz w:val="20"/>
          <w:szCs w:val="20"/>
          <w:color w:val="auto"/>
        </w:rPr>
      </w:pPr>
      <w:r>
        <w:rPr>
          <w:rFonts w:ascii="Arial" w:cs="Arial" w:eastAsia="Arial" w:hAnsi="Arial"/>
          <w:sz w:val="18"/>
          <w:szCs w:val="18"/>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25, 2021, we believe no such events of default have occurred.</w:t>
      </w:r>
    </w:p>
    <w:p>
      <w:pPr>
        <w:spacing w:after="0" w:line="197" w:lineRule="exact"/>
        <w:rPr>
          <w:sz w:val="20"/>
          <w:szCs w:val="20"/>
          <w:color w:val="auto"/>
        </w:rPr>
      </w:pPr>
    </w:p>
    <w:p>
      <w:pPr>
        <w:ind w:left="320" w:right="140"/>
        <w:spacing w:after="0" w:line="267" w:lineRule="auto"/>
        <w:rPr>
          <w:sz w:val="20"/>
          <w:szCs w:val="20"/>
          <w:color w:val="auto"/>
        </w:rPr>
      </w:pPr>
      <w:r>
        <w:rPr>
          <w:rFonts w:ascii="Arial" w:cs="Arial" w:eastAsia="Arial" w:hAnsi="Arial"/>
          <w:sz w:val="17"/>
          <w:szCs w:val="17"/>
          <w:color w:val="auto"/>
        </w:rPr>
        <w:t>During 2021 we prepaid $200.0 million in principal of our Term Loan Credit Facility for $200.0 million in cash. We accounted for the prepayment as a debt extinguishment, which resulted in a loss of $3.4 million reflected in other expense, net, in our consolidated statement of operations and a corresponding $3.4 million reduction in debt discounts and deferred financing costs in our consolidated balance sheets. During 2020 we repurchased $36.4 million in principal of our Term Loan Credit Facility for $35.4 million in cash. We accounted for the repurchase as a debt extinguishment, which resulted in a gain of $0.3 million reflected in other expense, net, in our consolidated statement of operations, as well as a $0.7 million reduction in debt discounts and deferred financing costs in our consolidated balance sheets. Approximately $103.1 million in principal of the Term Loan Credit Facility remains outstanding as of December 25, 2021.</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19" w:lineRule="exact"/>
        <w:rPr>
          <w:sz w:val="20"/>
          <w:szCs w:val="20"/>
          <w:color w:val="auto"/>
        </w:rPr>
      </w:pPr>
    </w:p>
    <w:p>
      <w:pPr>
        <w:ind w:left="320" w:right="60"/>
        <w:spacing w:after="0" w:line="250" w:lineRule="auto"/>
        <w:rPr>
          <w:sz w:val="20"/>
          <w:szCs w:val="20"/>
          <w:color w:val="auto"/>
        </w:rPr>
      </w:pPr>
      <w:r>
        <w:rPr>
          <w:rFonts w:ascii="Arial" w:cs="Arial" w:eastAsia="Arial" w:hAnsi="Arial"/>
          <w:sz w:val="18"/>
          <w:szCs w:val="18"/>
          <w:color w:val="auto"/>
        </w:rPr>
        <w:t>We have a series of term loans with Japanese financial institutions primarily related to the expansion of our facility in Osaka, Japan. The loans are collateralized by the facility and land, carry interest rates ranging from 0.05% to 0.43%, and expire at various dates through 2034. At December 25, 2021, the outstanding loan balance was $3.1 million and $0.2 million of the outstanding balance is presented as current installments of long-term debt in our consolidated balance sheets. At December 26, 2020, the outstanding loan balance was $3.6 million and $0.3 million of the outstanding balance is presented as current installments of long-term debt in our consolidated balance sheets. The fair value of the debt approximates the carrying value at December 25,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term loans are denominated in Japanese Yen and, as a result, amounts disclosed herein will fluctuate because of changes in currency exchange rates.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19"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color w:val="auto"/>
        </w:rPr>
        <w:t>In July 2019 and June 2020, one of our wholly owned subsidiaries located in Germany entered into a series of construction loans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92" w:lineRule="exact"/>
        <w:rPr>
          <w:sz w:val="20"/>
          <w:szCs w:val="20"/>
          <w:color w:val="auto"/>
        </w:rPr>
      </w:pPr>
    </w:p>
    <w:p>
      <w:pPr>
        <w:ind w:left="320"/>
        <w:spacing w:after="0" w:line="290" w:lineRule="auto"/>
        <w:rPr>
          <w:sz w:val="20"/>
          <w:szCs w:val="20"/>
          <w:color w:val="auto"/>
        </w:rPr>
      </w:pPr>
      <w:r>
        <w:rPr>
          <w:rFonts w:ascii="Arial" w:cs="Arial" w:eastAsia="Arial" w:hAnsi="Arial"/>
          <w:sz w:val="16"/>
          <w:szCs w:val="16"/>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€1.5 million, of which €0.9 million is drawn, is payable over 10 years at an annual interest rate of 1.2%. Principal and interest payments are due each month over the duration of the facility ending in May 2030.</w:t>
      </w:r>
    </w:p>
    <w:p>
      <w:pPr>
        <w:spacing w:after="0" w:line="166"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color w:val="auto"/>
        </w:rPr>
        <w:t>At December 25, 2021, total outstanding borrowings under the Loan Facilities was $10.0 million with $1.0 million of the total outstanding balance being presented as current installments of long-term debt in our consolidated balance sheets. At December 26, 2020, total outstanding borrowings under the Loan Facilities was $9.9 million with $0.4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25, 2021.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19" w:lineRule="exact"/>
        <w:rPr>
          <w:sz w:val="20"/>
          <w:szCs w:val="20"/>
          <w:color w:val="auto"/>
        </w:rPr>
      </w:pPr>
    </w:p>
    <w:p>
      <w:pPr>
        <w:ind w:left="320" w:right="160"/>
        <w:spacing w:after="0" w:line="273" w:lineRule="auto"/>
        <w:rPr>
          <w:sz w:val="20"/>
          <w:szCs w:val="20"/>
          <w:color w:val="auto"/>
        </w:rPr>
      </w:pPr>
      <w:r>
        <w:rPr>
          <w:rFonts w:ascii="Arial" w:cs="Arial" w:eastAsia="Arial" w:hAnsi="Arial"/>
          <w:sz w:val="17"/>
          <w:szCs w:val="17"/>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350 million Japanese Yen is drawn. At December 25, 2021, total borrowings outstanding under the revolving lines of credit were $3.1 million. As these credit facility agreements renew monthly, they have been included in short-term borrowings in our consolidated balance sheets.</w:t>
      </w:r>
    </w:p>
    <w:p>
      <w:pPr>
        <w:spacing w:after="0" w:line="176" w:lineRule="exact"/>
        <w:rPr>
          <w:sz w:val="20"/>
          <w:szCs w:val="20"/>
          <w:color w:val="auto"/>
        </w:rPr>
      </w:pPr>
    </w:p>
    <w:p>
      <w:pPr>
        <w:ind w:left="320" w:right="320"/>
        <w:spacing w:after="0" w:line="266"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80" w:lineRule="exact"/>
        <w:rPr>
          <w:sz w:val="20"/>
          <w:szCs w:val="20"/>
          <w:color w:val="auto"/>
        </w:rPr>
      </w:pPr>
    </w:p>
    <w:p>
      <w:pPr>
        <w:ind w:left="320" w:right="260"/>
        <w:spacing w:after="0" w:line="330" w:lineRule="auto"/>
        <w:rPr>
          <w:sz w:val="20"/>
          <w:szCs w:val="20"/>
          <w:color w:val="auto"/>
        </w:rPr>
      </w:pPr>
      <w:r>
        <w:rPr>
          <w:rFonts w:ascii="Arial" w:cs="Arial" w:eastAsia="Arial" w:hAnsi="Arial"/>
          <w:sz w:val="16"/>
          <w:szCs w:val="16"/>
          <w:color w:val="auto"/>
        </w:rPr>
        <w:t>Our wholly owned subsidiary in Switzerland has one available line of credit which provides borrowings of up to a total of 2.0 million Swiss Francs, a portion of which is reserved for tax guarantees. At December 25, 2021, and December 26, 2020, no amounts were outstanding under this line of credit.</w:t>
      </w:r>
    </w:p>
    <w:p>
      <w:pPr>
        <w:spacing w:after="0" w:line="367" w:lineRule="exact"/>
        <w:rPr>
          <w:sz w:val="20"/>
          <w:szCs w:val="20"/>
          <w:color w:val="auto"/>
        </w:rPr>
      </w:pPr>
    </w:p>
    <w:p>
      <w:pPr>
        <w:ind w:left="320" w:hanging="314"/>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4" w:lineRule="exact"/>
        <w:rPr>
          <w:rFonts w:ascii="Arial" w:cs="Arial" w:eastAsia="Arial" w:hAnsi="Arial"/>
          <w:sz w:val="18"/>
          <w:szCs w:val="18"/>
          <w:b w:val="1"/>
          <w:bCs w:val="1"/>
          <w:color w:val="auto"/>
        </w:rPr>
      </w:pPr>
    </w:p>
    <w:p>
      <w:pPr>
        <w:ind w:left="320"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Xcerra, during the fourth quarter of 2018, we began a strategic restructuring program designed to reposition our organization and improve our cost structure as part of our targeted integration plan regarding the recently acquired Xcerra (“Integration Program”). As part of the Integration Program we consolidated our global handler and contactor manufacturing operations and closed our manufacturing operations in Penang, Malaysia and Fontana, California in 2019.</w:t>
      </w:r>
    </w:p>
    <w:p>
      <w:pPr>
        <w:spacing w:after="0" w:line="192" w:lineRule="exact"/>
        <w:rPr>
          <w:rFonts w:ascii="Arial" w:cs="Arial" w:eastAsia="Arial" w:hAnsi="Arial"/>
          <w:sz w:val="18"/>
          <w:szCs w:val="18"/>
          <w:b w:val="1"/>
          <w:bCs w:val="1"/>
          <w:color w:val="auto"/>
        </w:rPr>
      </w:pPr>
    </w:p>
    <w:p>
      <w:pPr>
        <w:ind w:left="320" w:right="1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2019, we began the Integration Program of our German operations and entered a social plan with the German labor organization representing certain of the employees of our wholly owned subsidiary, Multitest elektronische Systeme GmbH. During the fourth quarter of 2020 we implemented a voluntary program and termination agreements with certain employees of our wholly owned subsidiary, Cohu GmbH. These programs collectively reduced headcount, enabled us to consolidate the facilities of our multiple operations located near Kolbermoor and Rosenheim, Germany, as well as transitioned certain manufacturing to other lower cost regions. The facility consolidations and reduction in force programs were implemented as part of a comprehensive review of our operations and are intended to streamline and reduce our operating cost structure and capitalize on acquisition synergies.</w:t>
      </w:r>
    </w:p>
    <w:p>
      <w:pPr>
        <w:spacing w:after="0" w:line="166" w:lineRule="exact"/>
        <w:rPr>
          <w:rFonts w:ascii="Arial" w:cs="Arial" w:eastAsia="Arial" w:hAnsi="Arial"/>
          <w:sz w:val="18"/>
          <w:szCs w:val="18"/>
          <w:b w:val="1"/>
          <w:bCs w:val="1"/>
          <w:color w:val="auto"/>
        </w:rPr>
      </w:pPr>
    </w:p>
    <w:p>
      <w:pPr>
        <w:ind w:left="32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As a result of the activities described above, we recognized total pretax charges of $1.3 million, $11.4 million and $16.2 million for the years ended December 25, 2021, December 26, 2020 and December 28, 2019, respectively, that are within the scope of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w:t>
      </w:r>
    </w:p>
    <w:p>
      <w:pPr>
        <w:spacing w:after="0" w:line="18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All costs of the Integration Program were, and are expected to be, incurred by our Semiconductor Test &amp; Inspection segment.</w:t>
      </w:r>
    </w:p>
    <w:p>
      <w:pPr>
        <w:spacing w:after="0" w:line="219" w:lineRule="exact"/>
        <w:rPr>
          <w:sz w:val="20"/>
          <w:szCs w:val="20"/>
          <w:color w:val="auto"/>
        </w:rPr>
      </w:pPr>
    </w:p>
    <w:p>
      <w:pPr>
        <w:ind w:left="320" w:right="440"/>
        <w:spacing w:after="0" w:line="266" w:lineRule="auto"/>
        <w:rPr>
          <w:sz w:val="20"/>
          <w:szCs w:val="20"/>
          <w:color w:val="auto"/>
        </w:rPr>
      </w:pPr>
      <w:r>
        <w:rPr>
          <w:rFonts w:ascii="Arial" w:cs="Arial" w:eastAsia="Arial" w:hAnsi="Arial"/>
          <w:sz w:val="18"/>
          <w:szCs w:val="18"/>
          <w:color w:val="auto"/>
        </w:rPr>
        <w:t xml:space="preserve">Charges related to the Integration Program for the years ended December 25, 2021, December 26, 2020 and December 28,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costs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6,485</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Inventory related charges (adjustments)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3,731</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restructuring costs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11,354</w:t>
            </w:r>
          </w:p>
        </w:tc>
        <w:tc>
          <w:tcPr>
            <w:tcW w:w="20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20" w:right="120"/>
        <w:spacing w:after="0" w:line="253" w:lineRule="auto"/>
        <w:rPr>
          <w:sz w:val="20"/>
          <w:szCs w:val="20"/>
          <w:color w:val="auto"/>
        </w:rPr>
      </w:pPr>
      <w:r>
        <w:rPr>
          <w:rFonts w:ascii="Arial" w:cs="Arial" w:eastAsia="Arial" w:hAnsi="Arial"/>
          <w:sz w:val="18"/>
          <w:szCs w:val="18"/>
          <w:color w:val="auto"/>
        </w:rPr>
        <w:t>Costs associated with restructuring activities are presented in our consolidated statements of operations as restructuring charges, except for certain costs associated with inventory charges related to the decision to end manufacturing of certain of Xcerra’s semiconductor test handler products, which are classified within cost of sales. Other restructuring costs include expenses for professional fees associated with employee severance, impairments of fixed assets and facility closure costs.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127"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200"/>
        <w:spacing w:after="0" w:line="266" w:lineRule="auto"/>
        <w:rPr>
          <w:sz w:val="20"/>
          <w:szCs w:val="20"/>
          <w:color w:val="auto"/>
        </w:rPr>
      </w:pPr>
      <w:r>
        <w:rPr>
          <w:rFonts w:ascii="Arial" w:cs="Arial" w:eastAsia="Arial" w:hAnsi="Arial"/>
          <w:sz w:val="18"/>
          <w:szCs w:val="18"/>
          <w:color w:val="auto"/>
        </w:rPr>
        <w:t xml:space="preserve">The following table summarizes the activity within the restructuring related accounts for the Integration Program during the years ended December 25, 2021 and December 26,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color w:val="auto"/>
                <w:w w:val="99"/>
              </w:rPr>
              <w:t>Employee Severance</w:t>
            </w:r>
          </w:p>
        </w:tc>
        <w:tc>
          <w:tcPr>
            <w:tcW w:w="140" w:type="dxa"/>
            <w:vAlign w:val="bottom"/>
          </w:tcPr>
          <w:p>
            <w:pPr>
              <w:spacing w:after="0"/>
              <w:rPr>
                <w:sz w:val="19"/>
                <w:szCs w:val="19"/>
                <w:color w:val="auto"/>
              </w:rPr>
            </w:pPr>
          </w:p>
        </w:tc>
        <w:tc>
          <w:tcPr>
            <w:tcW w:w="1900" w:type="dxa"/>
            <w:vAlign w:val="bottom"/>
            <w:gridSpan w:val="3"/>
          </w:tcPr>
          <w:p>
            <w:pPr>
              <w:jc w:val="right"/>
              <w:ind w:right="680"/>
              <w:spacing w:after="0"/>
              <w:rPr>
                <w:sz w:val="20"/>
                <w:szCs w:val="20"/>
                <w:color w:val="auto"/>
              </w:rPr>
            </w:pPr>
            <w:r>
              <w:rPr>
                <w:rFonts w:ascii="Arial" w:cs="Arial" w:eastAsia="Arial" w:hAnsi="Arial"/>
                <w:sz w:val="18"/>
                <w:szCs w:val="18"/>
                <w:color w:val="auto"/>
                <w:w w:val="91"/>
              </w:rPr>
              <w:t>Other Exit Costs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r>
      <w:tr>
        <w:trPr>
          <w:trHeight w:val="207"/>
        </w:trPr>
        <w:tc>
          <w:tcPr>
            <w:tcW w:w="50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2019</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r>
      <w:tr>
        <w:trPr>
          <w:trHeight w:val="213"/>
        </w:trPr>
        <w:tc>
          <w:tcPr>
            <w:tcW w:w="506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6,485</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7,623</w:t>
            </w:r>
          </w:p>
        </w:tc>
      </w:tr>
      <w:tr>
        <w:trPr>
          <w:trHeight w:val="21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(3,193)</w:t>
            </w:r>
          </w:p>
        </w:tc>
      </w:tr>
      <w:tr>
        <w:trPr>
          <w:trHeight w:val="213"/>
        </w:trPr>
        <w:tc>
          <w:tcPr>
            <w:tcW w:w="50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r>
      <w:tr>
        <w:trPr>
          <w:trHeight w:val="20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5,826</w:t>
            </w:r>
          </w:p>
        </w:tc>
      </w:tr>
      <w:tr>
        <w:trPr>
          <w:trHeight w:val="213"/>
        </w:trPr>
        <w:tc>
          <w:tcPr>
            <w:tcW w:w="5060" w:type="dxa"/>
            <w:vAlign w:val="bottom"/>
          </w:tcPr>
          <w:p>
            <w:pPr>
              <w:ind w:left="160"/>
              <w:spacing w:after="0"/>
              <w:rPr>
                <w:sz w:val="20"/>
                <w:szCs w:val="20"/>
                <w:color w:val="auto"/>
              </w:rPr>
            </w:pPr>
            <w:r>
              <w:rPr>
                <w:rFonts w:ascii="Arial" w:cs="Arial" w:eastAsia="Arial" w:hAnsi="Arial"/>
                <w:sz w:val="18"/>
                <w:szCs w:val="18"/>
                <w:color w:val="auto"/>
              </w:rPr>
              <w:t>Costs accrued</w:t>
            </w: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1,823</w:t>
            </w:r>
          </w:p>
        </w:tc>
      </w:tr>
      <w:tr>
        <w:trPr>
          <w:trHeight w:val="21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paid or charged</w:t>
            </w: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(6,545)</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(7,207)</w:t>
            </w:r>
          </w:p>
        </w:tc>
      </w:tr>
      <w:tr>
        <w:trPr>
          <w:trHeight w:val="213"/>
        </w:trPr>
        <w:tc>
          <w:tcPr>
            <w:tcW w:w="50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0"/>
        </w:trPr>
        <w:tc>
          <w:tcPr>
            <w:tcW w:w="5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2021</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140"/>
        <w:spacing w:after="0" w:line="303" w:lineRule="auto"/>
        <w:rPr>
          <w:sz w:val="20"/>
          <w:szCs w:val="20"/>
          <w:color w:val="auto"/>
        </w:rPr>
      </w:pPr>
      <w:r>
        <w:rPr>
          <w:rFonts w:ascii="Arial" w:cs="Arial" w:eastAsia="Arial" w:hAnsi="Arial"/>
          <w:sz w:val="16"/>
          <w:szCs w:val="16"/>
          <w:color w:val="auto"/>
        </w:rPr>
        <w:t>At December 25, 2021, our total accrual for restructuring related items is reflected within current liabilities in our consolidated balance sheets as these amounts are expected to be paid out in 2022. The estimated costs associated with the employee severance and facility consolidation actions will be paid predominantly in cash. All amounts accrued related to inventory will remain in our consolidated balance sheet until it is scrapped.</w:t>
      </w:r>
    </w:p>
    <w:p>
      <w:pPr>
        <w:spacing w:after="0" w:line="389"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4" w:lineRule="exact"/>
        <w:rPr>
          <w:rFonts w:ascii="Arial" w:cs="Arial" w:eastAsia="Arial" w:hAnsi="Arial"/>
          <w:sz w:val="18"/>
          <w:szCs w:val="18"/>
          <w:b w:val="1"/>
          <w:bCs w:val="1"/>
          <w:color w:val="auto"/>
        </w:rPr>
      </w:pPr>
    </w:p>
    <w:p>
      <w:pPr>
        <w:ind w:left="320" w:right="3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92" w:lineRule="exact"/>
        <w:rPr>
          <w:rFonts w:ascii="Arial" w:cs="Arial" w:eastAsia="Arial" w:hAnsi="Arial"/>
          <w:sz w:val="18"/>
          <w:szCs w:val="18"/>
          <w:b w:val="1"/>
          <w:bCs w:val="1"/>
          <w:color w:val="auto"/>
        </w:rPr>
      </w:pPr>
    </w:p>
    <w:p>
      <w:pPr>
        <w:ind w:left="320" w:right="40"/>
        <w:spacing w:after="0" w:line="348" w:lineRule="auto"/>
        <w:rPr>
          <w:rFonts w:ascii="Arial" w:cs="Arial" w:eastAsia="Arial" w:hAnsi="Arial"/>
          <w:sz w:val="18"/>
          <w:szCs w:val="18"/>
          <w:b w:val="1"/>
          <w:bCs w:val="1"/>
          <w:color w:val="auto"/>
        </w:rPr>
      </w:pPr>
      <w:r>
        <w:rPr>
          <w:rFonts w:ascii="Arial" w:cs="Arial" w:eastAsia="Arial" w:hAnsi="Arial"/>
          <w:sz w:val="14"/>
          <w:szCs w:val="14"/>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3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8"/>
                <w:szCs w:val="18"/>
                <w:color w:val="auto"/>
              </w:rPr>
              <w:t>At December 25, 2021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51"/>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left="93"/>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Amortized</w:t>
            </w:r>
          </w:p>
        </w:tc>
        <w:tc>
          <w:tcPr>
            <w:tcW w:w="1040" w:type="dxa"/>
            <w:vAlign w:val="bottom"/>
          </w:tcPr>
          <w:p>
            <w:pPr>
              <w:jc w:val="center"/>
              <w:ind w:left="51"/>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93"/>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r>
      <w:tr>
        <w:trPr>
          <w:trHeight w:val="225"/>
        </w:trPr>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center"/>
              <w:ind w:left="93"/>
              <w:spacing w:after="0" w:line="225" w:lineRule="exact"/>
              <w:rPr>
                <w:sz w:val="20"/>
                <w:szCs w:val="20"/>
                <w:color w:val="auto"/>
              </w:rPr>
            </w:pPr>
            <w:r>
              <w:rPr>
                <w:rFonts w:ascii="Arial" w:cs="Arial" w:eastAsia="Arial" w:hAnsi="Arial"/>
                <w:sz w:val="16"/>
                <w:szCs w:val="16"/>
                <w:color w:val="auto"/>
                <w:w w:val="91"/>
              </w:rPr>
              <w:t xml:space="preserve">Losses </w:t>
            </w:r>
            <w:r>
              <w:rPr>
                <w:rFonts w:ascii="Arial" w:cs="Arial" w:eastAsia="Arial" w:hAnsi="Arial"/>
                <w:sz w:val="26"/>
                <w:szCs w:val="26"/>
                <w:color w:val="auto"/>
                <w:w w:val="91"/>
                <w:vertAlign w:val="superscript"/>
              </w:rPr>
              <w:t>(1)</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80" w:type="dxa"/>
            <w:vAlign w:val="bottom"/>
          </w:tcPr>
          <w:p>
            <w:pPr>
              <w:spacing w:after="0"/>
              <w:rPr>
                <w:sz w:val="17"/>
                <w:szCs w:val="17"/>
                <w:color w:val="auto"/>
              </w:rPr>
            </w:pPr>
          </w:p>
        </w:tc>
        <w:tc>
          <w:tcPr>
            <w:tcW w:w="356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Corporate debt securities </w:t>
            </w:r>
            <w:r>
              <w:rPr>
                <w:rFonts w:ascii="Arial" w:cs="Arial" w:eastAsia="Arial" w:hAnsi="Arial"/>
                <w:sz w:val="23"/>
                <w:szCs w:val="23"/>
                <w:color w:val="auto"/>
                <w:vertAlign w:val="superscript"/>
              </w:rPr>
              <w:t>(2)</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84,060</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84,031</w:t>
            </w: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89,738</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89,704</w:t>
            </w:r>
          </w:p>
        </w:tc>
        <w:tc>
          <w:tcPr>
            <w:tcW w:w="10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4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4"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8"/>
                <w:szCs w:val="18"/>
                <w:color w:val="auto"/>
              </w:rPr>
              <w:t>At December 26, 2020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5"/>
        </w:trPr>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51"/>
              <w:spacing w:after="0" w:line="195" w:lineRule="exact"/>
              <w:rPr>
                <w:sz w:val="20"/>
                <w:szCs w:val="20"/>
                <w:color w:val="auto"/>
              </w:rPr>
            </w:pPr>
            <w:r>
              <w:rPr>
                <w:rFonts w:ascii="Arial" w:cs="Arial" w:eastAsia="Arial" w:hAnsi="Arial"/>
                <w:sz w:val="18"/>
                <w:szCs w:val="18"/>
                <w:color w:val="auto"/>
                <w:w w:val="83"/>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54"/>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89"/>
              </w:rPr>
              <w:t>Estimated</w:t>
            </w:r>
          </w:p>
        </w:tc>
        <w:tc>
          <w:tcPr>
            <w:tcW w:w="12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Amortized</w:t>
            </w:r>
          </w:p>
        </w:tc>
        <w:tc>
          <w:tcPr>
            <w:tcW w:w="1060" w:type="dxa"/>
            <w:vAlign w:val="bottom"/>
          </w:tcPr>
          <w:p>
            <w:pPr>
              <w:jc w:val="center"/>
              <w:ind w:left="51"/>
              <w:spacing w:after="0"/>
              <w:rPr>
                <w:sz w:val="20"/>
                <w:szCs w:val="20"/>
                <w:color w:val="auto"/>
              </w:rPr>
            </w:pPr>
            <w:r>
              <w:rPr>
                <w:rFonts w:ascii="Arial" w:cs="Arial" w:eastAsia="Arial" w:hAnsi="Arial"/>
                <w:sz w:val="18"/>
                <w:szCs w:val="18"/>
                <w:color w:val="auto"/>
                <w:w w:val="8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54"/>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25"/>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w w:val="84"/>
              </w:rPr>
              <w:t>Gains</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ind w:left="54"/>
              <w:spacing w:after="0" w:line="225" w:lineRule="exact"/>
              <w:rPr>
                <w:sz w:val="20"/>
                <w:szCs w:val="20"/>
                <w:color w:val="auto"/>
              </w:rPr>
            </w:pPr>
            <w:r>
              <w:rPr>
                <w:rFonts w:ascii="Arial" w:cs="Arial" w:eastAsia="Arial" w:hAnsi="Arial"/>
                <w:sz w:val="16"/>
                <w:szCs w:val="16"/>
                <w:color w:val="auto"/>
                <w:w w:val="91"/>
              </w:rPr>
              <w:t xml:space="preserve">Losses </w:t>
            </w:r>
            <w:r>
              <w:rPr>
                <w:rFonts w:ascii="Arial" w:cs="Arial" w:eastAsia="Arial" w:hAnsi="Arial"/>
                <w:sz w:val="26"/>
                <w:szCs w:val="26"/>
                <w:color w:val="auto"/>
                <w:w w:val="91"/>
                <w:vertAlign w:val="superscript"/>
              </w:rPr>
              <w:t>(1)</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19"/>
                <w:szCs w:val="19"/>
                <w:color w:val="auto"/>
              </w:rPr>
            </w:pPr>
          </w:p>
        </w:tc>
      </w:tr>
      <w:tr>
        <w:trPr>
          <w:trHeight w:val="206"/>
        </w:trPr>
        <w:tc>
          <w:tcPr>
            <w:tcW w:w="160" w:type="dxa"/>
            <w:vAlign w:val="bottom"/>
          </w:tcPr>
          <w:p>
            <w:pPr>
              <w:spacing w:after="0"/>
              <w:rPr>
                <w:sz w:val="17"/>
                <w:szCs w:val="17"/>
                <w:color w:val="auto"/>
              </w:rPr>
            </w:pPr>
          </w:p>
        </w:tc>
        <w:tc>
          <w:tcPr>
            <w:tcW w:w="5100" w:type="dxa"/>
            <w:vAlign w:val="bottom"/>
            <w:gridSpan w:val="2"/>
            <w:shd w:val="clear" w:color="auto" w:fill="CCEEFF"/>
          </w:tcPr>
          <w:p>
            <w:pPr>
              <w:spacing w:after="0" w:line="207" w:lineRule="exact"/>
              <w:rPr>
                <w:sz w:val="20"/>
                <w:szCs w:val="20"/>
                <w:color w:val="auto"/>
              </w:rPr>
            </w:pPr>
            <w:r>
              <w:rPr>
                <w:rFonts w:ascii="Arial" w:cs="Arial" w:eastAsia="Arial" w:hAnsi="Arial"/>
                <w:sz w:val="15"/>
                <w:szCs w:val="15"/>
                <w:color w:val="auto"/>
              </w:rPr>
              <w:t xml:space="preserve">Corporate debt securities </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14,944</w:t>
            </w:r>
          </w:p>
        </w:tc>
      </w:tr>
      <w:tr>
        <w:trPr>
          <w:trHeight w:val="213"/>
        </w:trPr>
        <w:tc>
          <w:tcPr>
            <w:tcW w:w="1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r>
      <w:tr>
        <w:trPr>
          <w:trHeight w:val="213"/>
        </w:trPr>
        <w:tc>
          <w:tcPr>
            <w:tcW w:w="16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r>
      <w:tr>
        <w:trPr>
          <w:trHeight w:val="213"/>
        </w:trPr>
        <w:tc>
          <w:tcPr>
            <w:tcW w:w="1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Bank certificates of deposit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r>
      <w:tr>
        <w:trPr>
          <w:trHeight w:val="213"/>
        </w:trPr>
        <w:tc>
          <w:tcPr>
            <w:tcW w:w="16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w:t>
            </w:r>
          </w:p>
        </w:tc>
      </w:tr>
      <w:tr>
        <w:trPr>
          <w:trHeight w:val="20"/>
        </w:trPr>
        <w:tc>
          <w:tcPr>
            <w:tcW w:w="160" w:type="dxa"/>
            <w:vAlign w:val="bottom"/>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20,668</w:t>
            </w:r>
          </w:p>
        </w:tc>
        <w:tc>
          <w:tcPr>
            <w:tcW w:w="220" w:type="dxa"/>
            <w:vAlign w:val="bottom"/>
          </w:tcPr>
          <w:p>
            <w:pPr>
              <w:spacing w:after="0"/>
              <w:rPr>
                <w:sz w:val="17"/>
                <w:szCs w:val="17"/>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160" w:type="dxa"/>
            <w:vAlign w:val="bottom"/>
            <w:gridSpan w:val="2"/>
          </w:tcPr>
          <w:p>
            <w:pPr>
              <w:jc w:val="right"/>
              <w:ind w:right="87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20,669</w:t>
            </w: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41" w:lineRule="exact"/>
        <w:rPr>
          <w:sz w:val="20"/>
          <w:szCs w:val="20"/>
          <w:color w:val="auto"/>
        </w:rPr>
      </w:pPr>
    </w:p>
    <w:p>
      <w:pPr>
        <w:ind w:left="640" w:right="80" w:hanging="314"/>
        <w:spacing w:after="0" w:line="281"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December 25, 2021, the cost and fair value of investments with loss positions were approximately $57.0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 As of December 26, 2020, the cost and fair value of investments with loss positions were approximately $8.7 million.</w:t>
      </w:r>
    </w:p>
    <w:p>
      <w:pPr>
        <w:spacing w:after="0" w:line="1" w:lineRule="exact"/>
        <w:rPr>
          <w:rFonts w:ascii="Arial" w:cs="Arial" w:eastAsia="Arial" w:hAnsi="Arial"/>
          <w:sz w:val="16"/>
          <w:szCs w:val="16"/>
          <w:color w:val="auto"/>
        </w:rPr>
      </w:pPr>
    </w:p>
    <w:p>
      <w:pPr>
        <w:ind w:left="640" w:right="340" w:hanging="314"/>
        <w:spacing w:after="0" w:line="25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6840" w:type="dxa"/>
            <w:vAlign w:val="bottom"/>
            <w:gridSpan w:val="2"/>
          </w:tcPr>
          <w:p>
            <w:pPr>
              <w:spacing w:after="0"/>
              <w:rPr>
                <w:sz w:val="20"/>
                <w:szCs w:val="20"/>
                <w:color w:val="auto"/>
              </w:rPr>
            </w:pPr>
            <w:r>
              <w:rPr>
                <w:rFonts w:ascii="Arial" w:cs="Arial" w:eastAsia="Arial" w:hAnsi="Arial"/>
                <w:sz w:val="18"/>
                <w:szCs w:val="18"/>
                <w:color w:val="auto"/>
              </w:rPr>
              <w:t>Effective maturities of short-term investments at December 25, 2021, were as follows: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Estimated</w:t>
            </w:r>
          </w:p>
        </w:tc>
      </w:tr>
      <w:tr>
        <w:trPr>
          <w:trHeight w:val="225"/>
        </w:trPr>
        <w:tc>
          <w:tcPr>
            <w:tcW w:w="16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1"/>
              </w:rPr>
              <w:t>Cost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r>
      <w:tr>
        <w:trPr>
          <w:trHeight w:val="207"/>
        </w:trPr>
        <w:tc>
          <w:tcPr>
            <w:tcW w:w="1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9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83,429</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83,408</w:t>
            </w:r>
          </w:p>
        </w:tc>
      </w:tr>
      <w:tr>
        <w:trPr>
          <w:trHeight w:val="213"/>
        </w:trPr>
        <w:tc>
          <w:tcPr>
            <w:tcW w:w="1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8"/>
                <w:szCs w:val="18"/>
                <w:color w:val="auto"/>
              </w:rPr>
            </w:pPr>
          </w:p>
        </w:tc>
      </w:tr>
      <w:tr>
        <w:trPr>
          <w:trHeight w:val="226"/>
        </w:trPr>
        <w:tc>
          <w:tcPr>
            <w:tcW w:w="160" w:type="dxa"/>
            <w:vAlign w:val="bottom"/>
          </w:tcPr>
          <w:p>
            <w:pPr>
              <w:spacing w:after="0"/>
              <w:rPr>
                <w:sz w:val="19"/>
                <w:szCs w:val="19"/>
                <w:color w:val="auto"/>
              </w:rPr>
            </w:pPr>
          </w:p>
        </w:tc>
        <w:tc>
          <w:tcPr>
            <w:tcW w:w="6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89,704</w:t>
            </w:r>
          </w:p>
        </w:tc>
      </w:tr>
      <w:tr>
        <w:trPr>
          <w:trHeight w:val="20"/>
        </w:trPr>
        <w:tc>
          <w:tcPr>
            <w:tcW w:w="160" w:type="dxa"/>
            <w:vAlign w:val="bottom"/>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100"/>
        <w:spacing w:after="0" w:line="268"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81" w:lineRule="exact"/>
        <w:rPr>
          <w:sz w:val="20"/>
          <w:szCs w:val="20"/>
          <w:color w:val="auto"/>
        </w:rPr>
      </w:pPr>
    </w:p>
    <w:p>
      <w:pPr>
        <w:ind w:left="320" w:right="40"/>
        <w:spacing w:after="0" w:line="266"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11"/>
          </w:tcPr>
          <w:p>
            <w:pPr>
              <w:jc w:val="right"/>
              <w:ind w:right="820"/>
              <w:spacing w:after="0"/>
              <w:rPr>
                <w:sz w:val="20"/>
                <w:szCs w:val="20"/>
                <w:color w:val="auto"/>
              </w:rPr>
            </w:pPr>
            <w:r>
              <w:rPr>
                <w:rFonts w:ascii="Arial" w:cs="Arial" w:eastAsia="Arial" w:hAnsi="Arial"/>
                <w:sz w:val="18"/>
                <w:szCs w:val="18"/>
                <w:color w:val="auto"/>
                <w:w w:val="99"/>
              </w:rPr>
              <w:t>Fair value measurements at December 25, 2021 using:</w:t>
            </w:r>
          </w:p>
        </w:tc>
        <w:tc>
          <w:tcPr>
            <w:tcW w:w="100" w:type="dxa"/>
            <w:vAlign w:val="bottom"/>
          </w:tcPr>
          <w:p>
            <w:pPr>
              <w:spacing w:after="0"/>
              <w:rPr>
                <w:sz w:val="19"/>
                <w:szCs w:val="19"/>
                <w:color w:val="auto"/>
              </w:rPr>
            </w:pPr>
          </w:p>
        </w:tc>
      </w:tr>
      <w:tr>
        <w:trPr>
          <w:trHeight w:val="195"/>
        </w:trPr>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Level 3</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8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195,297</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Money market funds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92,400</w:t>
            </w: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92,400</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86,535</w:t>
            </w: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86,535</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184,608</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379,905</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4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80" w:type="dxa"/>
            <w:vAlign w:val="bottom"/>
            <w:gridSpan w:val="11"/>
          </w:tcPr>
          <w:p>
            <w:pPr>
              <w:jc w:val="right"/>
              <w:ind w:right="920"/>
              <w:spacing w:after="0"/>
              <w:rPr>
                <w:sz w:val="20"/>
                <w:szCs w:val="20"/>
                <w:color w:val="auto"/>
              </w:rPr>
            </w:pPr>
            <w:r>
              <w:rPr>
                <w:rFonts w:ascii="Arial" w:cs="Arial" w:eastAsia="Arial" w:hAnsi="Arial"/>
                <w:sz w:val="18"/>
                <w:szCs w:val="18"/>
                <w:color w:val="auto"/>
              </w:rPr>
              <w:t>Fair value measurements at December 26, 2020 using:</w:t>
            </w:r>
          </w:p>
        </w:tc>
      </w:tr>
      <w:tr>
        <w:trPr>
          <w:trHeight w:val="195"/>
        </w:trPr>
        <w:tc>
          <w:tcPr>
            <w:tcW w:w="50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2"/>
              </w:rPr>
              <w:t>Total estimated</w:t>
            </w:r>
          </w:p>
        </w:tc>
        <w:tc>
          <w:tcPr>
            <w:tcW w:w="120" w:type="dxa"/>
            <w:vAlign w:val="bottom"/>
          </w:tcPr>
          <w:p>
            <w:pPr>
              <w:spacing w:after="0"/>
              <w:rPr>
                <w:sz w:val="16"/>
                <w:szCs w:val="16"/>
                <w:color w:val="auto"/>
              </w:rPr>
            </w:pPr>
          </w:p>
        </w:tc>
      </w:tr>
      <w:tr>
        <w:trPr>
          <w:trHeight w:val="225"/>
        </w:trPr>
        <w:tc>
          <w:tcPr>
            <w:tcW w:w="5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19"/>
                <w:szCs w:val="19"/>
                <w:color w:val="auto"/>
              </w:rPr>
            </w:pPr>
          </w:p>
        </w:tc>
      </w:t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128,874</w:t>
            </w:r>
          </w:p>
        </w:tc>
        <w:tc>
          <w:tcPr>
            <w:tcW w:w="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128,874</w:t>
            </w: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19,734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19,734</w:t>
            </w: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15,694</w:t>
            </w: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w:t>
            </w:r>
          </w:p>
        </w:tc>
      </w:tr>
      <w:tr>
        <w:trPr>
          <w:trHeight w:val="213"/>
        </w:trPr>
        <w:tc>
          <w:tcPr>
            <w:tcW w:w="508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50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128,874</w:t>
            </w:r>
          </w:p>
        </w:tc>
        <w:tc>
          <w:tcPr>
            <w:tcW w:w="20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41,153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170,027</w:t>
            </w: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18" w:lineRule="exact"/>
        <w:rPr>
          <w:rFonts w:ascii="Arial" w:cs="Arial" w:eastAsia="Arial" w:hAnsi="Arial"/>
          <w:sz w:val="18"/>
          <w:szCs w:val="18"/>
          <w:b w:val="1"/>
          <w:bCs w:val="1"/>
          <w:color w:val="auto"/>
        </w:rPr>
      </w:pPr>
    </w:p>
    <w:p>
      <w:pPr>
        <w:ind w:left="320" w:right="22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Contribution Retirement Plans </w:t>
      </w:r>
      <w:r>
        <w:rPr>
          <w:rFonts w:ascii="Arial" w:cs="Arial" w:eastAsia="Arial" w:hAnsi="Arial"/>
          <w:sz w:val="18"/>
          <w:szCs w:val="18"/>
          <w:color w:val="auto"/>
        </w:rPr>
        <w:t>– Cohu and Xcerra each maintained defined contribution 401(k) retirement savings plans covering all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salaried and hourly U.S. employees. At the beginning of 2020 the legacy Xcerra plan was merged into Cohu’s. Participation is voluntary and participants’ contributions are based on their eligible compensation. Participants in the Cohu plan receive matching contributions of 50% up to 8% of salary contributed, subject to various statutory limits. In 2021, 2020 and 2019 we made matching contributions to the plan of $2.4 million, $2.3 million and $2.0 million, respectively.</w:t>
      </w:r>
    </w:p>
    <w:p>
      <w:pPr>
        <w:spacing w:after="0" w:line="186" w:lineRule="exact"/>
        <w:rPr>
          <w:rFonts w:ascii="Arial" w:cs="Arial" w:eastAsia="Arial" w:hAnsi="Arial"/>
          <w:sz w:val="18"/>
          <w:szCs w:val="18"/>
          <w:b w:val="1"/>
          <w:bCs w:val="1"/>
          <w:color w:val="auto"/>
        </w:rPr>
      </w:pPr>
    </w:p>
    <w:p>
      <w:pPr>
        <w:ind w:left="320" w:right="260"/>
        <w:spacing w:after="0" w:line="26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Some of our employees located in Europe and Asia participate in defined benefit retirement plans. Our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retirement plan is the Ismeca Europe Semiconductor BVG Pension Plan which covers our employees in Switzerland (“the Swiss Plan”) and the following discussion relates solely to the Swiss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20" w:type="dxa"/>
            <w:vAlign w:val="bottom"/>
            <w:gridSpan w:val="2"/>
          </w:tcPr>
          <w:p>
            <w:pPr>
              <w:ind w:left="320"/>
              <w:spacing w:after="0"/>
              <w:rPr>
                <w:sz w:val="20"/>
                <w:szCs w:val="20"/>
                <w:color w:val="auto"/>
              </w:rPr>
            </w:pPr>
            <w:r>
              <w:rPr>
                <w:rFonts w:ascii="Arial" w:cs="Arial" w:eastAsia="Arial" w:hAnsi="Arial"/>
                <w:sz w:val="18"/>
                <w:szCs w:val="18"/>
                <w:color w:val="auto"/>
              </w:rPr>
              <w:t>Net periodic benefit cost of the Swiss Plan was as follows: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7"/>
        </w:trPr>
        <w:tc>
          <w:tcPr>
            <w:tcW w:w="64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64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2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60" w:type="dxa"/>
            <w:vAlign w:val="bottom"/>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13"/>
        </w:trPr>
        <w:tc>
          <w:tcPr>
            <w:tcW w:w="5020" w:type="dxa"/>
            <w:vAlign w:val="bottom"/>
            <w:gridSpan w:val="2"/>
          </w:tcPr>
          <w:p>
            <w:pPr>
              <w:ind w:left="640"/>
              <w:spacing w:after="0"/>
              <w:rPr>
                <w:sz w:val="20"/>
                <w:szCs w:val="20"/>
                <w:color w:val="auto"/>
              </w:rPr>
            </w:pPr>
            <w:r>
              <w:rPr>
                <w:rFonts w:ascii="Arial" w:cs="Arial" w:eastAsia="Arial" w:hAnsi="Arial"/>
                <w:sz w:val="18"/>
                <w:szCs w:val="18"/>
                <w:color w:val="auto"/>
              </w:rPr>
              <w:t>Settlements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6"/>
        </w:trPr>
        <w:tc>
          <w:tcPr>
            <w:tcW w:w="64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costs</w:t>
            </w: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1,469</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60" w:type="dxa"/>
            <w:vAlign w:val="bottom"/>
            <w:shd w:val="clear" w:color="auto" w:fill="CCEEFF"/>
          </w:tcPr>
          <w:p>
            <w:pPr>
              <w:spacing w:after="0"/>
              <w:rPr>
                <w:sz w:val="21"/>
                <w:szCs w:val="21"/>
                <w:color w:val="auto"/>
              </w:rPr>
            </w:pPr>
          </w:p>
        </w:tc>
      </w:tr>
      <w:tr>
        <w:trPr>
          <w:trHeight w:val="405"/>
        </w:trPr>
        <w:tc>
          <w:tcPr>
            <w:tcW w:w="64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391"/>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114"/>
        </w:trPr>
        <w:tc>
          <w:tcPr>
            <w:tcW w:w="64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ectPr>
          <w:pgSz w:w="11900" w:h="16838" w:orient="portrait"/>
          <w:cols w:equalWidth="0" w:num="1">
            <w:col w:w="11300"/>
          </w:cols>
          <w:pgMar w:left="320" w:top="127"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280"/>
        <w:spacing w:after="0" w:line="266"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sheets related to the Swiss Plan:</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4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(31,039)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(32,241)</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(1,136)</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Plan change</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3,446</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Foreign currency exchange adjustment</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(3,010)</w:t>
            </w:r>
          </w:p>
        </w:tc>
      </w:tr>
      <w:tr>
        <w:trPr>
          <w:trHeight w:val="20"/>
        </w:trPr>
        <w:tc>
          <w:tcPr>
            <w:tcW w:w="5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(28,765)</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(31,039)</w:t>
            </w: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Change in plan assets: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18,705</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Return on assets, net of actuarial loss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contributions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r>
      <w:tr>
        <w:trPr>
          <w:trHeight w:val="213"/>
        </w:trPr>
        <w:tc>
          <w:tcPr>
            <w:tcW w:w="524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(1,653)</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(3,446)</w:t>
            </w:r>
          </w:p>
        </w:tc>
      </w:tr>
      <w:tr>
        <w:trPr>
          <w:trHeight w:val="21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exchange adjustment</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w:t>
            </w:r>
          </w:p>
        </w:tc>
      </w:tr>
      <w:tr>
        <w:trPr>
          <w:trHeight w:val="20"/>
        </w:trPr>
        <w:tc>
          <w:tcPr>
            <w:tcW w:w="52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18,919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18,756</w:t>
            </w:r>
          </w:p>
        </w:tc>
      </w:tr>
      <w:tr>
        <w:trPr>
          <w:trHeight w:val="20"/>
        </w:trPr>
        <w:tc>
          <w:tcPr>
            <w:tcW w:w="5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(9,846)</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(12,283)</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60"/>
        <w:spacing w:after="0" w:line="256" w:lineRule="auto"/>
        <w:rPr>
          <w:sz w:val="20"/>
          <w:szCs w:val="20"/>
          <w:color w:val="auto"/>
        </w:rPr>
      </w:pPr>
      <w:r>
        <w:rPr>
          <w:rFonts w:ascii="Arial" w:cs="Arial" w:eastAsia="Arial" w:hAnsi="Arial"/>
          <w:sz w:val="18"/>
          <w:szCs w:val="18"/>
          <w:color w:val="auto"/>
        </w:rPr>
        <w:t>At December 25, 2021 and December 26, 2020, the Swiss Plan’s net liability is included in noncurrent accrued retirement benefits. Amounts recognized in accumulated other comprehensive loss net of tax related to the Swiss Plan consisted of an unrecognized net actuarial gain totaling $0.9 million at December 25, 2021, and net actuarial loss of $1.3 million at December 26, 2020.</w:t>
      </w:r>
    </w:p>
    <w:p>
      <w:pPr>
        <w:spacing w:after="0" w:line="190" w:lineRule="exact"/>
        <w:rPr>
          <w:sz w:val="20"/>
          <w:szCs w:val="20"/>
          <w:color w:val="auto"/>
        </w:rPr>
      </w:pPr>
    </w:p>
    <w:p>
      <w:pPr>
        <w:ind w:left="320" w:right="80"/>
        <w:spacing w:after="0" w:line="266" w:lineRule="auto"/>
        <w:rPr>
          <w:sz w:val="20"/>
          <w:szCs w:val="20"/>
          <w:color w:val="auto"/>
        </w:rPr>
      </w:pPr>
      <w:r>
        <w:rPr>
          <w:rFonts w:ascii="Arial" w:cs="Arial" w:eastAsia="Arial" w:hAnsi="Arial"/>
          <w:sz w:val="18"/>
          <w:szCs w:val="18"/>
          <w:color w:val="auto"/>
        </w:rPr>
        <w:t>Actuarial gains of $1.2 million and $1.9 million for the years ended December 25, 2021 and December 26, 2020 respectively were primarily due to plan experience.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16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2021</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7"/>
        </w:trPr>
        <w:tc>
          <w:tcPr>
            <w:tcW w:w="16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7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0.2%</w:t>
            </w:r>
          </w:p>
        </w:tc>
        <w:tc>
          <w:tcPr>
            <w:tcW w:w="15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r>
      <w:tr>
        <w:trPr>
          <w:trHeight w:val="224"/>
        </w:trPr>
        <w:tc>
          <w:tcPr>
            <w:tcW w:w="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Compensation increase</w:t>
            </w:r>
          </w:p>
        </w:tc>
        <w:tc>
          <w:tcPr>
            <w:tcW w:w="3740" w:type="dxa"/>
            <w:vAlign w:val="bottom"/>
          </w:tcPr>
          <w:p>
            <w:pPr>
              <w:spacing w:after="0"/>
              <w:rPr>
                <w:sz w:val="19"/>
                <w:szCs w:val="19"/>
                <w:color w:val="auto"/>
              </w:rPr>
            </w:pPr>
          </w:p>
        </w:tc>
        <w:tc>
          <w:tcPr>
            <w:tcW w:w="1300" w:type="dxa"/>
            <w:vAlign w:val="bottom"/>
          </w:tcPr>
          <w:p>
            <w:pPr>
              <w:jc w:val="right"/>
              <w:ind w:right="551"/>
              <w:spacing w:after="0"/>
              <w:rPr>
                <w:sz w:val="20"/>
                <w:szCs w:val="20"/>
                <w:color w:val="auto"/>
              </w:rPr>
            </w:pPr>
            <w:r>
              <w:rPr>
                <w:rFonts w:ascii="Arial" w:cs="Arial" w:eastAsia="Arial" w:hAnsi="Arial"/>
                <w:sz w:val="18"/>
                <w:szCs w:val="18"/>
                <w:color w:val="auto"/>
              </w:rPr>
              <w:t>1.5%</w:t>
            </w:r>
          </w:p>
        </w:tc>
        <w:tc>
          <w:tcPr>
            <w:tcW w:w="1560" w:type="dxa"/>
            <w:vAlign w:val="bottom"/>
          </w:tcPr>
          <w:p>
            <w:pPr>
              <w:jc w:val="right"/>
              <w:ind w:right="4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414"/>
        </w:trPr>
        <w:tc>
          <w:tcPr>
            <w:tcW w:w="7860" w:type="dxa"/>
            <w:vAlign w:val="bottom"/>
            <w:gridSpan w:val="3"/>
          </w:tcPr>
          <w:p>
            <w:pPr>
              <w:jc w:val="right"/>
              <w:ind w:right="151"/>
              <w:spacing w:after="0"/>
              <w:rPr>
                <w:sz w:val="20"/>
                <w:szCs w:val="20"/>
                <w:color w:val="auto"/>
              </w:rPr>
            </w:pPr>
            <w:r>
              <w:rPr>
                <w:rFonts w:ascii="Arial" w:cs="Arial" w:eastAsia="Arial" w:hAnsi="Arial"/>
                <w:sz w:val="18"/>
                <w:szCs w:val="18"/>
                <w:color w:val="auto"/>
                <w:w w:val="88"/>
              </w:rPr>
              <w:t>Weighted-average assumptions used to determine net periodic benefit cost of the Swiss Plan are as follows:</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6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07"/>
        </w:trPr>
        <w:tc>
          <w:tcPr>
            <w:tcW w:w="16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74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0.2%</w:t>
            </w:r>
          </w:p>
        </w:tc>
        <w:tc>
          <w:tcPr>
            <w:tcW w:w="15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3740" w:type="dxa"/>
            <w:vAlign w:val="bottom"/>
          </w:tcPr>
          <w:p>
            <w:pPr>
              <w:jc w:val="right"/>
              <w:ind w:right="971"/>
              <w:spacing w:after="0"/>
              <w:rPr>
                <w:sz w:val="20"/>
                <w:szCs w:val="20"/>
                <w:color w:val="auto"/>
              </w:rPr>
            </w:pPr>
            <w:r>
              <w:rPr>
                <w:rFonts w:ascii="Arial" w:cs="Arial" w:eastAsia="Arial" w:hAnsi="Arial"/>
                <w:sz w:val="18"/>
                <w:szCs w:val="18"/>
                <w:color w:val="auto"/>
              </w:rPr>
              <w:t>0.7%</w:t>
            </w:r>
          </w:p>
        </w:tc>
        <w:tc>
          <w:tcPr>
            <w:tcW w:w="1300" w:type="dxa"/>
            <w:vAlign w:val="bottom"/>
          </w:tcPr>
          <w:p>
            <w:pPr>
              <w:jc w:val="right"/>
              <w:ind w:right="551"/>
              <w:spacing w:after="0"/>
              <w:rPr>
                <w:sz w:val="20"/>
                <w:szCs w:val="20"/>
                <w:color w:val="auto"/>
              </w:rPr>
            </w:pPr>
            <w:r>
              <w:rPr>
                <w:rFonts w:ascii="Arial" w:cs="Arial" w:eastAsia="Arial" w:hAnsi="Arial"/>
                <w:sz w:val="18"/>
                <w:szCs w:val="18"/>
                <w:color w:val="auto"/>
              </w:rPr>
              <w:t>1.0%</w:t>
            </w:r>
          </w:p>
        </w:tc>
        <w:tc>
          <w:tcPr>
            <w:tcW w:w="1560" w:type="dxa"/>
            <w:vAlign w:val="bottom"/>
          </w:tcPr>
          <w:p>
            <w:pPr>
              <w:jc w:val="right"/>
              <w:ind w:right="4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374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1.1%</w:t>
            </w:r>
          </w:p>
        </w:tc>
        <w:tc>
          <w:tcPr>
            <w:tcW w:w="130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1.1%</w:t>
            </w:r>
          </w:p>
        </w:tc>
        <w:tc>
          <w:tcPr>
            <w:tcW w:w="15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jc w:val="both"/>
        <w:ind w:left="320"/>
        <w:spacing w:after="0" w:line="330" w:lineRule="auto"/>
        <w:rPr>
          <w:sz w:val="20"/>
          <w:szCs w:val="20"/>
          <w:color w:val="auto"/>
        </w:rPr>
      </w:pPr>
      <w:r>
        <w:rPr>
          <w:rFonts w:ascii="Arial" w:cs="Arial" w:eastAsia="Arial" w:hAnsi="Arial"/>
          <w:sz w:val="16"/>
          <w:szCs w:val="16"/>
          <w:color w:val="auto"/>
        </w:rPr>
        <w:t>During 2022 employer and employee contributions to the Swiss Plan are expected to total $0.9 million. Estimated benefit payments are expected to be as follows: 2022 - $0.9 million; 2023 - $1.5 million; 2024 - $1.3 million; 2025 - $1.1 million; 2026 - $1.2 million; and $6.4 million thereafter through 2031.</w:t>
      </w:r>
    </w:p>
    <w:p>
      <w:pPr>
        <w:spacing w:after="0" w:line="133" w:lineRule="exact"/>
        <w:rPr>
          <w:sz w:val="20"/>
          <w:szCs w:val="20"/>
          <w:color w:val="auto"/>
        </w:rPr>
      </w:pPr>
    </w:p>
    <w:p>
      <w:pPr>
        <w:ind w:left="320" w:right="20"/>
        <w:spacing w:after="0" w:line="286" w:lineRule="auto"/>
        <w:rPr>
          <w:sz w:val="20"/>
          <w:szCs w:val="20"/>
          <w:color w:val="auto"/>
        </w:rPr>
      </w:pPr>
      <w:r>
        <w:rPr>
          <w:rFonts w:ascii="Arial" w:cs="Arial" w:eastAsia="Arial" w:hAnsi="Arial"/>
          <w:sz w:val="16"/>
          <w:szCs w:val="16"/>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57% debt securities and cash, 21% real estate investments, 12% alternative investments and 10%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Measured at Fair Value</w:t>
      </w:r>
      <w:r>
        <w:rPr>
          <w:rFonts w:ascii="Arial" w:cs="Arial" w:eastAsia="Arial" w:hAnsi="Arial"/>
          <w:sz w:val="16"/>
          <w:szCs w:val="16"/>
          <w:color w:val="auto"/>
        </w:rPr>
        <w:t>” for additional information on the three-tier fair value hierarchy.</w:t>
      </w:r>
    </w:p>
    <w:p>
      <w:pPr>
        <w:sectPr>
          <w:pgSz w:w="11900" w:h="16838" w:orient="portrait"/>
          <w:cols w:equalWidth="0" w:num="1">
            <w:col w:w="11200"/>
          </w:cols>
          <w:pgMar w:left="320" w:top="127" w:right="379" w:bottom="1440" w:gutter="0" w:footer="0" w:header="0"/>
        </w:sectPr>
      </w:pP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320"/>
        <w:spacing w:after="0" w:line="266"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74" w:lineRule="exact"/>
        <w:rPr>
          <w:sz w:val="20"/>
          <w:szCs w:val="20"/>
          <w:color w:val="auto"/>
        </w:rPr>
      </w:pPr>
    </w:p>
    <w:p>
      <w:pPr>
        <w:ind w:left="320" w:right="20"/>
        <w:spacing w:after="0" w:line="337" w:lineRule="auto"/>
        <w:rPr>
          <w:sz w:val="20"/>
          <w:szCs w:val="20"/>
          <w:color w:val="auto"/>
        </w:rPr>
      </w:pPr>
      <w:r>
        <w:rPr>
          <w:rFonts w:ascii="Arial" w:cs="Arial" w:eastAsia="Arial" w:hAnsi="Arial"/>
          <w:sz w:val="16"/>
          <w:szCs w:val="16"/>
          <w:b w:val="1"/>
          <w:bCs w:val="1"/>
          <w:color w:val="auto"/>
        </w:rPr>
        <w:t xml:space="preserve">Retiree Medical Benefits </w:t>
      </w:r>
      <w:r>
        <w:rPr>
          <w:rFonts w:ascii="Arial" w:cs="Arial" w:eastAsia="Arial" w:hAnsi="Arial"/>
          <w:sz w:val="16"/>
          <w:szCs w:val="16"/>
          <w:color w:val="auto"/>
        </w:rPr>
        <w:t>– We provide post-retirement health benefits to certain executives and directors under a noncontributory plan. The net periodic</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cost was insignificant in 2021 and $0.1 million in 2020, and 2019. We fund benefits as costs are incurred and as a result there are no plan assets.</w:t>
      </w:r>
    </w:p>
    <w:p>
      <w:pPr>
        <w:spacing w:after="0" w:line="128" w:lineRule="exact"/>
        <w:rPr>
          <w:sz w:val="20"/>
          <w:szCs w:val="20"/>
          <w:color w:val="auto"/>
        </w:rPr>
      </w:pPr>
    </w:p>
    <w:p>
      <w:pPr>
        <w:jc w:val="both"/>
        <w:ind w:left="320" w:right="60"/>
        <w:spacing w:after="0" w:line="256"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2.5% in 2021, 2.1% in 2020 and 3.0% in 2019. The annual rates of increase of the cost of health benefits was assumed to be 6.6% in 2022. This rate was then assumed to decrease 0.28% per year to 4.4% in 2030 and remain level thereafter.</w:t>
      </w:r>
    </w:p>
    <w:p>
      <w:pPr>
        <w:spacing w:after="0" w:line="190" w:lineRule="exact"/>
        <w:rPr>
          <w:sz w:val="20"/>
          <w:szCs w:val="20"/>
          <w:color w:val="auto"/>
        </w:rPr>
      </w:pPr>
    </w:p>
    <w:p>
      <w:pPr>
        <w:ind w:left="320" w:right="80"/>
        <w:spacing w:after="0" w:line="330" w:lineRule="auto"/>
        <w:rPr>
          <w:sz w:val="20"/>
          <w:szCs w:val="20"/>
          <w:color w:val="auto"/>
        </w:rPr>
      </w:pPr>
      <w:r>
        <w:rPr>
          <w:rFonts w:ascii="Arial" w:cs="Arial" w:eastAsia="Arial" w:hAnsi="Arial"/>
          <w:sz w:val="16"/>
          <w:szCs w:val="16"/>
          <w:color w:val="auto"/>
        </w:rPr>
        <w:t>Contributions to the post-retirement health benefit plan are expected to total $0.1 million in 2022. Estimated benefit payments are expected to be as follows: 2022 - $0.1 million; 2023 - $0.1 million; 2024 - $0.1 million; 2025 - $0.1 million; 2026 - $0.1 million and $0.6 million thereafter through 2031.</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2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(2,398)</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r>
      <w:tr>
        <w:trPr>
          <w:trHeight w:val="213"/>
        </w:trPr>
        <w:tc>
          <w:tcPr>
            <w:tcW w:w="55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3"/>
        </w:trPr>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w:t>
            </w: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r>
      <w:tr>
        <w:trPr>
          <w:trHeight w:val="213"/>
        </w:trPr>
        <w:tc>
          <w:tcPr>
            <w:tcW w:w="55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r>
      <w:tr>
        <w:trPr>
          <w:trHeight w:val="20"/>
        </w:trPr>
        <w:tc>
          <w:tcPr>
            <w:tcW w:w="5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(2,398)</w:t>
            </w:r>
          </w:p>
        </w:tc>
      </w:tr>
      <w:tr>
        <w:trPr>
          <w:trHeight w:val="213"/>
        </w:trPr>
        <w:tc>
          <w:tcPr>
            <w:tcW w:w="552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(2,398)</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320" w:right="60"/>
        <w:spacing w:after="0" w:line="252"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25, 2021, the payroll liability to participants, included in accrued compensation and benefits in the consolidated balance sheet, was approximately $1.6 million and the cash surrender value of the related life insurance policies included in other current assets was approximately $1.8 million. At December 26, 2020, the liability totaled $1.8 million and the corresponding assets were $1.8 million.</w:t>
      </w:r>
    </w:p>
    <w:p>
      <w:pPr>
        <w:spacing w:after="0" w:line="187" w:lineRule="exact"/>
        <w:rPr>
          <w:sz w:val="20"/>
          <w:szCs w:val="20"/>
          <w:color w:val="auto"/>
        </w:rPr>
      </w:pPr>
    </w:p>
    <w:p>
      <w:pPr>
        <w:ind w:left="320" w:right="80"/>
        <w:spacing w:after="0" w:line="253"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2021 - 161,351; 2020 - 242,633 and 2019 - 187,273. At December 25, 2021, there were 507,353 shares reserved for issuance under the Plan.</w:t>
      </w:r>
    </w:p>
    <w:p>
      <w:pPr>
        <w:spacing w:after="0" w:line="187"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At December 25, 2021, a total of 1,375,536 shares were available for future equity grants under the Cohu, Inc. 2005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2021, 2020 and 2019 no stock options were granted and the activity under our share-based compensation plans was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31"/>
              <w:spacing w:after="0" w:line="195" w:lineRule="exact"/>
              <w:rPr>
                <w:sz w:val="20"/>
                <w:szCs w:val="20"/>
                <w:color w:val="auto"/>
              </w:rPr>
            </w:pPr>
            <w:r>
              <w:rPr>
                <w:rFonts w:ascii="Arial" w:cs="Arial" w:eastAsia="Arial" w:hAnsi="Arial"/>
                <w:sz w:val="18"/>
                <w:szCs w:val="18"/>
                <w:color w:val="auto"/>
                <w:w w:val="99"/>
              </w:rPr>
              <w:t>Wt. Avg.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80"/>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111"/>
              <w:spacing w:after="0" w:line="195" w:lineRule="exact"/>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6"/>
                <w:szCs w:val="16"/>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Ex. Price</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Ex. Price</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Ex. Price</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Outstanding and exercisable, beginning</w:t>
            </w: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5"/>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of year</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r>
      <w:tr>
        <w:trPr>
          <w:trHeight w:val="20"/>
        </w:trPr>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3"/>
              </w:rPr>
              <w:t>Outstanding and exercisable,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180"/>
        <w:spacing w:after="0" w:line="266" w:lineRule="auto"/>
        <w:rPr>
          <w:sz w:val="20"/>
          <w:szCs w:val="20"/>
          <w:color w:val="auto"/>
        </w:rPr>
      </w:pPr>
      <w:r>
        <w:rPr>
          <w:rFonts w:ascii="Arial" w:cs="Arial" w:eastAsia="Arial" w:hAnsi="Arial"/>
          <w:sz w:val="18"/>
          <w:szCs w:val="18"/>
          <w:color w:val="auto"/>
        </w:rPr>
        <w:t>The aggregate intrinsic value of options exercised was $8.4 million in 2021, $1.3 million in 2020, and $0.2 million in 2019. At December 25, 2021, the aggregate intrinsic value of options outstanding, vested and expected to vest and exercisable was $0.4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Information about stock options outstanding at December 25, 2021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Options Outstanding</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4"/>
          </w:tcPr>
          <w:p>
            <w:pPr>
              <w:jc w:val="right"/>
              <w:ind w:right="1100"/>
              <w:spacing w:after="0"/>
              <w:rPr>
                <w:sz w:val="20"/>
                <w:szCs w:val="20"/>
                <w:color w:val="auto"/>
              </w:rPr>
            </w:pPr>
            <w:r>
              <w:rPr>
                <w:rFonts w:ascii="Arial" w:cs="Arial" w:eastAsia="Arial" w:hAnsi="Arial"/>
                <w:sz w:val="18"/>
                <w:szCs w:val="18"/>
                <w:color w:val="auto"/>
              </w:rPr>
              <w:t>Options Exercisable</w:t>
            </w:r>
          </w:p>
        </w:tc>
      </w:tr>
      <w:tr>
        <w:trPr>
          <w:trHeight w:val="195"/>
        </w:trPr>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Approximate</w:t>
            </w:r>
          </w:p>
        </w:tc>
        <w:tc>
          <w:tcPr>
            <w:tcW w:w="4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Wt. Avg.</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jc w:val="center"/>
              <w:ind w:right="51"/>
              <w:spacing w:after="0"/>
              <w:rPr>
                <w:sz w:val="20"/>
                <w:szCs w:val="20"/>
                <w:color w:val="auto"/>
              </w:rPr>
            </w:pPr>
            <w:r>
              <w:rPr>
                <w:rFonts w:ascii="Arial" w:cs="Arial" w:eastAsia="Arial" w:hAnsi="Arial"/>
                <w:sz w:val="18"/>
                <w:szCs w:val="18"/>
                <w:color w:val="auto"/>
                <w:w w:val="90"/>
              </w:rPr>
              <w:t>Number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40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Wt. Avg.</w:t>
            </w:r>
          </w:p>
        </w:tc>
        <w:tc>
          <w:tcPr>
            <w:tcW w:w="1660" w:type="dxa"/>
            <w:vAlign w:val="bottom"/>
          </w:tcPr>
          <w:p>
            <w:pPr>
              <w:jc w:val="center"/>
              <w:ind w:right="51"/>
              <w:spacing w:after="0"/>
              <w:rPr>
                <w:sz w:val="20"/>
                <w:szCs w:val="20"/>
                <w:color w:val="auto"/>
              </w:rPr>
            </w:pPr>
            <w:r>
              <w:rPr>
                <w:rFonts w:ascii="Arial" w:cs="Arial" w:eastAsia="Arial" w:hAnsi="Arial"/>
                <w:sz w:val="18"/>
                <w:szCs w:val="18"/>
                <w:color w:val="auto"/>
                <w:w w:val="93"/>
              </w:rPr>
              <w:t>Number</w:t>
            </w:r>
          </w:p>
        </w:tc>
        <w:tc>
          <w:tcPr>
            <w:tcW w:w="4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Wt. Avg.</w:t>
            </w:r>
          </w:p>
        </w:tc>
      </w:tr>
      <w:tr>
        <w:trPr>
          <w:trHeight w:val="225"/>
        </w:trPr>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3"/>
              </w:rPr>
              <w:t>Exercise Price</w:t>
            </w:r>
          </w:p>
        </w:tc>
        <w:tc>
          <w:tcPr>
            <w:tcW w:w="16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8"/>
              </w:rPr>
              <w:t>Outstanding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Life (Years)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 Price</w:t>
            </w:r>
          </w:p>
        </w:tc>
        <w:tc>
          <w:tcPr>
            <w:tcW w:w="280" w:type="dxa"/>
            <w:vAlign w:val="bottom"/>
          </w:tcPr>
          <w:p>
            <w:pPr>
              <w:spacing w:after="0"/>
              <w:rPr>
                <w:sz w:val="19"/>
                <w:szCs w:val="19"/>
                <w:color w:val="auto"/>
              </w:rPr>
            </w:pPr>
          </w:p>
        </w:tc>
        <w:tc>
          <w:tcPr>
            <w:tcW w:w="16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0"/>
              </w:rPr>
              <w:t>Exercisable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 Price</w:t>
            </w:r>
          </w:p>
        </w:tc>
        <w:tc>
          <w:tcPr>
            <w:tcW w:w="140" w:type="dxa"/>
            <w:vAlign w:val="bottom"/>
          </w:tcPr>
          <w:p>
            <w:pPr>
              <w:spacing w:after="0"/>
              <w:rPr>
                <w:sz w:val="19"/>
                <w:szCs w:val="19"/>
                <w:color w:val="auto"/>
              </w:rPr>
            </w:pPr>
          </w:p>
        </w:tc>
      </w:tr>
      <w:tr>
        <w:trPr>
          <w:trHeight w:val="207"/>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9.44</w:t>
            </w: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w:t>
            </w:r>
          </w:p>
        </w:tc>
      </w:tr>
    </w:tbl>
    <w:p>
      <w:pPr>
        <w:spacing w:after="0" w:line="195" w:lineRule="exact"/>
        <w:rPr>
          <w:sz w:val="20"/>
          <w:szCs w:val="20"/>
          <w:color w:val="auto"/>
        </w:rPr>
      </w:pPr>
    </w:p>
    <w:p>
      <w:pPr>
        <w:ind w:left="320" w:right="20"/>
        <w:spacing w:after="0" w:line="252"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(“RSUs”) may be granted to employees, consultants and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25, 2021.</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51"/>
              <w:spacing w:after="0" w:line="195" w:lineRule="exact"/>
              <w:rPr>
                <w:sz w:val="20"/>
                <w:szCs w:val="20"/>
                <w:color w:val="auto"/>
              </w:rPr>
            </w:pPr>
            <w:r>
              <w:rPr>
                <w:rFonts w:ascii="Arial" w:cs="Arial" w:eastAsia="Arial" w:hAnsi="Arial"/>
                <w:sz w:val="18"/>
                <w:szCs w:val="18"/>
                <w:color w:val="auto"/>
                <w:w w:val="94"/>
              </w:rPr>
              <w:t>Wt. Avg.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1"/>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31"/>
              <w:spacing w:after="0" w:line="195" w:lineRule="exact"/>
              <w:rPr>
                <w:sz w:val="20"/>
                <w:szCs w:val="20"/>
                <w:color w:val="auto"/>
              </w:rPr>
            </w:pPr>
            <w:r>
              <w:rPr>
                <w:rFonts w:ascii="Arial" w:cs="Arial" w:eastAsia="Arial" w:hAnsi="Arial"/>
                <w:sz w:val="18"/>
                <w:szCs w:val="18"/>
                <w:color w:val="auto"/>
                <w:w w:val="96"/>
              </w:rPr>
              <w:t>Wt. Avg.</w:t>
            </w:r>
          </w:p>
        </w:tc>
        <w:tc>
          <w:tcPr>
            <w:tcW w:w="100" w:type="dxa"/>
            <w:vAlign w:val="bottom"/>
          </w:tcPr>
          <w:p>
            <w:pPr>
              <w:spacing w:after="0"/>
              <w:rPr>
                <w:sz w:val="16"/>
                <w:szCs w:val="16"/>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Fair Value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Fair Value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r>
      <w:tr>
        <w:trPr>
          <w:trHeight w:val="207"/>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7"/>
                <w:szCs w:val="17"/>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41.66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18.96</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b w:val="1"/>
          <w:bCs w:val="1"/>
          <w:color w:val="auto"/>
        </w:rPr>
        <w:t xml:space="preserve">Equity-Based Performance Stock Units </w:t>
      </w:r>
      <w:r>
        <w:rPr>
          <w:rFonts w:ascii="Arial" w:cs="Arial" w:eastAsia="Arial" w:hAnsi="Arial"/>
          <w:sz w:val="17"/>
          <w:szCs w:val="17"/>
          <w:color w:val="auto"/>
        </w:rPr>
        <w:t>– We grant performance stock units (“PSUs”) to certain senior executives as a part of our long-term equity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The number of shares of common stock that will ultimately be issued to settle PSUs granted ranges from 25%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annualized TSR of certain peer companies for the performance period. PSUs granted vest 100% on the third anniversary of their grant, assuming achievement of the applicable performance criteria.</w:t>
      </w:r>
    </w:p>
    <w:p>
      <w:pPr>
        <w:spacing w:after="0" w:line="177" w:lineRule="exact"/>
        <w:rPr>
          <w:sz w:val="20"/>
          <w:szCs w:val="20"/>
          <w:color w:val="auto"/>
        </w:rPr>
      </w:pPr>
    </w:p>
    <w:p>
      <w:pPr>
        <w:ind w:left="320" w:right="540"/>
        <w:spacing w:after="0" w:line="256"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requisite service period. New shares of our common stock will be issued on the date the PSUs vest net of the minimum statutory tax withholding requirements to be paid by us on behalf of our employees.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51"/>
              <w:spacing w:after="0" w:line="195" w:lineRule="exact"/>
              <w:rPr>
                <w:sz w:val="20"/>
                <w:szCs w:val="20"/>
                <w:color w:val="auto"/>
              </w:rPr>
            </w:pPr>
            <w:r>
              <w:rPr>
                <w:rFonts w:ascii="Arial" w:cs="Arial" w:eastAsia="Arial" w:hAnsi="Arial"/>
                <w:sz w:val="18"/>
                <w:szCs w:val="18"/>
                <w:color w:val="auto"/>
                <w:w w:val="94"/>
              </w:rPr>
              <w:t>Wt. Avg.</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1"/>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1"/>
              <w:spacing w:after="0" w:line="195" w:lineRule="exact"/>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6"/>
                <w:szCs w:val="16"/>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Fair Value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Fair Value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Fair Value</w:t>
            </w:r>
          </w:p>
        </w:tc>
      </w:tr>
      <w:tr>
        <w:trPr>
          <w:trHeight w:val="207"/>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7"/>
                <w:szCs w:val="17"/>
                <w:color w:val="auto"/>
              </w:rPr>
            </w:pP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51.43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Cancelled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0"/>
        </w:trPr>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stock options and RSUs on the grant date using the Black-Scholes valuation model.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PSUs is determined on the grant date using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 a result of the COVID-19 pandemic, Cohu’s Board of Directors authorized suspending our quarterly cash dividend indefinitely, as of May 5, 2020. All awards granted in 2021 and 2020 exclude the assumption of dividend payments and the estimated fair value awards granted in prior years, when dividends were paid, are unchanged.</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Purchase Plan</w:t>
            </w:r>
          </w:p>
        </w:tc>
        <w:tc>
          <w:tcPr>
            <w:tcW w:w="1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0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w:t>
            </w:r>
          </w:p>
        </w:tc>
        <w:tc>
          <w:tcPr>
            <w:tcW w:w="3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3"/>
        </w:trPr>
        <w:tc>
          <w:tcPr>
            <w:tcW w:w="4460" w:type="dxa"/>
            <w:vAlign w:val="bottom"/>
          </w:tcPr>
          <w:p>
            <w:pPr>
              <w:spacing w:after="0"/>
              <w:rPr>
                <w:sz w:val="20"/>
                <w:szCs w:val="20"/>
                <w:color w:val="auto"/>
              </w:rPr>
            </w:pPr>
            <w:r>
              <w:rPr>
                <w:rFonts w:ascii="Arial" w:cs="Arial" w:eastAsia="Arial" w:hAnsi="Arial"/>
                <w:sz w:val="18"/>
                <w:szCs w:val="18"/>
                <w:color w:val="auto"/>
              </w:rPr>
              <w:t>Expected term (years)</w:t>
            </w:r>
          </w:p>
        </w:tc>
        <w:tc>
          <w:tcPr>
            <w:tcW w:w="1340" w:type="dxa"/>
            <w:vAlign w:val="bottom"/>
          </w:tcPr>
          <w:p>
            <w:pPr>
              <w:spacing w:after="0"/>
              <w:rPr>
                <w:sz w:val="18"/>
                <w:szCs w:val="18"/>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9.42</w:t>
            </w:r>
          </w:p>
        </w:tc>
        <w:tc>
          <w:tcPr>
            <w:tcW w:w="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r>
      <w:tr>
        <w:trPr>
          <w:trHeight w:val="452"/>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Restricted Stock Units</w:t>
            </w: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r>
      <w:tr>
        <w:trPr>
          <w:trHeight w:val="20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w:t>
            </w: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14,148</w:t>
            </w: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r>
      <w:tr>
        <w:trPr>
          <w:trHeight w:val="20"/>
        </w:trPr>
        <w:tc>
          <w:tcPr>
            <w:tcW w:w="5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6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13,070</w:t>
            </w:r>
          </w:p>
        </w:tc>
        <w:tc>
          <w:tcPr>
            <w:tcW w:w="20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13,271</w:t>
            </w:r>
          </w:p>
        </w:tc>
        <w:tc>
          <w:tcPr>
            <w:tcW w:w="2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13,561</w:t>
            </w: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20" w:right="300"/>
        <w:spacing w:after="0" w:line="256" w:lineRule="auto"/>
        <w:rPr>
          <w:sz w:val="20"/>
          <w:szCs w:val="20"/>
          <w:color w:val="auto"/>
        </w:rPr>
      </w:pPr>
      <w:r>
        <w:rPr>
          <w:rFonts w:ascii="Arial" w:cs="Arial" w:eastAsia="Arial" w:hAnsi="Arial"/>
          <w:sz w:val="18"/>
          <w:szCs w:val="18"/>
          <w:color w:val="auto"/>
        </w:rPr>
        <w:t>We account for forfeitures of plan-based awards as they occur. At December 25, 2021, we had approximately $19.5 million of pre-tax unrecognized compensation cost related to unvested restricted stock units and performance stock units which is expected to be recognized over a weighted-average period of approximately 2.3 years.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right="7940" w:hanging="314"/>
        <w:spacing w:after="0" w:line="639" w:lineRule="auto"/>
        <w:tabs>
          <w:tab w:leader="none" w:pos="32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Derivative Financial Instruments </w:t>
      </w:r>
      <w:r>
        <w:rPr>
          <w:rFonts w:ascii="Arial" w:cs="Arial" w:eastAsia="Arial" w:hAnsi="Arial"/>
          <w:sz w:val="14"/>
          <w:szCs w:val="14"/>
          <w:b w:val="1"/>
          <w:bCs w:val="1"/>
          <w:i w:val="1"/>
          <w:iCs w:val="1"/>
          <w:color w:val="auto"/>
        </w:rPr>
        <w:t>Foreign Exchange Derivative Contracts</w:t>
      </w:r>
    </w:p>
    <w:p>
      <w:pPr>
        <w:ind w:left="320" w:right="140"/>
        <w:spacing w:after="0" w:line="251" w:lineRule="auto"/>
        <w:rPr>
          <w:rFonts w:ascii="Arial" w:cs="Arial" w:eastAsia="Arial" w:hAnsi="Arial"/>
          <w:sz w:val="14"/>
          <w:szCs w:val="14"/>
          <w:b w:val="1"/>
          <w:bCs w:val="1"/>
          <w:color w:val="auto"/>
        </w:rPr>
      </w:pPr>
      <w:r>
        <w:rPr>
          <w:rFonts w:ascii="Arial" w:cs="Arial" w:eastAsia="Arial" w:hAnsi="Arial"/>
          <w:sz w:val="18"/>
          <w:szCs w:val="18"/>
          <w:color w:val="auto"/>
        </w:rPr>
        <w:t>We operate and sell our products in various global markets and, as a result, we are exposed to changes in foreign currency exchange rates. In the fourth quarter of 2020, we began utilizing foreign currency forward contracts to offset against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spacing w:after="0" w:line="195" w:lineRule="exact"/>
        <w:rPr>
          <w:rFonts w:ascii="Arial" w:cs="Arial" w:eastAsia="Arial" w:hAnsi="Arial"/>
          <w:sz w:val="14"/>
          <w:szCs w:val="14"/>
          <w:b w:val="1"/>
          <w:bCs w:val="1"/>
          <w:color w:val="auto"/>
        </w:rPr>
      </w:pPr>
    </w:p>
    <w:p>
      <w:pPr>
        <w:ind w:left="320"/>
        <w:spacing w:after="0" w:line="251" w:lineRule="auto"/>
        <w:rPr>
          <w:rFonts w:ascii="Arial" w:cs="Arial" w:eastAsia="Arial" w:hAnsi="Arial"/>
          <w:sz w:val="14"/>
          <w:szCs w:val="14"/>
          <w:b w:val="1"/>
          <w:bCs w:val="1"/>
          <w:color w:val="auto"/>
        </w:rPr>
      </w:pPr>
      <w:r>
        <w:rPr>
          <w:rFonts w:ascii="Arial" w:cs="Arial" w:eastAsia="Arial" w:hAnsi="Arial"/>
          <w:sz w:val="18"/>
          <w:szCs w:val="18"/>
          <w:color w:val="auto"/>
        </w:rPr>
        <w:t>We do not use derivative financial instruments for speculative or trading purposes. For accounting purposes, our foreign currency forward contracts are not designated as hedging instruments and, accordingly, we record the fair value of these contracts as of the end of our reporting period in our consolidated balance sheets with changes in fair value recorded within foreign transaction gain (loss) in our consolidated statements of operations for both realized and unrealized gains and losses. The cash flows associated with the foreign currency forward contracts are reported in net cash provided by operating activities in our consolidated statements of cash flows.</w:t>
      </w:r>
    </w:p>
    <w:p>
      <w:pPr>
        <w:spacing w:after="0" w:line="195" w:lineRule="exact"/>
        <w:rPr>
          <w:rFonts w:ascii="Arial" w:cs="Arial" w:eastAsia="Arial" w:hAnsi="Arial"/>
          <w:sz w:val="14"/>
          <w:szCs w:val="14"/>
          <w:b w:val="1"/>
          <w:bCs w:val="1"/>
          <w:color w:val="auto"/>
        </w:rPr>
      </w:pPr>
    </w:p>
    <w:p>
      <w:pPr>
        <w:ind w:left="320"/>
        <w:spacing w:after="0" w:line="296" w:lineRule="auto"/>
        <w:rPr>
          <w:rFonts w:ascii="Arial" w:cs="Arial" w:eastAsia="Arial" w:hAnsi="Arial"/>
          <w:sz w:val="14"/>
          <w:szCs w:val="14"/>
          <w:b w:val="1"/>
          <w:bCs w:val="1"/>
          <w:color w:val="auto"/>
        </w:rPr>
      </w:pPr>
      <w:r>
        <w:rPr>
          <w:rFonts w:ascii="Arial" w:cs="Arial" w:eastAsia="Arial" w:hAnsi="Arial"/>
          <w:sz w:val="17"/>
          <w:szCs w:val="17"/>
          <w:color w:val="auto"/>
        </w:rPr>
        <w:t>The fair value of our foreign exchange derivative contracts was determined based on current foreign currency exchange rates and forward points. All our foreign exchange derivative contracts outstanding at December 25, 2021 will mature during the first quarter of fiscal 2022.</w:t>
      </w:r>
    </w:p>
    <w:p>
      <w:pPr>
        <w:spacing w:after="0" w:line="156"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7"/>
          <w:szCs w:val="17"/>
          <w:color w:val="auto"/>
        </w:rPr>
        <w:t xml:space="preserve">The following table provides information about our foreign currency forward contracts outstanding as of December 25, 2021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Contract 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Contract Amount</w:t>
            </w:r>
          </w:p>
        </w:tc>
      </w:tr>
      <w:tr>
        <w:trPr>
          <w:trHeight w:val="225"/>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w:t>
            </w:r>
          </w:p>
        </w:tc>
        <w:tc>
          <w:tcPr>
            <w:tcW w:w="37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Contract Position</w:t>
            </w: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(Local Currency)</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(U.S. Dollars)</w:t>
            </w:r>
          </w:p>
        </w:tc>
        <w:tc>
          <w:tcPr>
            <w:tcW w:w="80" w:type="dxa"/>
            <w:vAlign w:val="bottom"/>
          </w:tcPr>
          <w:p>
            <w:pPr>
              <w:spacing w:after="0"/>
              <w:rPr>
                <w:sz w:val="19"/>
                <w:szCs w:val="19"/>
                <w:color w:val="auto"/>
              </w:rPr>
            </w:pPr>
          </w:p>
        </w:tc>
      </w:t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374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Buy</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34,200</w:t>
            </w:r>
          </w:p>
        </w:tc>
      </w:tr>
      <w:tr>
        <w:trPr>
          <w:trHeight w:val="213"/>
        </w:trPr>
        <w:tc>
          <w:tcPr>
            <w:tcW w:w="3040" w:type="dxa"/>
            <w:vAlign w:val="bottom"/>
          </w:tcPr>
          <w:p>
            <w:pPr>
              <w:spacing w:after="0"/>
              <w:rPr>
                <w:sz w:val="20"/>
                <w:szCs w:val="20"/>
                <w:color w:val="auto"/>
              </w:rPr>
            </w:pPr>
            <w:r>
              <w:rPr>
                <w:rFonts w:ascii="Arial" w:cs="Arial" w:eastAsia="Arial" w:hAnsi="Arial"/>
                <w:sz w:val="18"/>
                <w:szCs w:val="18"/>
                <w:color w:val="auto"/>
              </w:rPr>
              <w:t>Swiss Franc</w:t>
            </w:r>
          </w:p>
        </w:tc>
        <w:tc>
          <w:tcPr>
            <w:tcW w:w="3740" w:type="dxa"/>
            <w:vAlign w:val="bottom"/>
          </w:tcPr>
          <w:p>
            <w:pPr>
              <w:ind w:left="3260"/>
              <w:spacing w:after="0"/>
              <w:rPr>
                <w:sz w:val="20"/>
                <w:szCs w:val="20"/>
                <w:color w:val="auto"/>
              </w:rPr>
            </w:pPr>
            <w:r>
              <w:rPr>
                <w:rFonts w:ascii="Arial" w:cs="Arial" w:eastAsia="Arial" w:hAnsi="Arial"/>
                <w:sz w:val="18"/>
                <w:szCs w:val="18"/>
                <w:color w:val="auto"/>
              </w:rPr>
              <w:t>Buy</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19,086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80" w:type="dxa"/>
            <w:vAlign w:val="bottom"/>
          </w:tcPr>
          <w:p>
            <w:pPr>
              <w:spacing w:after="0"/>
              <w:rPr>
                <w:sz w:val="18"/>
                <w:szCs w:val="18"/>
                <w:color w:val="auto"/>
              </w:rPr>
            </w:pPr>
          </w:p>
        </w:tc>
      </w:tr>
      <w:tr>
        <w:trPr>
          <w:trHeight w:val="226"/>
        </w:trPr>
        <w:tc>
          <w:tcPr>
            <w:tcW w:w="304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55,000</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260"/>
        <w:spacing w:after="0" w:line="266" w:lineRule="auto"/>
        <w:rPr>
          <w:sz w:val="20"/>
          <w:szCs w:val="20"/>
          <w:color w:val="auto"/>
        </w:rPr>
      </w:pPr>
      <w:r>
        <w:rPr>
          <w:rFonts w:ascii="Arial" w:cs="Arial" w:eastAsia="Arial" w:hAnsi="Arial"/>
          <w:sz w:val="18"/>
          <w:szCs w:val="18"/>
          <w:color w:val="auto"/>
        </w:rPr>
        <w:t>Our foreign currency contracts are classified within Level 2 of the fair value hierarchy as they are valued using pricing models that utilize observable market inputs. The fair value of our foreign currency contracts as of December 25, 2021 was immaterial.</w:t>
      </w:r>
    </w:p>
    <w:p>
      <w:pPr>
        <w:spacing w:after="0" w:line="180" w:lineRule="exact"/>
        <w:rPr>
          <w:sz w:val="20"/>
          <w:szCs w:val="20"/>
          <w:color w:val="auto"/>
        </w:rPr>
      </w:pPr>
    </w:p>
    <w:p>
      <w:pPr>
        <w:ind w:left="320" w:right="120"/>
        <w:spacing w:after="0" w:line="266" w:lineRule="auto"/>
        <w:rPr>
          <w:sz w:val="20"/>
          <w:szCs w:val="20"/>
          <w:color w:val="auto"/>
        </w:rPr>
      </w:pPr>
      <w:r>
        <w:rPr>
          <w:rFonts w:ascii="Arial" w:cs="Arial" w:eastAsia="Arial" w:hAnsi="Arial"/>
          <w:sz w:val="18"/>
          <w:szCs w:val="18"/>
          <w:color w:val="auto"/>
        </w:rPr>
        <w:t xml:space="preserve">The location and amount of gains (losses) related to non-designated derivative instruments in the consolidated statements of operations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2760" w:type="dxa"/>
            <w:vAlign w:val="bottom"/>
          </w:tcPr>
          <w:p>
            <w:pPr>
              <w:jc w:val="center"/>
              <w:ind w:left="111"/>
              <w:spacing w:after="0"/>
              <w:rPr>
                <w:sz w:val="20"/>
                <w:szCs w:val="20"/>
                <w:color w:val="auto"/>
              </w:rPr>
            </w:pPr>
            <w:r>
              <w:rPr>
                <w:rFonts w:ascii="Arial" w:cs="Arial" w:eastAsia="Arial" w:hAnsi="Arial"/>
                <w:sz w:val="18"/>
                <w:szCs w:val="18"/>
                <w:color w:val="auto"/>
                <w:w w:val="89"/>
              </w:rPr>
              <w:t>Derivatives Not Designated</w:t>
            </w:r>
          </w:p>
        </w:tc>
        <w:tc>
          <w:tcPr>
            <w:tcW w:w="2680" w:type="dxa"/>
            <w:vAlign w:val="bottom"/>
          </w:tcPr>
          <w:p>
            <w:pPr>
              <w:jc w:val="center"/>
              <w:ind w:left="231"/>
              <w:spacing w:after="0"/>
              <w:rPr>
                <w:sz w:val="20"/>
                <w:szCs w:val="20"/>
                <w:color w:val="auto"/>
              </w:rPr>
            </w:pPr>
            <w:r>
              <w:rPr>
                <w:rFonts w:ascii="Arial" w:cs="Arial" w:eastAsia="Arial" w:hAnsi="Arial"/>
                <w:sz w:val="18"/>
                <w:szCs w:val="18"/>
                <w:color w:val="auto"/>
                <w:w w:val="92"/>
              </w:rPr>
              <w:t>Location of Gain (Loss)</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491"/>
              <w:spacing w:after="0"/>
              <w:rPr>
                <w:sz w:val="20"/>
                <w:szCs w:val="20"/>
                <w:color w:val="auto"/>
              </w:rPr>
            </w:pPr>
            <w:r>
              <w:rPr>
                <w:rFonts w:ascii="Arial" w:cs="Arial" w:eastAsia="Arial" w:hAnsi="Arial"/>
                <w:sz w:val="18"/>
                <w:szCs w:val="18"/>
                <w:color w:val="auto"/>
                <w:w w:val="88"/>
              </w:rPr>
              <w:t>Fiscal Year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76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color w:val="auto"/>
                <w:w w:val="88"/>
              </w:rPr>
              <w:t>as Hedging Instruments</w:t>
            </w:r>
          </w:p>
        </w:tc>
        <w:tc>
          <w:tcPr>
            <w:tcW w:w="268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89"/>
              </w:rPr>
              <w:t>Recognized on Derivatives</w:t>
            </w: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2020</w:t>
            </w: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exchange forward contracts</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transaction gain (loss)</w:t>
            </w:r>
          </w:p>
        </w:tc>
        <w:tc>
          <w:tcPr>
            <w:tcW w:w="5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756</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34"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 Issuance</w:t>
      </w:r>
    </w:p>
    <w:p>
      <w:pPr>
        <w:spacing w:after="0" w:line="218" w:lineRule="exact"/>
        <w:rPr>
          <w:rFonts w:ascii="Arial" w:cs="Arial" w:eastAsia="Arial" w:hAnsi="Arial"/>
          <w:sz w:val="18"/>
          <w:szCs w:val="18"/>
          <w:b w:val="1"/>
          <w:bCs w:val="1"/>
          <w:color w:val="auto"/>
        </w:rPr>
      </w:pPr>
    </w:p>
    <w:p>
      <w:pPr>
        <w:ind w:left="32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March 8, 2021, we closed an underwritten follow-on public offering of 4,950,000 shares of our common stock at $41.00 per share. As part of the transaction, the underwriters were also granted a 30-day option to purchase up to an aggregate of 742,500 additional shares of common stock to cover over-allotments which was exercised in full on March 11, 2021. The offering, and the follow-on option to sell additional shares, resulted in net proceeds, after deducting underwriting discounts and commissions and offering expenses, of approximately $223.1 million. All of the shares were sold pursuant to an effective shelf registration statement previously filed with the SEC.</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19" w:lineRule="exact"/>
        <w:rPr>
          <w:sz w:val="20"/>
          <w:szCs w:val="20"/>
          <w:color w:val="auto"/>
        </w:rPr>
      </w:pPr>
    </w:p>
    <w:p>
      <w:pPr>
        <w:ind w:left="320"/>
        <w:spacing w:after="0" w:line="286" w:lineRule="auto"/>
        <w:rPr>
          <w:sz w:val="20"/>
          <w:szCs w:val="20"/>
          <w:color w:val="auto"/>
        </w:rPr>
      </w:pPr>
      <w:r>
        <w:rPr>
          <w:rFonts w:ascii="Arial" w:cs="Arial" w:eastAsia="Arial" w:hAnsi="Arial"/>
          <w:sz w:val="16"/>
          <w:szCs w:val="16"/>
          <w:color w:val="auto"/>
        </w:rPr>
        <w:t>On October 28, 2021, we announced that our Board of Directors authorized a $70 million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year ended December 25, 2021, we repurchased 206,572 shares of our common stock for $7.3 million to be held as treasury stock. As of December 25, 2021, we may purchase up to $62.7 million of shares of our common stock under our share repurchase program.</w:t>
      </w:r>
    </w:p>
    <w:p>
      <w:pPr>
        <w:spacing w:after="0" w:line="200" w:lineRule="exact"/>
        <w:rPr>
          <w:sz w:val="20"/>
          <w:szCs w:val="20"/>
          <w:color w:val="auto"/>
        </w:rPr>
      </w:pPr>
    </w:p>
    <w:p>
      <w:pPr>
        <w:spacing w:after="0" w:line="203"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40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8"/>
                <w:szCs w:val="18"/>
                <w:color w:val="auto"/>
              </w:rPr>
            </w:pPr>
          </w:p>
        </w:tc>
        <w:tc>
          <w:tcPr>
            <w:tcW w:w="11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3"/>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3"/>
        </w:trPr>
        <w:tc>
          <w:tcPr>
            <w:tcW w:w="34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5,950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24,066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17"/>
                <w:szCs w:val="17"/>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Deferred:</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3"/>
        </w:trPr>
        <w:tc>
          <w:tcPr>
            <w:tcW w:w="34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3"/>
        </w:trPr>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(5,484)</w:t>
            </w:r>
          </w:p>
        </w:tc>
      </w:tr>
      <w:tr>
        <w:trPr>
          <w:trHeight w:val="20"/>
        </w:trPr>
        <w:tc>
          <w:tcPr>
            <w:tcW w:w="34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340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(5,305)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(5,385)</w:t>
            </w:r>
          </w:p>
        </w:tc>
      </w:tr>
      <w:tr>
        <w:trPr>
          <w:trHeight w:val="20"/>
        </w:trPr>
        <w:tc>
          <w:tcPr>
            <w:tcW w:w="3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34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25,019</w:t>
            </w:r>
          </w:p>
        </w:tc>
        <w:tc>
          <w:tcPr>
            <w:tcW w:w="11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(3,082)</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30,588</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(72,669)</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r>
      <w:tr>
        <w:trPr>
          <w:trHeight w:val="20"/>
        </w:trPr>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(72,077)</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19" w:lineRule="exact"/>
        <w:rPr>
          <w:sz w:val="20"/>
          <w:szCs w:val="20"/>
          <w:color w:val="auto"/>
        </w:rPr>
      </w:pPr>
    </w:p>
    <w:p>
      <w:pPr>
        <w:jc w:val="both"/>
        <w:ind w:left="320" w:right="80"/>
        <w:spacing w:after="0" w:line="266" w:lineRule="auto"/>
        <w:rPr>
          <w:sz w:val="20"/>
          <w:szCs w:val="20"/>
          <w:color w:val="auto"/>
        </w:rPr>
      </w:pPr>
      <w:r>
        <w:rPr>
          <w:rFonts w:ascii="Arial" w:cs="Arial" w:eastAsia="Arial" w:hAnsi="Arial"/>
          <w:sz w:val="18"/>
          <w:szCs w:val="18"/>
          <w:color w:val="auto"/>
        </w:rPr>
        <w:t>Except for working capital requirements in certain foreign jurisdictions, we provide for all taxes, including withholding and other residual taxes, related to unremitted earnings of our foreign subsidiaries.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280"/>
        <w:spacing w:after="0" w:line="266"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12,166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11,720</w:t>
            </w:r>
          </w:p>
        </w:tc>
      </w:tr>
      <w:tr>
        <w:trPr>
          <w:trHeight w:val="213"/>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56,777</w:t>
            </w: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31,264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37,393</w:t>
            </w:r>
          </w:p>
        </w:tc>
      </w:tr>
      <w:tr>
        <w:trPr>
          <w:trHeight w:val="213"/>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w:t>
            </w: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r>
      <w:tr>
        <w:trPr>
          <w:trHeight w:val="213"/>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5,146</w:t>
            </w: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4,309</w:t>
            </w: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122,861</w:t>
            </w: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(76,250)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(86,124)</w:t>
            </w: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36,737</w:t>
            </w:r>
          </w:p>
        </w:tc>
      </w:tr>
      <w:tr>
        <w:trPr>
          <w:trHeight w:val="213"/>
        </w:trPr>
        <w:tc>
          <w:tcPr>
            <w:tcW w:w="7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and other acquisition basis differences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52,012</w:t>
            </w:r>
          </w:p>
        </w:tc>
      </w:tr>
      <w:tr>
        <w:trPr>
          <w:trHeight w:val="213"/>
        </w:trPr>
        <w:tc>
          <w:tcPr>
            <w:tcW w:w="724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4,706</w:t>
            </w:r>
          </w:p>
        </w:tc>
      </w:tr>
      <w:tr>
        <w:trPr>
          <w:trHeight w:val="213"/>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w:t>
            </w:r>
          </w:p>
        </w:tc>
      </w:tr>
      <w:tr>
        <w:trPr>
          <w:trHeight w:val="20"/>
        </w:trPr>
        <w:tc>
          <w:tcPr>
            <w:tcW w:w="7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724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59,837</w:t>
            </w:r>
          </w:p>
        </w:tc>
      </w:tr>
      <w:tr>
        <w:trPr>
          <w:trHeight w:val="20"/>
        </w:trPr>
        <w:tc>
          <w:tcPr>
            <w:tcW w:w="7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liabilities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(23,100)</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components of total net deferred tax assets (liabilities), net of valuation allowances, as shown in our consolidated balance sheets are as follows:</w:t>
      </w: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assets (long-term)</w:t>
            </w:r>
          </w:p>
        </w:tc>
        <w:tc>
          <w:tcPr>
            <w:tcW w:w="2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(25,887)</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(28,816)</w:t>
            </w:r>
          </w:p>
        </w:tc>
      </w:tr>
      <w:tr>
        <w:trPr>
          <w:trHeight w:val="20"/>
        </w:trPr>
        <w:tc>
          <w:tcPr>
            <w:tcW w:w="5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liabilities</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(23,100)</w:t>
            </w: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8" w:lineRule="exact"/>
        <w:rPr>
          <w:sz w:val="20"/>
          <w:szCs w:val="20"/>
          <w:color w:val="auto"/>
        </w:rPr>
      </w:pPr>
    </w:p>
    <w:p>
      <w:pPr>
        <w:ind w:left="320" w:right="140"/>
        <w:spacing w:after="0" w:line="253"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loss history incurred at our U.S. operations at the end of various fiscal periods including 2021.</w:t>
      </w:r>
    </w:p>
    <w:p>
      <w:pPr>
        <w:spacing w:after="0" w:line="192" w:lineRule="exact"/>
        <w:rPr>
          <w:sz w:val="20"/>
          <w:szCs w:val="20"/>
          <w:color w:val="auto"/>
        </w:rPr>
      </w:pPr>
    </w:p>
    <w:p>
      <w:pPr>
        <w:ind w:left="320"/>
        <w:spacing w:after="0" w:line="273" w:lineRule="auto"/>
        <w:rPr>
          <w:sz w:val="20"/>
          <w:szCs w:val="20"/>
          <w:color w:val="auto"/>
        </w:rPr>
      </w:pPr>
      <w:r>
        <w:rPr>
          <w:rFonts w:ascii="Arial" w:cs="Arial" w:eastAsia="Arial" w:hAnsi="Arial"/>
          <w:sz w:val="17"/>
          <w:szCs w:val="17"/>
          <w:color w:val="auto"/>
        </w:rPr>
        <w:t>As a result of our cumulative, three-year U.S. GAAP pretax loss and excluding the one-time gain on the sale of PTG from our U.S. continuing operations at the end of 2021, we were unable to conclude that it was “more likely than not” that our U.S. DTAs would be realized. We will evaluate the realizability of our DTAs at the end of each quarterly reporting period in 2022 and should circumstances change it is possible an additional valuation allowance will be recorded or the remaining valuation allowance, or a portion thereof, will be reversed in a future period.</w:t>
      </w:r>
    </w:p>
    <w:p>
      <w:pPr>
        <w:spacing w:after="0" w:line="176" w:lineRule="exact"/>
        <w:rPr>
          <w:sz w:val="20"/>
          <w:szCs w:val="20"/>
          <w:color w:val="auto"/>
        </w:rPr>
      </w:pPr>
    </w:p>
    <w:p>
      <w:pPr>
        <w:ind w:left="320"/>
        <w:spacing w:after="0" w:line="303" w:lineRule="auto"/>
        <w:rPr>
          <w:sz w:val="20"/>
          <w:szCs w:val="20"/>
          <w:color w:val="auto"/>
        </w:rPr>
      </w:pPr>
      <w:r>
        <w:rPr>
          <w:rFonts w:ascii="Arial" w:cs="Arial" w:eastAsia="Arial" w:hAnsi="Arial"/>
          <w:sz w:val="16"/>
          <w:szCs w:val="16"/>
          <w:color w:val="auto"/>
        </w:rPr>
        <w:t>Our valuation allowance on our DTAs at December 25, 2021, and December 26, 2020, was approximately $76.3 million and $86.1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55" w:lineRule="exact"/>
        <w:rPr>
          <w:sz w:val="20"/>
          <w:szCs w:val="20"/>
          <w:color w:val="auto"/>
        </w:rPr>
      </w:pPr>
    </w:p>
    <w:p>
      <w:pPr>
        <w:ind w:left="320" w:right="540"/>
        <w:spacing w:after="0" w:line="266"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by our non-U.S. subsidiaries were not a source of taxable income in assessing the realization of our DTAs in the 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line="268" w:lineRule="auto"/>
        <w:rPr>
          <w:sz w:val="20"/>
          <w:szCs w:val="20"/>
          <w:color w:val="auto"/>
        </w:rPr>
      </w:pPr>
      <w:r>
        <w:rPr>
          <w:rFonts w:ascii="Arial" w:cs="Arial" w:eastAsia="Arial" w:hAnsi="Arial"/>
          <w:sz w:val="17"/>
          <w:szCs w:val="17"/>
          <w:color w:val="auto"/>
        </w:rPr>
        <w:t>The CARES Act was signed into law on March 27, 2020.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Due to our overall loss position in the U.S. during the last five years, the CARES Act did not have a significant impact on Company’s financial position or statement of operations.</w:t>
      </w:r>
    </w:p>
    <w:p>
      <w:pPr>
        <w:spacing w:after="0" w:line="181" w:lineRule="exact"/>
        <w:rPr>
          <w:sz w:val="20"/>
          <w:szCs w:val="20"/>
          <w:color w:val="auto"/>
        </w:rPr>
      </w:pPr>
    </w:p>
    <w:p>
      <w:pPr>
        <w:ind w:left="320" w:right="40"/>
        <w:spacing w:after="0" w:line="266" w:lineRule="auto"/>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for continuing operations is as follows:</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21% statutory rate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40,392</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(15,136)</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2,246</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Federal R&amp;D credits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Excess executive compensation</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1,608</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shd w:val="clear" w:color="auto" w:fill="CCEEFF"/>
          </w:tcPr>
          <w:p>
            <w:pPr>
              <w:spacing w:after="0"/>
              <w:rPr>
                <w:sz w:val="18"/>
                <w:szCs w:val="18"/>
                <w:color w:val="auto"/>
              </w:rPr>
            </w:pP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Exemption of PTG gain</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(12,378)</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net of foreign tax credits</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GILTI, net of foreign tax credits</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9,343</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4,191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r>
      <w:tr>
        <w:trPr>
          <w:trHeight w:val="21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r>
      <w:tr>
        <w:trPr>
          <w:trHeight w:val="213"/>
        </w:trPr>
        <w:tc>
          <w:tcPr>
            <w:tcW w:w="5660" w:type="dxa"/>
            <w:vAlign w:val="bottom"/>
          </w:tcPr>
          <w:p>
            <w:pPr>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r>
      <w:tr>
        <w:trPr>
          <w:trHeight w:val="226"/>
        </w:trPr>
        <w:tc>
          <w:tcPr>
            <w:tcW w:w="5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25,019</w:t>
            </w:r>
          </w:p>
        </w:tc>
        <w:tc>
          <w:tcPr>
            <w:tcW w:w="2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(3,082)</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left="320" w:right="220"/>
        <w:spacing w:after="0" w:line="256" w:lineRule="auto"/>
        <w:rPr>
          <w:sz w:val="20"/>
          <w:szCs w:val="20"/>
          <w:color w:val="auto"/>
        </w:rPr>
      </w:pPr>
      <w:r>
        <w:rPr>
          <w:rFonts w:ascii="Arial" w:cs="Arial" w:eastAsia="Arial" w:hAnsi="Arial"/>
          <w:sz w:val="18"/>
          <w:szCs w:val="18"/>
          <w:color w:val="auto"/>
        </w:rPr>
        <w:t>An accounting policy may be selected to either (i) treat taxes due on future U.S. inclusions in taxable income related to global intangible low-taxed income (“GILTI”) as a current-period expense when incurred or (ii) factor such amounts into a company’s measurement of its deferred taxes. We have elected to account for GILTI as a period cost.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December 25, 2021, we had federal, state and foreign net operating loss carryforwards of approximately $160.5 million, $135.3 million and</w:t>
      </w:r>
    </w:p>
    <w:p>
      <w:pPr>
        <w:spacing w:after="0" w:line="29" w:lineRule="exact"/>
        <w:rPr>
          <w:sz w:val="20"/>
          <w:szCs w:val="20"/>
          <w:color w:val="auto"/>
        </w:rPr>
      </w:pPr>
    </w:p>
    <w:p>
      <w:pPr>
        <w:ind w:left="320" w:right="100"/>
        <w:spacing w:after="0" w:line="249" w:lineRule="auto"/>
        <w:rPr>
          <w:sz w:val="20"/>
          <w:szCs w:val="20"/>
          <w:color w:val="auto"/>
        </w:rPr>
      </w:pPr>
      <w:r>
        <w:rPr>
          <w:rFonts w:ascii="Arial" w:cs="Arial" w:eastAsia="Arial" w:hAnsi="Arial"/>
          <w:sz w:val="18"/>
          <w:szCs w:val="18"/>
          <w:color w:val="auto"/>
        </w:rPr>
        <w:t>$9.6 million, respectively, that expire in various tax years beginning in 2022 through 2040 or have no expiration date. We also have federal and state tax credit carryforwards at December 25, 2021 of approximately $6.8 million and $30.9 million, respectively, certain of which expire in various tax years beginning in 2022 through 2040 or have no expiration date. The federal and state loss and credit carryforwards are subject to annual limitations under Sections 382 and 383 of the Internal Revenue Code and applicable state tax law.</w:t>
      </w:r>
    </w:p>
    <w:p>
      <w:pPr>
        <w:spacing w:after="0" w:line="195" w:lineRule="exact"/>
        <w:rPr>
          <w:sz w:val="20"/>
          <w:szCs w:val="20"/>
          <w:color w:val="auto"/>
        </w:rPr>
      </w:pPr>
    </w:p>
    <w:p>
      <w:pPr>
        <w:ind w:left="320"/>
        <w:spacing w:after="0" w:line="290" w:lineRule="auto"/>
        <w:rPr>
          <w:sz w:val="20"/>
          <w:szCs w:val="20"/>
          <w:color w:val="auto"/>
        </w:rPr>
      </w:pPr>
      <w:r>
        <w:rPr>
          <w:rFonts w:ascii="Arial" w:cs="Arial" w:eastAsia="Arial" w:hAnsi="Arial"/>
          <w:sz w:val="16"/>
          <w:szCs w:val="16"/>
          <w:color w:val="auto"/>
        </w:rPr>
        <w:t>We have completed a Section 382 and 383 analysis of the Internal Revenue Code and applicable state law, regarding the limitation of its net operating loss and business tax credit carryforwards through October 1, 2018. As a result of the analysis, we concluded that the acquisition of Xcerra on October 1, 2018, triggered a limitation in the utilization of Xcerra’s net operating loss and research credit carryforwards. We’ve also analyzed and determined that there were no subsequent ownership changes during the three-year period ending December 25, 2021. We will continue to assess the realizability of these carryforwards in subsequent periods. Future changes in the ownership of Cohu could further limit the utilization of these carryforwards.</w:t>
      </w:r>
    </w:p>
    <w:p>
      <w:pPr>
        <w:spacing w:after="0" w:line="166" w:lineRule="exact"/>
        <w:rPr>
          <w:sz w:val="20"/>
          <w:szCs w:val="20"/>
          <w:color w:val="auto"/>
        </w:rPr>
      </w:pPr>
    </w:p>
    <w:p>
      <w:pPr>
        <w:ind w:left="320" w:right="20"/>
        <w:spacing w:after="0" w:line="279" w:lineRule="auto"/>
        <w:rPr>
          <w:sz w:val="20"/>
          <w:szCs w:val="20"/>
          <w:color w:val="auto"/>
        </w:rPr>
      </w:pPr>
      <w:r>
        <w:rPr>
          <w:rFonts w:ascii="Arial" w:cs="Arial" w:eastAsia="Arial" w:hAnsi="Arial"/>
          <w:sz w:val="17"/>
          <w:szCs w:val="17"/>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$4.5 million or $0.09 per share in 2021, $3.6 million, or $0.09 per share, in 2020 and $2.1 million, or $0.05 per share, in fiscal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7980" w:type="dxa"/>
            <w:vAlign w:val="bottom"/>
            <w:gridSpan w:val="6"/>
          </w:tcPr>
          <w:p>
            <w:pPr>
              <w:jc w:val="right"/>
              <w:ind w:right="31"/>
              <w:spacing w:after="0"/>
              <w:rPr>
                <w:sz w:val="20"/>
                <w:szCs w:val="20"/>
                <w:color w:val="auto"/>
              </w:rPr>
            </w:pPr>
            <w:r>
              <w:rPr>
                <w:rFonts w:ascii="Arial" w:cs="Arial" w:eastAsia="Arial" w:hAnsi="Arial"/>
                <w:sz w:val="18"/>
                <w:szCs w:val="18"/>
                <w:color w:val="auto"/>
                <w:w w:val="89"/>
              </w:rPr>
              <w:t>A reconciliation of our gross unrecognized tax benefits, excluding accrued interest and penalties, is as follows: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7"/>
        </w:trPr>
        <w:tc>
          <w:tcPr>
            <w:tcW w:w="160" w:type="dxa"/>
            <w:vAlign w:val="bottom"/>
          </w:tcPr>
          <w:p>
            <w:pPr>
              <w:spacing w:after="0"/>
              <w:rPr>
                <w:sz w:val="24"/>
                <w:szCs w:val="24"/>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07"/>
        </w:trPr>
        <w:tc>
          <w:tcPr>
            <w:tcW w:w="16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33,696</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34,873</w:t>
            </w:r>
          </w:p>
        </w:tc>
      </w:tr>
      <w:tr>
        <w:trPr>
          <w:trHeight w:val="213"/>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4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13"/>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r>
      <w:tr>
        <w:trPr>
          <w:trHeight w:val="213"/>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settlements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3"/>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Foreign exchange rate impact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0"/>
        </w:trPr>
        <w:tc>
          <w:tcPr>
            <w:tcW w:w="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34,740</w:t>
            </w:r>
          </w:p>
        </w:tc>
      </w:tr>
      <w:tr>
        <w:trPr>
          <w:trHeight w:val="20"/>
        </w:trPr>
        <w:tc>
          <w:tcPr>
            <w:tcW w:w="16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left="320"/>
        <w:spacing w:after="0" w:line="256" w:lineRule="auto"/>
        <w:rPr>
          <w:sz w:val="20"/>
          <w:szCs w:val="20"/>
          <w:color w:val="auto"/>
        </w:rPr>
      </w:pPr>
      <w:r>
        <w:rPr>
          <w:rFonts w:ascii="Arial" w:cs="Arial" w:eastAsia="Arial" w:hAnsi="Arial"/>
          <w:sz w:val="18"/>
          <w:szCs w:val="18"/>
          <w:color w:val="auto"/>
        </w:rPr>
        <w:t>If the unrecognized tax benefits at December 25, 2021 are ultimately recognized, excluding the impact of U.S. tax benefits netted against deferred taxes that are subject to a valuation allowance, approximately $5.3 million ($5.9 million at December 26, 2020 and $7.0 million at December 28, 2019) would result in a reduction in our income tax expense and effective tax rate.</w:t>
      </w:r>
    </w:p>
    <w:p>
      <w:pPr>
        <w:spacing w:after="0" w:line="190" w:lineRule="exact"/>
        <w:rPr>
          <w:sz w:val="20"/>
          <w:szCs w:val="20"/>
          <w:color w:val="auto"/>
        </w:rPr>
      </w:pPr>
    </w:p>
    <w:p>
      <w:pPr>
        <w:jc w:val="both"/>
        <w:ind w:left="320" w:right="160"/>
        <w:spacing w:after="0" w:line="256"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$0.8 million and $1.0 million accrued for the payment of interest and penalties at December 25, 2021, and December 26, 2020, respectively. Interest expense, net of accrued interest reversed, was $(0.2) million in 2021 and $(0.3) million in both 2020 and 2019.</w:t>
      </w:r>
    </w:p>
    <w:p>
      <w:pPr>
        <w:spacing w:after="0" w:line="190" w:lineRule="exact"/>
        <w:rPr>
          <w:sz w:val="20"/>
          <w:szCs w:val="20"/>
          <w:color w:val="auto"/>
        </w:rPr>
      </w:pPr>
    </w:p>
    <w:p>
      <w:pPr>
        <w:ind w:left="320" w:right="60"/>
        <w:spacing w:after="0" w:line="295" w:lineRule="auto"/>
        <w:rPr>
          <w:sz w:val="20"/>
          <w:szCs w:val="20"/>
          <w:color w:val="auto"/>
        </w:rPr>
      </w:pPr>
      <w:r>
        <w:rPr>
          <w:rFonts w:ascii="Arial" w:cs="Arial" w:eastAsia="Arial" w:hAnsi="Arial"/>
          <w:sz w:val="16"/>
          <w:szCs w:val="16"/>
          <w:color w:val="auto"/>
        </w:rPr>
        <w:t>Our U.S. federal and state income tax returns for years after 2017 and 2016,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160" w:lineRule="exact"/>
        <w:rPr>
          <w:sz w:val="20"/>
          <w:szCs w:val="20"/>
          <w:color w:val="auto"/>
        </w:rPr>
      </w:pPr>
    </w:p>
    <w:p>
      <w:pPr>
        <w:ind w:left="320" w:right="300"/>
        <w:spacing w:after="0" w:line="279" w:lineRule="auto"/>
        <w:rPr>
          <w:sz w:val="20"/>
          <w:szCs w:val="20"/>
          <w:color w:val="auto"/>
        </w:rPr>
      </w:pPr>
      <w:r>
        <w:rPr>
          <w:rFonts w:ascii="Arial" w:cs="Arial" w:eastAsia="Arial" w:hAnsi="Arial"/>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and Malaysia. We believe our financial statement accruals for income taxes are appropriate.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4" w:right="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4" w:lineRule="exact"/>
        <w:rPr>
          <w:rFonts w:ascii="Arial" w:cs="Arial" w:eastAsia="Arial" w:hAnsi="Arial"/>
          <w:sz w:val="18"/>
          <w:szCs w:val="18"/>
          <w:b w:val="1"/>
          <w:bCs w:val="1"/>
          <w:color w:val="auto"/>
        </w:rPr>
      </w:pPr>
    </w:p>
    <w:p>
      <w:pPr>
        <w:ind w:left="320" w:right="6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 xml:space="preserve">We applied the provisions of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 Prior to the sale of our PCB Test Group (PTG) on June 24, 2021, we reported in two segments, Semiconductor Test &amp; Inspection and PCB Test Equipment.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8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860,454</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585,240</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50,767</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42,451</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Total consolidated net sales for reportable segments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887,214</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636,007</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583,329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80" w:type="dxa"/>
            <w:vAlign w:val="bottom"/>
          </w:tcPr>
          <w:p>
            <w:pPr>
              <w:spacing w:after="0"/>
              <w:rPr>
                <w:sz w:val="16"/>
                <w:szCs w:val="16"/>
                <w:color w:val="auto"/>
              </w:rPr>
            </w:pPr>
          </w:p>
        </w:tc>
        <w:tc>
          <w:tcPr>
            <w:tcW w:w="46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Segment profit (loss) before tax:</w:t>
            </w: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138,026</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(2,497)</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(45,072)</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6,971</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Profit (loss) for reportable segments</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141,933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4,474</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(42,437)</w:t>
            </w: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(10,819)</w:t>
            </w: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(4,384)</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(9,848)</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PCB Test business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70,815</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(6,413)</w:t>
            </w:r>
          </w:p>
        </w:tc>
        <w:tc>
          <w:tcPr>
            <w:tcW w:w="3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(13,759)</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(20,556)</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(3,411)</w:t>
            </w: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Profit (loss) from continuing operations before taxes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192,344</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(13,177)</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(72,077)</w:t>
            </w:r>
          </w:p>
        </w:tc>
        <w:tc>
          <w:tcPr>
            <w:tcW w:w="10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64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Depreciation and amortization by segment deducted in arriving at profit (loss):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 Test &amp; Inspection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48,129</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51,548</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56,621</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PCB Test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depreciation and amortization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48,568</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52,746</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58,871</w:t>
            </w:r>
          </w:p>
        </w:tc>
        <w:tc>
          <w:tcPr>
            <w:tcW w:w="100" w:type="dxa"/>
            <w:vAlign w:val="bottom"/>
          </w:tcPr>
          <w:p>
            <w:pPr>
              <w:spacing w:after="0"/>
              <w:rPr>
                <w:sz w:val="21"/>
                <w:szCs w:val="21"/>
                <w:color w:val="auto"/>
              </w:rPr>
            </w:pPr>
          </w:p>
        </w:tc>
      </w:tr>
      <w:tr>
        <w:trPr>
          <w:trHeight w:val="193"/>
        </w:trPr>
        <w:tc>
          <w:tcPr>
            <w:tcW w:w="480" w:type="dxa"/>
            <w:vAlign w:val="bottom"/>
          </w:tcPr>
          <w:p>
            <w:pPr>
              <w:spacing w:after="0"/>
              <w:rPr>
                <w:sz w:val="16"/>
                <w:szCs w:val="16"/>
                <w:color w:val="auto"/>
              </w:rPr>
            </w:pPr>
          </w:p>
        </w:tc>
        <w:tc>
          <w:tcPr>
            <w:tcW w:w="4640" w:type="dxa"/>
            <w:vAlign w:val="bottom"/>
            <w:tcBorders>
              <w:top w:val="single" w:sz="8" w:color="CCEEFF"/>
            </w:tcBorders>
          </w:tcPr>
          <w:p>
            <w:pPr>
              <w:spacing w:after="0" w:line="193" w:lineRule="exact"/>
              <w:rPr>
                <w:sz w:val="20"/>
                <w:szCs w:val="20"/>
                <w:color w:val="auto"/>
              </w:rPr>
            </w:pPr>
            <w:r>
              <w:rPr>
                <w:rFonts w:ascii="Arial" w:cs="Arial" w:eastAsia="Arial" w:hAnsi="Arial"/>
                <w:sz w:val="18"/>
                <w:szCs w:val="18"/>
                <w:color w:val="auto"/>
              </w:rPr>
              <w:t>Capital expenditures by segment:</w:t>
            </w:r>
          </w:p>
        </w:tc>
        <w:tc>
          <w:tcPr>
            <w:tcW w:w="8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 Test &amp; Inspection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11,954</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18,616</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17,831</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PCB Test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consolidated capital expenditures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18,660</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64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assets by segment:</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1,121,858</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968,028</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998,756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56,938</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80" w:type="dxa"/>
            <w:vAlign w:val="bottom"/>
          </w:tcPr>
          <w:p>
            <w:pPr>
              <w:spacing w:after="0"/>
              <w:rPr>
                <w:sz w:val="17"/>
                <w:szCs w:val="17"/>
                <w:color w:val="auto"/>
              </w:rPr>
            </w:pPr>
          </w:p>
        </w:tc>
        <w:tc>
          <w:tcPr>
            <w:tcW w:w="4640" w:type="dxa"/>
            <w:vAlign w:val="bottom"/>
          </w:tcPr>
          <w:p>
            <w:pPr>
              <w:ind w:left="480"/>
              <w:spacing w:after="0"/>
              <w:rPr>
                <w:sz w:val="20"/>
                <w:szCs w:val="20"/>
                <w:color w:val="auto"/>
              </w:rPr>
            </w:pPr>
            <w:r>
              <w:rPr>
                <w:rFonts w:ascii="Arial" w:cs="Arial" w:eastAsia="Arial" w:hAnsi="Arial"/>
                <w:sz w:val="18"/>
                <w:szCs w:val="18"/>
                <w:color w:val="auto"/>
              </w:rPr>
              <w:t>Total assets for reportable segments</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1,121,858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1,034,854</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1,055,694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8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principally cash and investments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137,186</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55,492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18,398</w:t>
            </w:r>
          </w:p>
        </w:tc>
        <w:tc>
          <w:tcPr>
            <w:tcW w:w="10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480" w:type="dxa"/>
            <w:vAlign w:val="bottom"/>
          </w:tcPr>
          <w:p>
            <w:pPr>
              <w:spacing w:after="0"/>
              <w:rPr>
                <w:sz w:val="21"/>
                <w:szCs w:val="21"/>
                <w:color w:val="auto"/>
              </w:rPr>
            </w:pPr>
          </w:p>
        </w:tc>
        <w:tc>
          <w:tcPr>
            <w:tcW w:w="4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consolidated assets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1,259,044</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1,090,346</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1,077,710</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75</w:t>
            </w: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480" w:type="dxa"/>
            <w:vAlign w:val="bottom"/>
            <w:tcBorders>
              <w:bottom w:val="single" w:sz="8" w:color="auto"/>
            </w:tcBorders>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right="160"/>
        <w:spacing w:after="0" w:line="266" w:lineRule="auto"/>
        <w:rPr>
          <w:sz w:val="20"/>
          <w:szCs w:val="20"/>
          <w:color w:val="auto"/>
        </w:rPr>
      </w:pPr>
      <w:r>
        <w:rPr>
          <w:rFonts w:ascii="Arial" w:cs="Arial" w:eastAsia="Arial" w:hAnsi="Arial"/>
          <w:sz w:val="18"/>
          <w:szCs w:val="18"/>
          <w:color w:val="auto"/>
        </w:rPr>
        <w:t>During the last three years, the following customers of our Semiconductor Test &amp; Inspection segment that comprised 10% or greater of our consolidated net sales were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55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r>
      <w:tr>
        <w:trPr>
          <w:trHeight w:val="20"/>
        </w:trPr>
        <w:tc>
          <w:tcPr>
            <w:tcW w:w="5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Intel</w:t>
            </w:r>
          </w:p>
        </w:tc>
        <w:tc>
          <w:tcPr>
            <w:tcW w:w="1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w:t>
            </w:r>
          </w:p>
        </w:tc>
      </w:tr>
      <w:tr>
        <w:trPr>
          <w:trHeight w:val="217"/>
        </w:trPr>
        <w:tc>
          <w:tcPr>
            <w:tcW w:w="5580" w:type="dxa"/>
            <w:vAlign w:val="bottom"/>
          </w:tcPr>
          <w:p>
            <w:pPr>
              <w:ind w:left="320"/>
              <w:spacing w:after="0"/>
              <w:rPr>
                <w:sz w:val="20"/>
                <w:szCs w:val="20"/>
                <w:color w:val="auto"/>
              </w:rPr>
            </w:pPr>
            <w:r>
              <w:rPr>
                <w:rFonts w:ascii="Arial" w:cs="Arial" w:eastAsia="Arial" w:hAnsi="Arial"/>
                <w:sz w:val="18"/>
                <w:szCs w:val="18"/>
                <w:color w:val="auto"/>
              </w:rPr>
              <w:t>* Less than 10% of consolidated net sales.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90" w:lineRule="exact"/>
        <w:rPr>
          <w:sz w:val="20"/>
          <w:szCs w:val="20"/>
          <w:color w:val="auto"/>
        </w:rPr>
      </w:pPr>
    </w:p>
    <w:p>
      <w:pPr>
        <w:ind w:left="320" w:right="740"/>
        <w:spacing w:after="0" w:line="266" w:lineRule="auto"/>
        <w:rPr>
          <w:sz w:val="20"/>
          <w:szCs w:val="20"/>
          <w:color w:val="auto"/>
        </w:rPr>
      </w:pPr>
      <w:r>
        <w:rPr>
          <w:rFonts w:ascii="Arial" w:cs="Arial" w:eastAsia="Arial" w:hAnsi="Arial"/>
          <w:sz w:val="18"/>
          <w:szCs w:val="18"/>
          <w:color w:val="auto"/>
        </w:rPr>
        <w:t>On June 24, 2021, we completed the divestment of our PCB Test business. Prior to this, no customer of our PCB Test segment exceeded 10% of consolidated net sales for the years ended December 25, 2021, December 26, 2020 and December 28, 2019.</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213,575</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118,213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Philippines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155,070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51,683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88,152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75,725</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Malaysia</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79,777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61,826</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77,495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71,963</w:t>
            </w:r>
          </w:p>
        </w:tc>
        <w:tc>
          <w:tcPr>
            <w:tcW w:w="0" w:type="dxa"/>
            <w:vAlign w:val="bottom"/>
          </w:tcPr>
          <w:p>
            <w:pPr>
              <w:spacing w:after="0"/>
              <w:rPr>
                <w:sz w:val="1"/>
                <w:szCs w:val="1"/>
                <w:color w:val="auto"/>
              </w:rPr>
            </w:pPr>
          </w:p>
        </w:tc>
      </w:tr>
      <w:tr>
        <w:trPr>
          <w:trHeight w:val="213"/>
        </w:trPr>
        <w:tc>
          <w:tcPr>
            <w:tcW w:w="4480" w:type="dxa"/>
            <w:vAlign w:val="bottom"/>
            <w:gridSpan w:val="2"/>
          </w:tcPr>
          <w:p>
            <w:pPr>
              <w:ind w:left="320"/>
              <w:spacing w:after="0"/>
              <w:rPr>
                <w:sz w:val="20"/>
                <w:szCs w:val="20"/>
                <w:color w:val="auto"/>
              </w:rPr>
            </w:pPr>
            <w:r>
              <w:rPr>
                <w:rFonts w:ascii="Arial" w:cs="Arial" w:eastAsia="Arial" w:hAnsi="Arial"/>
                <w:sz w:val="18"/>
                <w:szCs w:val="18"/>
                <w:color w:val="auto"/>
              </w:rPr>
              <w:t>Rest of the world</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186,103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203,919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887,214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636,007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583,329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680" w:type="dxa"/>
            <w:vAlign w:val="bottom"/>
            <w:gridSpan w:val="6"/>
          </w:tcPr>
          <w:p>
            <w:pPr>
              <w:spacing w:after="0"/>
              <w:rPr>
                <w:sz w:val="20"/>
                <w:szCs w:val="20"/>
                <w:color w:val="auto"/>
              </w:rPr>
            </w:pPr>
            <w:r>
              <w:rPr>
                <w:rFonts w:ascii="Arial" w:cs="Arial" w:eastAsia="Arial" w:hAnsi="Arial"/>
                <w:sz w:val="18"/>
                <w:szCs w:val="18"/>
                <w:color w:val="auto"/>
                <w:w w:val="95"/>
              </w:rPr>
              <w:t>Geographic location of our property, plant and equipment and other long-lived assets was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480" w:type="dxa"/>
            <w:vAlign w:val="bottom"/>
            <w:gridSpan w:val="2"/>
          </w:tcPr>
          <w:p>
            <w:pPr>
              <w:ind w:left="3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18,375</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Japan</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Philippines</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Malaysia</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63,957</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66,916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20" w:type="dxa"/>
            <w:vAlign w:val="bottom"/>
            <w:vMerge w:val="restart"/>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181,146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232,925</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150,477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177,585</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45,435</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Singapore</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Japan</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397,111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485,989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20" w:hanging="314"/>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rFonts w:ascii="Arial" w:cs="Arial" w:eastAsia="Arial" w:hAnsi="Arial"/>
          <w:sz w:val="18"/>
          <w:szCs w:val="18"/>
          <w:b w:val="1"/>
          <w:bCs w:val="1"/>
          <w:color w:val="auto"/>
        </w:rPr>
      </w:pPr>
    </w:p>
    <w:p>
      <w:pPr>
        <w:ind w:left="320" w:right="60"/>
        <w:spacing w:after="0" w:line="364" w:lineRule="auto"/>
        <w:rPr>
          <w:rFonts w:ascii="Arial" w:cs="Arial" w:eastAsia="Arial" w:hAnsi="Arial"/>
          <w:sz w:val="18"/>
          <w:szCs w:val="18"/>
          <w:b w:val="1"/>
          <w:bCs w:val="1"/>
          <w:color w:val="auto"/>
        </w:rPr>
      </w:pPr>
      <w:r>
        <w:rPr>
          <w:rFonts w:ascii="Arial" w:cs="Arial" w:eastAsia="Arial" w:hAnsi="Arial"/>
          <w:sz w:val="14"/>
          <w:szCs w:val="14"/>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spacing w:after="0" w:line="119" w:lineRule="exact"/>
        <w:rPr>
          <w:rFonts w:ascii="Arial" w:cs="Arial" w:eastAsia="Arial" w:hAnsi="Arial"/>
          <w:sz w:val="18"/>
          <w:szCs w:val="18"/>
          <w:b w:val="1"/>
          <w:bCs w:val="1"/>
          <w:color w:val="auto"/>
        </w:rPr>
      </w:pPr>
    </w:p>
    <w:p>
      <w:pPr>
        <w:ind w:left="32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leases have remaining lease terms ranging from 1 year to 36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127"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December 25,</w:t>
            </w:r>
          </w:p>
        </w:tc>
        <w:tc>
          <w:tcPr>
            <w:tcW w:w="2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December 26,</w:t>
            </w:r>
          </w:p>
        </w:tc>
      </w:tr>
      <w:tr>
        <w:trPr>
          <w:trHeight w:val="225"/>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Classification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r>
      <w:tr>
        <w:trPr>
          <w:trHeight w:val="207"/>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2380" w:type="dxa"/>
            <w:vAlign w:val="bottom"/>
          </w:tcPr>
          <w:p>
            <w:pPr>
              <w:ind w:left="160"/>
              <w:spacing w:after="0"/>
              <w:rPr>
                <w:sz w:val="20"/>
                <w:szCs w:val="20"/>
                <w:color w:val="auto"/>
              </w:rPr>
            </w:pPr>
            <w:r>
              <w:rPr>
                <w:rFonts w:ascii="Arial" w:cs="Arial" w:eastAsia="Arial" w:hAnsi="Arial"/>
                <w:sz w:val="18"/>
                <w:szCs w:val="18"/>
                <w:color w:val="auto"/>
              </w:rPr>
              <w:t>Operating lease assets</w:t>
            </w:r>
          </w:p>
        </w:tc>
        <w:tc>
          <w:tcPr>
            <w:tcW w:w="464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25,060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29,203</w:t>
            </w: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 assets</w:t>
            </w:r>
          </w:p>
        </w:tc>
        <w:tc>
          <w:tcPr>
            <w:tcW w:w="4640" w:type="dxa"/>
            <w:vAlign w:val="bottom"/>
            <w:shd w:val="clear" w:color="auto" w:fill="CCEEFF"/>
          </w:tcPr>
          <w:p>
            <w:pPr>
              <w:ind w:left="100"/>
              <w:spacing w:after="0" w:line="213" w:lineRule="exact"/>
              <w:rPr>
                <w:sz w:val="20"/>
                <w:szCs w:val="20"/>
                <w:color w:val="auto"/>
              </w:rPr>
            </w:pPr>
            <w:r>
              <w:rPr>
                <w:rFonts w:ascii="Arial" w:cs="Arial" w:eastAsia="Arial" w:hAnsi="Arial"/>
                <w:sz w:val="15"/>
                <w:szCs w:val="15"/>
                <w:color w:val="auto"/>
              </w:rPr>
              <w:t xml:space="preserve">Property, plant and equipment, net </w:t>
            </w:r>
            <w:r>
              <w:rPr>
                <w:rFonts w:ascii="Arial" w:cs="Arial" w:eastAsia="Arial" w:hAnsi="Arial"/>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r>
      <w:tr>
        <w:trPr>
          <w:trHeight w:val="20"/>
        </w:trPr>
        <w:tc>
          <w:tcPr>
            <w:tcW w:w="238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6"/>
        </w:trPr>
        <w:tc>
          <w:tcPr>
            <w:tcW w:w="2380" w:type="dxa"/>
            <w:vAlign w:val="bottom"/>
          </w:tcPr>
          <w:p>
            <w:pPr>
              <w:ind w:left="320"/>
              <w:spacing w:after="0"/>
              <w:rPr>
                <w:sz w:val="20"/>
                <w:szCs w:val="20"/>
                <w:color w:val="auto"/>
              </w:rPr>
            </w:pPr>
            <w:r>
              <w:rPr>
                <w:rFonts w:ascii="Arial" w:cs="Arial" w:eastAsia="Arial" w:hAnsi="Arial"/>
                <w:sz w:val="18"/>
                <w:szCs w:val="18"/>
                <w:color w:val="auto"/>
              </w:rPr>
              <w:t>Total lease assets</w:t>
            </w:r>
          </w:p>
        </w:tc>
        <w:tc>
          <w:tcPr>
            <w:tcW w:w="46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25,483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29,689</w:t>
            </w:r>
          </w:p>
        </w:tc>
      </w:tr>
      <w:tr>
        <w:trPr>
          <w:trHeight w:val="20"/>
        </w:trPr>
        <w:tc>
          <w:tcPr>
            <w:tcW w:w="2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23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Liabilities:</w:t>
            </w:r>
          </w:p>
        </w:tc>
        <w:tc>
          <w:tcPr>
            <w:tcW w:w="4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3"/>
        </w:trPr>
        <w:tc>
          <w:tcPr>
            <w:tcW w:w="2380" w:type="dxa"/>
            <w:vAlign w:val="bottom"/>
          </w:tcPr>
          <w:p>
            <w:pPr>
              <w:ind w:left="160"/>
              <w:spacing w:after="0"/>
              <w:rPr>
                <w:sz w:val="20"/>
                <w:szCs w:val="20"/>
                <w:color w:val="auto"/>
              </w:rPr>
            </w:pPr>
            <w:r>
              <w:rPr>
                <w:rFonts w:ascii="Arial" w:cs="Arial" w:eastAsia="Arial" w:hAnsi="Arial"/>
                <w:sz w:val="18"/>
                <w:szCs w:val="18"/>
                <w:color w:val="auto"/>
              </w:rPr>
              <w:t>Current:</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5,287</w:t>
            </w:r>
          </w:p>
        </w:tc>
      </w:tr>
      <w:tr>
        <w:trPr>
          <w:trHeight w:val="213"/>
        </w:trPr>
        <w:tc>
          <w:tcPr>
            <w:tcW w:w="2380" w:type="dxa"/>
            <w:vAlign w:val="bottom"/>
          </w:tcPr>
          <w:p>
            <w:pPr>
              <w:ind w:left="320"/>
              <w:spacing w:after="0"/>
              <w:rPr>
                <w:sz w:val="20"/>
                <w:szCs w:val="20"/>
                <w:color w:val="auto"/>
              </w:rPr>
            </w:pPr>
            <w:r>
              <w:rPr>
                <w:rFonts w:ascii="Arial" w:cs="Arial" w:eastAsia="Arial" w:hAnsi="Arial"/>
                <w:sz w:val="18"/>
                <w:szCs w:val="18"/>
                <w:color w:val="auto"/>
              </w:rPr>
              <w:t>Finance</w:t>
            </w:r>
          </w:p>
        </w:tc>
        <w:tc>
          <w:tcPr>
            <w:tcW w:w="4640" w:type="dxa"/>
            <w:vAlign w:val="bottom"/>
          </w:tcPr>
          <w:p>
            <w:pPr>
              <w:ind w:left="10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238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4640" w:type="dxa"/>
            <w:vAlign w:val="bottom"/>
          </w:tcPr>
          <w:p>
            <w:pPr>
              <w:ind w:left="10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21,977</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25,565</w:t>
            </w:r>
          </w:p>
        </w:tc>
      </w:tr>
      <w:tr>
        <w:trPr>
          <w:trHeight w:val="213"/>
        </w:trPr>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w:t>
            </w: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lease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6"/>
        </w:trPr>
        <w:tc>
          <w:tcPr>
            <w:tcW w:w="2380" w:type="dxa"/>
            <w:vAlign w:val="bottom"/>
          </w:tcPr>
          <w:p>
            <w:pPr>
              <w:ind w:left="320"/>
              <w:spacing w:after="0"/>
              <w:rPr>
                <w:sz w:val="20"/>
                <w:szCs w:val="20"/>
                <w:color w:val="auto"/>
              </w:rPr>
            </w:pPr>
            <w:r>
              <w:rPr>
                <w:rFonts w:ascii="Arial" w:cs="Arial" w:eastAsia="Arial" w:hAnsi="Arial"/>
                <w:sz w:val="18"/>
                <w:szCs w:val="18"/>
                <w:color w:val="auto"/>
              </w:rPr>
              <w:t>Total lease liabilities</w:t>
            </w:r>
          </w:p>
        </w:tc>
        <w:tc>
          <w:tcPr>
            <w:tcW w:w="46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27,093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31,253</w:t>
            </w:r>
          </w:p>
        </w:tc>
      </w:tr>
      <w:tr>
        <w:trPr>
          <w:trHeight w:val="20"/>
        </w:trPr>
        <w:tc>
          <w:tcPr>
            <w:tcW w:w="2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702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(years):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r>
      <w:tr>
        <w:trPr>
          <w:trHeight w:val="213"/>
        </w:trPr>
        <w:tc>
          <w:tcPr>
            <w:tcW w:w="238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3"/>
        </w:trPr>
        <w:tc>
          <w:tcPr>
            <w:tcW w:w="23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8"/>
                <w:szCs w:val="18"/>
                <w:color w:val="auto"/>
                <w:w w:val="90"/>
              </w:rPr>
              <w:t>Weighted-average discount rate:</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24"/>
        </w:trPr>
        <w:tc>
          <w:tcPr>
            <w:tcW w:w="238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-6350</wp:posOffset>
            </wp:positionV>
            <wp:extent cx="67710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1005" cy="8255"/>
                    </a:xfrm>
                    <a:prstGeom prst="rect">
                      <a:avLst/>
                    </a:prstGeom>
                    <a:noFill/>
                  </pic:spPr>
                </pic:pic>
              </a:graphicData>
            </a:graphic>
          </wp:anchor>
        </w:drawing>
      </w:r>
    </w:p>
    <w:p>
      <w:pPr>
        <w:ind w:left="320" w:right="3300" w:firstLine="166"/>
        <w:spacing w:after="0" w:line="488" w:lineRule="auto"/>
        <w:tabs>
          <w:tab w:leader="none" w:pos="7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Finance lease assets are recorded net of accumulated amortization of $0.1 million in 2021 and 2020. The components of lease expense were as follows:</w:t>
      </w:r>
    </w:p>
    <w:tbl>
      <w:tblPr>
        <w:tblLayout w:type="fixed"/>
        <w:tblInd w:w="32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8"/>
                <w:szCs w:val="18"/>
                <w:color w:val="auto"/>
              </w:rPr>
              <w:t>December 25,</w:t>
            </w:r>
          </w:p>
        </w:tc>
        <w:tc>
          <w:tcPr>
            <w:tcW w:w="14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7,638</w:t>
            </w:r>
          </w:p>
        </w:tc>
        <w:tc>
          <w:tcPr>
            <w:tcW w:w="5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Short-term operating leases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Finance leases: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leased assets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Net lease cost</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17"/>
                <w:szCs w:val="17"/>
                <w:color w:val="auto"/>
              </w:rPr>
            </w:pPr>
          </w:p>
        </w:tc>
        <w:tc>
          <w:tcPr>
            <w:tcW w:w="52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0"/>
        </w:trPr>
        <w:tc>
          <w:tcPr>
            <w:tcW w:w="6160" w:type="dxa"/>
            <w:vAlign w:val="bottom"/>
            <w:gridSpan w:val="6"/>
            <w:vMerge w:val="restart"/>
          </w:tcPr>
          <w:p>
            <w:pPr>
              <w:jc w:val="right"/>
              <w:ind w:right="1100"/>
              <w:spacing w:after="0"/>
              <w:rPr>
                <w:sz w:val="20"/>
                <w:szCs w:val="20"/>
                <w:color w:val="auto"/>
              </w:rPr>
            </w:pPr>
            <w:r>
              <w:rPr>
                <w:rFonts w:ascii="Arial" w:cs="Arial" w:eastAsia="Arial" w:hAnsi="Arial"/>
                <w:sz w:val="18"/>
                <w:szCs w:val="18"/>
                <w:color w:val="auto"/>
                <w:w w:val="88"/>
              </w:rPr>
              <w:t>Future minimum lease payments at December 25, 2021, are as follows:</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16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8"/>
                <w:szCs w:val="18"/>
                <w:color w:val="auto"/>
              </w:rPr>
              <w:t>Finance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660"/>
              <w:spacing w:after="0" w:line="225" w:lineRule="exact"/>
              <w:rPr>
                <w:sz w:val="20"/>
                <w:szCs w:val="20"/>
                <w:color w:val="auto"/>
              </w:rPr>
            </w:pPr>
            <w:r>
              <w:rPr>
                <w:rFonts w:ascii="Arial" w:cs="Arial" w:eastAsia="Arial" w:hAnsi="Arial"/>
                <w:sz w:val="16"/>
                <w:szCs w:val="16"/>
                <w:color w:val="auto"/>
              </w:rPr>
              <w:t xml:space="preserve">leases </w:t>
            </w:r>
            <w:r>
              <w:rPr>
                <w:rFonts w:ascii="Arial" w:cs="Arial" w:eastAsia="Arial" w:hAnsi="Arial"/>
                <w:sz w:val="26"/>
                <w:szCs w:val="26"/>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8"/>
                <w:szCs w:val="18"/>
                <w:color w:val="auto"/>
              </w:rPr>
              <w:t>leases</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6,341</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5,445</w:t>
            </w:r>
          </w:p>
        </w:tc>
        <w:tc>
          <w:tcPr>
            <w:tcW w:w="32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40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5,485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5,050</w:t>
            </w:r>
          </w:p>
        </w:tc>
        <w:tc>
          <w:tcPr>
            <w:tcW w:w="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4,912</w:t>
            </w:r>
          </w:p>
        </w:tc>
        <w:tc>
          <w:tcPr>
            <w:tcW w:w="32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4,923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2,617</w:t>
            </w:r>
          </w:p>
        </w:tc>
        <w:tc>
          <w:tcPr>
            <w:tcW w:w="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9,656</w:t>
            </w:r>
          </w:p>
        </w:tc>
        <w:tc>
          <w:tcPr>
            <w:tcW w:w="32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9,656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34,021</w:t>
            </w:r>
          </w:p>
        </w:tc>
        <w:tc>
          <w:tcPr>
            <w:tcW w:w="32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34,255</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Interest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(7,158)</w:t>
            </w:r>
          </w:p>
        </w:tc>
        <w:tc>
          <w:tcPr>
            <w:tcW w:w="3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(7,162)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lease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26,863</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27,093</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spacing w:after="0"/>
        <w:rPr>
          <w:sz w:val="20"/>
          <w:szCs w:val="20"/>
          <w:color w:val="auto"/>
        </w:rPr>
      </w:pPr>
      <w:r>
        <w:rPr>
          <w:rFonts w:ascii="Arial" w:cs="Arial" w:eastAsia="Arial" w:hAnsi="Arial"/>
          <w:sz w:val="18"/>
          <w:szCs w:val="18"/>
          <w:color w:val="auto"/>
        </w:rPr>
        <w:t>(1) Excludes sublease income of $0.1 million in 2022 and 2023.</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5"/>
        </w:trPr>
        <w:tc>
          <w:tcPr>
            <w:tcW w:w="6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jc w:val="right"/>
              <w:ind w:right="311"/>
              <w:spacing w:after="0"/>
              <w:rPr>
                <w:sz w:val="20"/>
                <w:szCs w:val="20"/>
                <w:color w:val="auto"/>
              </w:rPr>
            </w:pPr>
            <w:r>
              <w:rPr>
                <w:rFonts w:ascii="Arial" w:cs="Arial" w:eastAsia="Arial" w:hAnsi="Arial"/>
                <w:sz w:val="18"/>
                <w:szCs w:val="18"/>
                <w:color w:val="auto"/>
                <w:w w:val="95"/>
              </w:rPr>
              <w:t>December 25,</w:t>
            </w:r>
          </w:p>
        </w:tc>
        <w:tc>
          <w:tcPr>
            <w:tcW w:w="3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26,</w:t>
            </w:r>
          </w:p>
        </w:tc>
      </w:tr>
      <w:tr>
        <w:trPr>
          <w:trHeight w:val="225"/>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6080" w:type="dxa"/>
            <w:vAlign w:val="bottom"/>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7,628</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8,079</w:t>
            </w:r>
          </w:p>
        </w:tc>
      </w:tr>
      <w:tr>
        <w:trPr>
          <w:trHeight w:val="213"/>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cash flows from finance leases</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13"/>
        </w:trPr>
        <w:tc>
          <w:tcPr>
            <w:tcW w:w="6080" w:type="dxa"/>
            <w:vAlign w:val="bottom"/>
          </w:tcPr>
          <w:p>
            <w:pPr>
              <w:ind w:left="320"/>
              <w:spacing w:after="0"/>
              <w:rPr>
                <w:sz w:val="20"/>
                <w:szCs w:val="20"/>
                <w:color w:val="auto"/>
              </w:rPr>
            </w:pPr>
            <w:r>
              <w:rPr>
                <w:rFonts w:ascii="Arial" w:cs="Arial" w:eastAsia="Arial" w:hAnsi="Arial"/>
                <w:sz w:val="18"/>
                <w:szCs w:val="18"/>
                <w:color w:val="auto"/>
              </w:rPr>
              <w:t>Financing cash flows from finance leases</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3,866</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2,403</w:t>
            </w:r>
          </w:p>
        </w:tc>
      </w:tr>
    </w:tbl>
    <w:p>
      <w:pPr>
        <w:spacing w:after="0" w:line="200" w:lineRule="exact"/>
        <w:rPr>
          <w:sz w:val="20"/>
          <w:szCs w:val="20"/>
          <w:color w:val="auto"/>
        </w:rPr>
      </w:pPr>
    </w:p>
    <w:p>
      <w:pPr>
        <w:spacing w:after="0" w:line="223"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4" w:lineRule="exact"/>
        <w:rPr>
          <w:rFonts w:ascii="Arial" w:cs="Arial" w:eastAsia="Arial" w:hAnsi="Arial"/>
          <w:sz w:val="18"/>
          <w:szCs w:val="18"/>
          <w:b w:val="1"/>
          <w:bCs w:val="1"/>
          <w:color w:val="auto"/>
        </w:rPr>
      </w:pPr>
    </w:p>
    <w:p>
      <w:pPr>
        <w:ind w:left="32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ind w:left="320" w:right="9520" w:hanging="314"/>
        <w:spacing w:after="0" w:line="559" w:lineRule="auto"/>
        <w:tabs>
          <w:tab w:leader="none" w:pos="32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ind w:left="32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25, 2021, was as follows: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6,382</w:t>
            </w: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17"/>
                <w:szCs w:val="17"/>
                <w:color w:val="auto"/>
              </w:rPr>
            </w:pP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Warranty accruals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13,389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18"/>
                <w:szCs w:val="18"/>
                <w:color w:val="auto"/>
              </w:rPr>
            </w:pPr>
          </w:p>
        </w:tc>
      </w:tr>
      <w:tr>
        <w:trPr>
          <w:trHeight w:val="213"/>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 payments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w:t>
            </w:r>
          </w:p>
        </w:tc>
      </w:tr>
      <w:tr>
        <w:trPr>
          <w:trHeight w:val="213"/>
        </w:trPr>
        <w:tc>
          <w:tcPr>
            <w:tcW w:w="5660" w:type="dxa"/>
            <w:vAlign w:val="bottom"/>
          </w:tcPr>
          <w:p>
            <w:pPr>
              <w:ind w:left="160"/>
              <w:spacing w:after="0"/>
              <w:rPr>
                <w:sz w:val="20"/>
                <w:szCs w:val="20"/>
                <w:color w:val="auto"/>
              </w:rPr>
            </w:pPr>
            <w:r>
              <w:rPr>
                <w:rFonts w:ascii="Arial" w:cs="Arial" w:eastAsia="Arial" w:hAnsi="Arial"/>
                <w:sz w:val="18"/>
                <w:szCs w:val="18"/>
                <w:color w:val="auto"/>
              </w:rPr>
              <w:t>Warranty liability transferred</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amounts totaled $1.1 million and $0.3 million at December 25, 2021 and December 26, 2020, respectively.</w:t>
      </w:r>
    </w:p>
    <w:p>
      <w:pPr>
        <w:spacing w:after="0" w:line="200" w:lineRule="exact"/>
        <w:rPr>
          <w:sz w:val="20"/>
          <w:szCs w:val="20"/>
          <w:color w:val="auto"/>
        </w:rPr>
      </w:pPr>
    </w:p>
    <w:p>
      <w:pPr>
        <w:spacing w:after="0" w:line="241" w:lineRule="exact"/>
        <w:rPr>
          <w:sz w:val="20"/>
          <w:szCs w:val="20"/>
          <w:color w:val="auto"/>
        </w:rPr>
      </w:pPr>
    </w:p>
    <w:p>
      <w:pPr>
        <w:ind w:left="320" w:right="6960" w:hanging="314"/>
        <w:spacing w:after="0" w:line="497" w:lineRule="auto"/>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Divestitures and Discontinued Operations </w:t>
      </w:r>
      <w:r>
        <w:rPr>
          <w:rFonts w:ascii="Arial" w:cs="Arial" w:eastAsia="Arial" w:hAnsi="Arial"/>
          <w:sz w:val="18"/>
          <w:szCs w:val="18"/>
          <w:i w:val="1"/>
          <w:iCs w:val="1"/>
          <w:u w:val="single" w:color="auto"/>
          <w:color w:val="auto"/>
        </w:rPr>
        <w:t>PCB Test Equipment Business</w:t>
      </w:r>
    </w:p>
    <w:p>
      <w:pPr>
        <w:ind w:left="320" w:right="1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June 24, 2021, we completed the sale of our PCB Test Equipment (“PCB Test”) business, which represented our PCB Test reportable segment. As part of the transaction we also sold certain intellectual property held by our Semiconductor Test &amp; Inspection segment that is utilized by the PCB Test business. Our decision to sell this non-core business resulted from management’s determination that that they were no longer a fit within our organization. We received gross proceeds of $125.1 million, subject to certain closing adjustments. The sale generated a $70.8 million pre-tax gain on sale of business, which was recorded in our consolidated statements of operations for the twelve months ended December 25, 2021. As a result of the closing of the transaction, we derecognized net assets of $48.2 million, including goodwill of $21.9 million and intangible assets of $14.8 million.</w:t>
      </w:r>
    </w:p>
    <w:p>
      <w:pPr>
        <w:spacing w:after="0" w:line="166" w:lineRule="exact"/>
        <w:rPr>
          <w:rFonts w:ascii="Arial" w:cs="Arial" w:eastAsia="Arial" w:hAnsi="Arial"/>
          <w:sz w:val="18"/>
          <w:szCs w:val="18"/>
          <w:b w:val="1"/>
          <w:bCs w:val="1"/>
          <w:color w:val="auto"/>
        </w:rPr>
      </w:pPr>
    </w:p>
    <w:p>
      <w:pPr>
        <w:jc w:val="both"/>
        <w:ind w:left="32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We evaluated the guidance in ASC 205-20,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and determined that the divestment of our PCB Test business does not represent a strategic shift as the divestiture will not have a major effect on Cohu’s operations and financial results and, as a result, it is not presented as discontinued operations in any periods presented. Subsequent to the sale of our PCB Test business, we have one reportable segment, Semiconductor Test &amp; Inspection.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Fixtures Services Business (</w:t>
      </w:r>
      <w:r>
        <w:rPr>
          <w:rFonts w:ascii="Arial" w:cs="Arial" w:eastAsia="Arial" w:hAnsi="Arial"/>
          <w:sz w:val="18"/>
          <w:szCs w:val="18"/>
          <w:color w:val="auto"/>
        </w:rPr>
        <w:t>“</w:t>
      </w:r>
      <w:r>
        <w:rPr>
          <w:rFonts w:ascii="Arial" w:cs="Arial" w:eastAsia="Arial" w:hAnsi="Arial"/>
          <w:sz w:val="18"/>
          <w:szCs w:val="18"/>
          <w:i w:val="1"/>
          <w:iCs w:val="1"/>
          <w:u w:val="single" w:color="auto"/>
          <w:color w:val="auto"/>
        </w:rPr>
        <w:t>FSG</w:t>
      </w:r>
      <w:r>
        <w:rPr>
          <w:rFonts w:ascii="Arial" w:cs="Arial" w:eastAsia="Arial" w:hAnsi="Arial"/>
          <w:sz w:val="18"/>
          <w:szCs w:val="18"/>
          <w:color w:val="auto"/>
        </w:rPr>
        <w:t>”</w:t>
      </w:r>
      <w:r>
        <w:rPr>
          <w:rFonts w:ascii="Arial" w:cs="Arial" w:eastAsia="Arial" w:hAnsi="Arial"/>
          <w:sz w:val="18"/>
          <w:szCs w:val="18"/>
          <w:i w:val="1"/>
          <w:iCs w:val="1"/>
          <w:u w:val="single" w:color="auto"/>
          <w:color w:val="auto"/>
        </w:rPr>
        <w:t>)</w:t>
      </w:r>
    </w:p>
    <w:p>
      <w:pPr>
        <w:spacing w:after="0" w:line="219"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On October 1, 2018, we acquired a fixtures services business as part of Xcerra. At the time of the acquisition our management determined that this business did not align with Cohu’s core business and was not a strategic fit within our organization. The fixtures services business was marketed for sale since we acquired Xcerra on October 1, 2018 and it has been presented as discontinued operations as it met the held for sale criteria. For financial statement purposes, the results of operations for this business have been segregated from those of continuing operations and are presented in our consolidated financial statements as discontinued operations for all periods presented.</w:t>
      </w:r>
    </w:p>
    <w:p>
      <w:pPr>
        <w:spacing w:after="0" w:line="178" w:lineRule="exact"/>
        <w:rPr>
          <w:sz w:val="20"/>
          <w:szCs w:val="20"/>
          <w:color w:val="auto"/>
        </w:rPr>
      </w:pPr>
    </w:p>
    <w:p>
      <w:pPr>
        <w:jc w:val="both"/>
        <w:ind w:left="320"/>
        <w:spacing w:after="0" w:line="303" w:lineRule="auto"/>
        <w:rPr>
          <w:sz w:val="20"/>
          <w:szCs w:val="20"/>
          <w:color w:val="auto"/>
        </w:rPr>
      </w:pPr>
      <w:r>
        <w:rPr>
          <w:rFonts w:ascii="Arial" w:cs="Arial" w:eastAsia="Arial" w:hAnsi="Arial"/>
          <w:sz w:val="16"/>
          <w:szCs w:val="16"/>
          <w:color w:val="auto"/>
        </w:rPr>
        <w:t>During the fourth quarter of 2019, we recorded a charge of $1.1 million to impair goodwill and purchased intangible assets associated with this operating segment as the estimated fair value less cost to sell exceeded the carrying value. We completed the sale of this business in February 2020 which resulted in an immaterial gain that that was recorded in our statement of operations for the twelve months ended December 26, 2020, as noted below.</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7420" w:type="dxa"/>
            <w:vAlign w:val="bottom"/>
            <w:gridSpan w:val="2"/>
          </w:tcPr>
          <w:p>
            <w:pPr>
              <w:spacing w:after="0"/>
              <w:rPr>
                <w:sz w:val="20"/>
                <w:szCs w:val="20"/>
                <w:color w:val="auto"/>
              </w:rPr>
            </w:pPr>
            <w:r>
              <w:rPr>
                <w:rFonts w:ascii="Arial" w:cs="Arial" w:eastAsia="Arial" w:hAnsi="Arial"/>
                <w:sz w:val="18"/>
                <w:szCs w:val="18"/>
                <w:color w:val="auto"/>
              </w:rPr>
              <w:t xml:space="preserve">Operating results of our discontinued operations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December 26,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28,</w:t>
            </w:r>
          </w:p>
        </w:tc>
      </w:tr>
      <w:tr>
        <w:trPr>
          <w:trHeight w:val="225"/>
        </w:trPr>
        <w:tc>
          <w:tcPr>
            <w:tcW w:w="1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r>
      <w:tr>
        <w:trPr>
          <w:trHeight w:val="247"/>
        </w:trPr>
        <w:tc>
          <w:tcPr>
            <w:tcW w:w="160" w:type="dxa"/>
            <w:vAlign w:val="bottom"/>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6,136</w:t>
            </w:r>
          </w:p>
        </w:tc>
      </w:tr>
      <w:tr>
        <w:trPr>
          <w:trHeight w:val="193"/>
        </w:trPr>
        <w:tc>
          <w:tcPr>
            <w:tcW w:w="160" w:type="dxa"/>
            <w:vAlign w:val="bottom"/>
          </w:tcPr>
          <w:p>
            <w:pPr>
              <w:spacing w:after="0"/>
              <w:rPr>
                <w:sz w:val="16"/>
                <w:szCs w:val="16"/>
                <w:color w:val="auto"/>
              </w:rPr>
            </w:pPr>
          </w:p>
        </w:tc>
        <w:tc>
          <w:tcPr>
            <w:tcW w:w="7260" w:type="dxa"/>
            <w:vAlign w:val="bottom"/>
            <w:tcBorders>
              <w:top w:val="single" w:sz="8" w:color="CCEEFF"/>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r>
      <w:tr>
        <w:trPr>
          <w:trHeight w:val="213"/>
        </w:trPr>
        <w:tc>
          <w:tcPr>
            <w:tcW w:w="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Loss from impairment of FSG</w:t>
            </w:r>
          </w:p>
        </w:tc>
        <w:tc>
          <w:tcPr>
            <w:tcW w:w="1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r>
      <w:tr>
        <w:trPr>
          <w:trHeight w:val="213"/>
        </w:trPr>
        <w:tc>
          <w:tcPr>
            <w:tcW w:w="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FSG</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r>
      <w:tr>
        <w:trPr>
          <w:trHeight w:val="213"/>
        </w:trPr>
        <w:tc>
          <w:tcPr>
            <w:tcW w:w="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r>
      <w:tr>
        <w:trPr>
          <w:trHeight w:val="20"/>
        </w:trPr>
        <w:tc>
          <w:tcPr>
            <w:tcW w:w="16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(loss), net of tax</w:t>
            </w:r>
          </w:p>
        </w:tc>
        <w:tc>
          <w:tcPr>
            <w:tcW w:w="1260" w:type="dxa"/>
            <w:vAlign w:val="bottom"/>
          </w:tcPr>
          <w:p>
            <w:pPr>
              <w:jc w:val="right"/>
              <w:ind w:right="1101"/>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r>
      <w:tr>
        <w:trPr>
          <w:trHeight w:val="20"/>
        </w:trPr>
        <w:tc>
          <w:tcPr>
            <w:tcW w:w="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income (loss), on an after-tax basis, were as follows: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Tax (Expense)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Before Tax 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Benefit</w:t>
            </w: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Net of Tax Amount</w:t>
            </w:r>
          </w:p>
        </w:tc>
      </w:tr>
      <w:tr>
        <w:trPr>
          <w:trHeight w:val="207"/>
        </w:trPr>
        <w:tc>
          <w:tcPr>
            <w:tcW w:w="160" w:type="dxa"/>
            <w:vAlign w:val="bottom"/>
          </w:tcPr>
          <w:p>
            <w:pPr>
              <w:spacing w:after="0"/>
              <w:rPr>
                <w:sz w:val="17"/>
                <w:szCs w:val="17"/>
                <w:color w:val="auto"/>
              </w:rPr>
            </w:pPr>
          </w:p>
        </w:tc>
        <w:tc>
          <w:tcPr>
            <w:tcW w:w="54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(7,522)</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(7,522)</w:t>
            </w:r>
          </w:p>
        </w:tc>
      </w:tr>
      <w:tr>
        <w:trPr>
          <w:trHeight w:val="213"/>
        </w:trPr>
        <w:tc>
          <w:tcPr>
            <w:tcW w:w="16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r>
      <w:tr>
        <w:trPr>
          <w:trHeight w:val="20"/>
        </w:trPr>
        <w:tc>
          <w:tcPr>
            <w:tcW w:w="160" w:type="dxa"/>
            <w:vAlign w:val="bottom"/>
          </w:tcPr>
          <w:p>
            <w:pPr>
              <w:spacing w:after="0" w:line="20" w:lineRule="exact"/>
              <w:rPr>
                <w:sz w:val="1"/>
                <w:szCs w:val="1"/>
                <w:color w:val="auto"/>
              </w:rPr>
            </w:pPr>
          </w:p>
        </w:tc>
        <w:tc>
          <w:tcPr>
            <w:tcW w:w="5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(8,378)</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(8,150)</w:t>
            </w:r>
          </w:p>
        </w:tc>
      </w:tr>
      <w:tr>
        <w:trPr>
          <w:trHeight w:val="20"/>
        </w:trPr>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5480" w:type="dxa"/>
            <w:vAlign w:val="bottom"/>
            <w:tcBorders>
              <w:right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Year ended December 26, 2020</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27,321</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27,321</w:t>
            </w:r>
          </w:p>
        </w:tc>
      </w:tr>
      <w:tr>
        <w:trPr>
          <w:trHeight w:val="213"/>
        </w:trPr>
        <w:tc>
          <w:tcPr>
            <w:tcW w:w="16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r>
      <w:tr>
        <w:trPr>
          <w:trHeight w:val="20"/>
        </w:trPr>
        <w:tc>
          <w:tcPr>
            <w:tcW w:w="160" w:type="dxa"/>
            <w:vAlign w:val="bottom"/>
          </w:tcPr>
          <w:p>
            <w:pPr>
              <w:spacing w:after="0" w:line="20" w:lineRule="exact"/>
              <w:rPr>
                <w:sz w:val="1"/>
                <w:szCs w:val="1"/>
                <w:color w:val="auto"/>
              </w:rPr>
            </w:pPr>
          </w:p>
        </w:tc>
        <w:tc>
          <w:tcPr>
            <w:tcW w:w="5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29,920</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29,704</w:t>
            </w:r>
          </w:p>
        </w:tc>
      </w:tr>
      <w:tr>
        <w:trPr>
          <w:trHeight w:val="20"/>
        </w:trPr>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5480" w:type="dxa"/>
            <w:vAlign w:val="bottom"/>
            <w:tcBorders>
              <w:right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Year ended December 25, 2021</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(22,859)</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(22,956)</w:t>
            </w:r>
          </w:p>
        </w:tc>
      </w:tr>
      <w:tr>
        <w:trPr>
          <w:trHeight w:val="213"/>
        </w:trPr>
        <w:tc>
          <w:tcPr>
            <w:tcW w:w="16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2,602</w:t>
            </w:r>
          </w:p>
        </w:tc>
      </w:tr>
      <w:tr>
        <w:trPr>
          <w:trHeight w:val="213"/>
        </w:trPr>
        <w:tc>
          <w:tcPr>
            <w:tcW w:w="16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3"/>
        </w:trPr>
        <w:tc>
          <w:tcPr>
            <w:tcW w:w="16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Reclassification due to sale of PBC Test Business</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w:t>
            </w:r>
          </w:p>
        </w:tc>
      </w:tr>
      <w:tr>
        <w:trPr>
          <w:trHeight w:val="20"/>
        </w:trPr>
        <w:tc>
          <w:tcPr>
            <w:tcW w:w="160" w:type="dxa"/>
            <w:vAlign w:val="bottom"/>
          </w:tcPr>
          <w:p>
            <w:pPr>
              <w:spacing w:after="0" w:line="20" w:lineRule="exact"/>
              <w:rPr>
                <w:sz w:val="1"/>
                <w:szCs w:val="1"/>
                <w:color w:val="auto"/>
              </w:rPr>
            </w:pPr>
          </w:p>
        </w:tc>
        <w:tc>
          <w:tcPr>
            <w:tcW w:w="5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6"/>
        </w:trPr>
        <w:tc>
          <w:tcPr>
            <w:tcW w:w="160" w:type="dxa"/>
            <w:vAlign w:val="bottom"/>
          </w:tcPr>
          <w:p>
            <w:pPr>
              <w:spacing w:after="0"/>
              <w:rPr>
                <w:sz w:val="17"/>
                <w:szCs w:val="17"/>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(22,521)</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340" w:type="dxa"/>
            <w:vAlign w:val="bottom"/>
          </w:tcPr>
          <w:p>
            <w:pPr>
              <w:jc w:val="right"/>
              <w:ind w:right="259"/>
              <w:spacing w:after="0"/>
              <w:rPr>
                <w:sz w:val="20"/>
                <w:szCs w:val="20"/>
                <w:color w:val="auto"/>
              </w:rPr>
            </w:pPr>
            <w:r>
              <w:rPr>
                <w:rFonts w:ascii="Arial" w:cs="Arial" w:eastAsia="Arial" w:hAnsi="Arial"/>
                <w:sz w:val="4"/>
                <w:szCs w:val="4"/>
                <w:color w:val="auto"/>
                <w:w w:val="87"/>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(22,936)</w:t>
            </w:r>
          </w:p>
        </w:tc>
      </w:tr>
      <w:tr>
        <w:trPr>
          <w:trHeight w:val="20"/>
        </w:trPr>
        <w:tc>
          <w:tcPr>
            <w:tcW w:w="564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5"/>
        </w:trPr>
        <w:tc>
          <w:tcPr>
            <w:tcW w:w="9180" w:type="dxa"/>
            <w:vAlign w:val="bottom"/>
            <w:gridSpan w:val="9"/>
          </w:tcPr>
          <w:p>
            <w:pPr>
              <w:jc w:val="right"/>
              <w:ind w:right="940"/>
              <w:spacing w:after="0"/>
              <w:rPr>
                <w:sz w:val="20"/>
                <w:szCs w:val="20"/>
                <w:color w:val="auto"/>
              </w:rPr>
            </w:pPr>
            <w:r>
              <w:rPr>
                <w:rFonts w:ascii="Arial" w:cs="Arial" w:eastAsia="Arial" w:hAnsi="Arial"/>
                <w:sz w:val="18"/>
                <w:szCs w:val="18"/>
                <w:color w:val="auto"/>
                <w:w w:val="88"/>
              </w:rPr>
              <w:t>Components of accumulated other comprehensive income (loss), net of tax, at the end of each period are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1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r>
      <w:tr>
        <w:trPr>
          <w:trHeight w:val="207"/>
        </w:trPr>
        <w:tc>
          <w:tcPr>
            <w:tcW w:w="160" w:type="dxa"/>
            <w:vAlign w:val="bottom"/>
          </w:tcPr>
          <w:p>
            <w:pPr>
              <w:spacing w:after="0"/>
              <w:rPr>
                <w:sz w:val="17"/>
                <w:szCs w:val="17"/>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(25,833)</w:t>
            </w:r>
          </w:p>
        </w:tc>
        <w:tc>
          <w:tcPr>
            <w:tcW w:w="34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(2,877)</w:t>
            </w:r>
          </w:p>
        </w:tc>
      </w:tr>
      <w:tr>
        <w:trPr>
          <w:trHeight w:val="213"/>
        </w:trPr>
        <w:tc>
          <w:tcPr>
            <w:tcW w:w="1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net adjustments related to postretirement benefits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r>
      <w:tr>
        <w:trPr>
          <w:trHeight w:val="213"/>
        </w:trPr>
        <w:tc>
          <w:tcPr>
            <w:tcW w:w="16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net unrealized gain/loss on investments</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1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Accumulated reclassification due to sale of PBC Test Business</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(2,515)</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54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(27,262)</w:t>
            </w:r>
          </w:p>
        </w:tc>
        <w:tc>
          <w:tcPr>
            <w:tcW w:w="34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(4,326)</w:t>
            </w:r>
          </w:p>
        </w:tc>
      </w:tr>
      <w:tr>
        <w:trPr>
          <w:trHeight w:val="20"/>
        </w:trPr>
        <w:tc>
          <w:tcPr>
            <w:tcW w:w="160" w:type="dxa"/>
            <w:vAlign w:val="bottom"/>
          </w:tcPr>
          <w:p>
            <w:pPr>
              <w:spacing w:after="0" w:line="20" w:lineRule="exact"/>
              <w:rPr>
                <w:sz w:val="1"/>
                <w:szCs w:val="1"/>
                <w:color w:val="auto"/>
              </w:rPr>
            </w:pPr>
          </w:p>
        </w:tc>
        <w:tc>
          <w:tcPr>
            <w:tcW w:w="5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7" w:right="37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4" w:lineRule="exact"/>
        <w:rPr>
          <w:rFonts w:ascii="Arial" w:cs="Arial" w:eastAsia="Arial" w:hAnsi="Arial"/>
          <w:sz w:val="18"/>
          <w:szCs w:val="18"/>
          <w:b w:val="1"/>
          <w:bCs w:val="1"/>
          <w:color w:val="auto"/>
        </w:rPr>
      </w:pPr>
    </w:p>
    <w:p>
      <w:pPr>
        <w:ind w:left="320" w:right="20"/>
        <w:spacing w:after="0" w:line="296" w:lineRule="auto"/>
        <w:rPr>
          <w:rFonts w:ascii="Arial" w:cs="Arial" w:eastAsia="Arial" w:hAnsi="Arial"/>
          <w:sz w:val="18"/>
          <w:szCs w:val="18"/>
          <w:b w:val="1"/>
          <w:bCs w:val="1"/>
          <w:color w:val="auto"/>
        </w:rPr>
      </w:pPr>
      <w:r>
        <w:rPr>
          <w:rFonts w:ascii="Arial" w:cs="Arial" w:eastAsia="Arial" w:hAnsi="Arial"/>
          <w:sz w:val="17"/>
          <w:szCs w:val="17"/>
          <w:color w:val="auto"/>
        </w:rPr>
        <w:t>At December 25, 2021, certain of our cash and short-term investments were held and managed by BlackRock, Inc. which owns 15.1% of our outstanding common stock as reported in its Form 13-G/A filing made with the Securities and Exchange Commission on January 27, 2022.</w:t>
      </w:r>
    </w:p>
    <w:p>
      <w:pPr>
        <w:spacing w:after="0" w:line="156" w:lineRule="exact"/>
        <w:rPr>
          <w:rFonts w:ascii="Arial" w:cs="Arial" w:eastAsia="Arial" w:hAnsi="Arial"/>
          <w:sz w:val="18"/>
          <w:szCs w:val="18"/>
          <w:b w:val="1"/>
          <w:bCs w:val="1"/>
          <w:color w:val="auto"/>
        </w:rPr>
      </w:pPr>
    </w:p>
    <w:p>
      <w:pPr>
        <w:ind w:left="3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have an ownership interest in Fraes-und Technologiezentrum GmbH Frasdorf (“FTZ”), a company based in Germany that provides milling services to one of our wholly owned subsidiaries. This investment is accounted for under the equity method and is not material to our consolidated balance sheets. During 2021, 2020 and 2019, purchases of products from FTZ were not material.</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also had an ownership interest in ETZ Elektrisches Testzentrum fuer Leiterplatten GmbH (“ETZ”) which provided our PCB Test business, atg-Luther</w:t>
      </w:r>
    </w:p>
    <w:p>
      <w:pPr>
        <w:spacing w:after="0" w:line="40" w:lineRule="exact"/>
        <w:rPr>
          <w:sz w:val="20"/>
          <w:szCs w:val="20"/>
          <w:color w:val="auto"/>
        </w:rPr>
      </w:pPr>
    </w:p>
    <w:p>
      <w:pPr>
        <w:ind w:left="320" w:right="340" w:firstLine="6"/>
        <w:spacing w:after="0" w:line="250" w:lineRule="auto"/>
        <w:tabs>
          <w:tab w:leader="none" w:pos="5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Maelzer GmbH, with certain component parts. Our ownership interest in ETZ was transferred on June 24, 2021 as part of the sale of the PCB Test business and ETZ is no longer a related party. During 2021, 2020 and 2019, purchases of products from ETZ, when it was a related party, were not material.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have audited the accompanying consolidated balance sheets of Cohu, Inc. (the Company) as of December 25, 2021 and December 26, 2020, and the related consolidated statements of operations, comprehensive income (loss), stockholders’ equity, and cash flows for each of the three years in the period ended December 25, 2021,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25, 2021 and December 26, 2020, and the results of its operations and its cash flows for each of the three years in the period ended December 25, 2021, in conformity with U.S. generally accepted accounting principles.</w:t>
      </w:r>
    </w:p>
    <w:p>
      <w:pPr>
        <w:spacing w:after="0" w:line="18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25, 2021, based on criteria established in Internal Control-Integrated Framework issued by the Committee of Sponsoring Organizations of the Treadway Commission (2013 framework) and our report dated February 18, 2022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100"/>
        <w:spacing w:after="0" w:line="36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19"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of December 25, 2021, the Company’s consolidated inventories balance was $161.1 million. As described in Note 1 to the</w:t>
      </w:r>
    </w:p>
    <w:p>
      <w:pPr>
        <w:spacing w:after="0" w:line="17" w:lineRule="exact"/>
        <w:rPr>
          <w:sz w:val="20"/>
          <w:szCs w:val="20"/>
          <w:color w:val="auto"/>
        </w:rPr>
      </w:pPr>
    </w:p>
    <w:p>
      <w:pPr>
        <w:ind w:left="1820" w:right="100" w:hanging="1819"/>
        <w:spacing w:after="0" w:line="250" w:lineRule="auto"/>
        <w:tabs>
          <w:tab w:leader="none" w:pos="18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consolidated financial statements, the Company values its inventories at lower of cost, determine on a first-in, first-out basis, or net realizable value. Obsolete inventory or inventory in excess of management's estimated usage requirement is written down to its estimated net realizable value.</w:t>
      </w:r>
    </w:p>
    <w:p>
      <w:pPr>
        <w:spacing w:after="0" w:line="194" w:lineRule="exact"/>
        <w:rPr>
          <w:sz w:val="20"/>
          <w:szCs w:val="20"/>
          <w:color w:val="auto"/>
        </w:rPr>
      </w:pPr>
    </w:p>
    <w:p>
      <w:pPr>
        <w:jc w:val="both"/>
        <w:ind w:left="1820"/>
        <w:spacing w:after="0" w:line="253" w:lineRule="auto"/>
        <w:rPr>
          <w:sz w:val="20"/>
          <w:szCs w:val="20"/>
          <w:color w:val="auto"/>
        </w:rPr>
      </w:pPr>
      <w:r>
        <w:rPr>
          <w:rFonts w:ascii="Arial" w:cs="Arial" w:eastAsia="Arial" w:hAnsi="Arial"/>
          <w:sz w:val="18"/>
          <w:szCs w:val="18"/>
          <w:color w:val="auto"/>
        </w:rPr>
        <w:t>Auditing management’s estimates for excess and obsolete inventory involved subjective auditor judgment because the estimates rely on a number of factors that are affected by market and economic conditions outside the Company's control. In particular, the excess and obsolete inventory calculations are sensitive to significant assumptions, including product life cycles, historical usage, expected future usage and on-hand quantities of individual materials.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 over the Company's</w:t>
      </w:r>
    </w:p>
    <w:p>
      <w:pPr>
        <w:spacing w:after="0" w:line="17" w:lineRule="exact"/>
        <w:rPr>
          <w:sz w:val="20"/>
          <w:szCs w:val="20"/>
          <w:color w:val="auto"/>
        </w:rPr>
      </w:pPr>
    </w:p>
    <w:p>
      <w:pPr>
        <w:ind w:left="1820" w:hanging="1809"/>
        <w:spacing w:after="0" w:line="253" w:lineRule="auto"/>
        <w:tabs>
          <w:tab w:leader="none" w:pos="180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excess and obsolete inventory valuation process, including management's assessment of the assumptions stated above and data underlying the excess and obsolete inventory valuation.</w:t>
      </w:r>
    </w:p>
    <w:p>
      <w:pPr>
        <w:spacing w:after="0" w:line="191" w:lineRule="exact"/>
        <w:rPr>
          <w:sz w:val="20"/>
          <w:szCs w:val="20"/>
          <w:color w:val="auto"/>
        </w:rPr>
      </w:pPr>
    </w:p>
    <w:p>
      <w:pPr>
        <w:ind w:left="1820" w:right="100"/>
        <w:spacing w:after="0" w:line="290" w:lineRule="auto"/>
        <w:rPr>
          <w:sz w:val="20"/>
          <w:szCs w:val="20"/>
          <w:color w:val="auto"/>
        </w:rPr>
      </w:pPr>
      <w:r>
        <w:rPr>
          <w:rFonts w:ascii="Arial" w:cs="Arial" w:eastAsia="Arial" w:hAnsi="Arial"/>
          <w:sz w:val="16"/>
          <w:szCs w:val="16"/>
          <w:color w:val="auto"/>
        </w:rPr>
        <w:t>To test the valuation of inventories, our audit procedures included, among others, evaluating the significant assumptions stated above and testing the completeness and accuracy of the underlying data used by management in the analysis of excess and obsolete inventory. We evaluated adjustments to inventory reserves for specific product life cycles, compared the balance of on-hand inventories to usage forecasts and historical usage, and assessed the historical accuracy of management’s estimates by performing a retrospective analysis comparing prior period forecasted demand to actual historical sales.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15. (b)</w:t>
      </w:r>
      <w:r>
        <w:rPr>
          <w:sz w:val="20"/>
          <w:szCs w:val="20"/>
          <w:color w:val="auto"/>
        </w:rPr>
        <w:tab/>
      </w:r>
      <w:r>
        <w:rPr>
          <w:rFonts w:ascii="Arial" w:cs="Arial" w:eastAsia="Arial" w:hAnsi="Arial"/>
          <w:sz w:val="16"/>
          <w:szCs w:val="16"/>
          <w:color w:val="auto"/>
        </w:rPr>
        <w:t>The following exhibits are filed as part of, or incorporated into, the 2021 Cohu, Inc. Annual Report on Form 10-K: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9220" w:type="dxa"/>
            <w:vAlign w:val="bottom"/>
            <w:gridSpan w:val="21"/>
          </w:tcPr>
          <w:p>
            <w:pPr>
              <w:spacing w:after="0"/>
              <w:rPr>
                <w:sz w:val="17"/>
                <w:szCs w:val="17"/>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020" w:type="dxa"/>
            <w:vAlign w:val="bottom"/>
            <w:tcBorders>
              <w:bottom w:val="single" w:sz="8" w:color="0000EE"/>
            </w:tcBorders>
            <w:gridSpan w:val="20"/>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Amended and Restated Certificate of Incorporation of Cohu, Inc. incorporated herein by reference to Exhibit 3.1 from the Cohu, Inc. Current</w:t>
              </w:r>
            </w:hyperlink>
          </w:p>
        </w:tc>
        <w:tc>
          <w:tcPr>
            <w:tcW w:w="80" w:type="dxa"/>
            <w:vAlign w:val="bottom"/>
            <w:gridSpan w:val="2"/>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29">
              <w:r>
                <w:rPr>
                  <w:rFonts w:ascii="Arial" w:cs="Arial" w:eastAsia="Arial" w:hAnsi="Arial"/>
                  <w:sz w:val="18"/>
                  <w:szCs w:val="18"/>
                  <w:color w:val="0000EE"/>
                </w:rPr>
                <w:t>Report on Form 8-K (file no. 001-04298) filed with the Securities and Exchange Commission on May 17, 2018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100" w:type="dxa"/>
            <w:vAlign w:val="bottom"/>
            <w:tcBorders>
              <w:bottom w:val="single" w:sz="8" w:color="0000EE"/>
            </w:tcBorders>
            <w:gridSpan w:val="22"/>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Amended and Restated Bylaws of Cohu, Inc. incorporated herein by reference to Exhibit 3.2 from the Cohu, Inc. Current Report on Form 8-K</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30">
              <w:r>
                <w:rPr>
                  <w:rFonts w:ascii="Arial" w:cs="Arial" w:eastAsia="Arial" w:hAnsi="Arial"/>
                  <w:sz w:val="18"/>
                  <w:szCs w:val="18"/>
                  <w:color w:val="0000EE"/>
                </w:rPr>
                <w:t>(file no. 001-04298) filed with the Securities and Exchange Commission on May 17, 2018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Description of Capital Stock incorporated herein by reference to Exhibit 4.1 from the Cohu, Inc. Annual Report on Form 10-K filed with the</w:t>
              </w:r>
            </w:hyperlink>
          </w:p>
        </w:tc>
        <w:tc>
          <w:tcPr>
            <w:tcW w:w="120" w:type="dxa"/>
            <w:vAlign w:val="bottom"/>
            <w:gridSpan w:val="4"/>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80" w:type="dxa"/>
            <w:vAlign w:val="bottom"/>
            <w:tcBorders>
              <w:bottom w:val="single" w:sz="8" w:color="0000EE"/>
            </w:tcBorders>
            <w:gridSpan w:val="4"/>
          </w:tcPr>
          <w:p>
            <w:pPr>
              <w:spacing w:after="0" w:line="193"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Securities and Exchange Commission on March 10, 2020</w:t>
              </w:r>
            </w:hyperlink>
          </w:p>
        </w:tc>
        <w:tc>
          <w:tcPr>
            <w:tcW w:w="6020" w:type="dxa"/>
            <w:vAlign w:val="bottom"/>
            <w:gridSpan w:val="18"/>
          </w:tcPr>
          <w:p>
            <w:pPr>
              <w:spacing w:after="0"/>
              <w:rPr>
                <w:sz w:val="16"/>
                <w:szCs w:val="16"/>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100" w:type="dxa"/>
            <w:vAlign w:val="bottom"/>
            <w:tcBorders>
              <w:bottom w:val="single" w:sz="8" w:color="0000EE"/>
            </w:tcBorders>
            <w:gridSpan w:val="22"/>
          </w:tcPr>
          <w:p>
            <w:pPr>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Credit and Guaranty Agreement dated as of October 1, 2018, by and among Cohu, Inc., Certain Subsidiaries of Cohu, Inc. and Deutsche Bank</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0" w:type="dxa"/>
            <w:vAlign w:val="bottom"/>
            <w:tcBorders>
              <w:bottom w:val="single" w:sz="8" w:color="0000EE"/>
            </w:tcBorders>
            <w:gridSpan w:val="11"/>
          </w:tcPr>
          <w:p>
            <w:pPr>
              <w:spacing w:after="0" w:line="193"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AG New York Branch, incorporated herein by reference to Exhibit 10.1 from the Cohu, Inc. Form 10-Q filed with the Securities and</w:t>
              </w:r>
            </w:hyperlink>
          </w:p>
        </w:tc>
        <w:tc>
          <w:tcPr>
            <w:tcW w:w="700" w:type="dxa"/>
            <w:vAlign w:val="bottom"/>
            <w:gridSpan w:val="11"/>
          </w:tcPr>
          <w:p>
            <w:pPr>
              <w:spacing w:after="0"/>
              <w:rPr>
                <w:sz w:val="16"/>
                <w:szCs w:val="16"/>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Borders>
              <w:bottom w:val="single" w:sz="8" w:color="0000EE"/>
            </w:tcBorders>
            <w:gridSpan w:val="3"/>
          </w:tcPr>
          <w:p>
            <w:pPr>
              <w:spacing w:after="0" w:line="193"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Exchange Commission on November 7, 2018</w:t>
              </w:r>
            </w:hyperlink>
          </w:p>
        </w:tc>
        <w:tc>
          <w:tcPr>
            <w:tcW w:w="6860" w:type="dxa"/>
            <w:vAlign w:val="bottom"/>
            <w:gridSpan w:val="19"/>
          </w:tcPr>
          <w:p>
            <w:pPr>
              <w:spacing w:after="0"/>
              <w:rPr>
                <w:sz w:val="16"/>
                <w:szCs w:val="16"/>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Pledge and Security Agreement dated as of October 1, 2018, by and among Cohu, Inc., Certain Subsidiaries of Cohu, Inc. and Deutsche Bank</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0" w:type="dxa"/>
            <w:vAlign w:val="bottom"/>
            <w:tcBorders>
              <w:top w:val="single" w:sz="8" w:color="0000EE"/>
              <w:bottom w:val="single" w:sz="8" w:color="0000EE"/>
            </w:tcBorders>
            <w:gridSpan w:val="11"/>
          </w:tcPr>
          <w:p>
            <w:pPr>
              <w:spacing w:after="0" w:line="193"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AG New York Branch, incorporated herein by reference to Exhibit 10.2 from the Cohu, Inc. Form 10-Q filed with the Securities and</w:t>
              </w:r>
            </w:hyperlink>
          </w:p>
        </w:tc>
        <w:tc>
          <w:tcPr>
            <w:tcW w:w="660" w:type="dxa"/>
            <w:vAlign w:val="bottom"/>
            <w:tcBorders>
              <w:top w:val="single" w:sz="8" w:color="0000EE"/>
            </w:tcBorders>
            <w:gridSpan w:val="10"/>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Borders>
              <w:bottom w:val="single" w:sz="8" w:color="0000EE"/>
            </w:tcBorders>
            <w:gridSpan w:val="3"/>
          </w:tcPr>
          <w:p>
            <w:pPr>
              <w:spacing w:after="0" w:line="193"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Exchange Commission on November 7, 2018</w:t>
              </w:r>
            </w:hyperlink>
          </w:p>
        </w:tc>
        <w:tc>
          <w:tcPr>
            <w:tcW w:w="6860" w:type="dxa"/>
            <w:vAlign w:val="bottom"/>
            <w:gridSpan w:val="19"/>
          </w:tcPr>
          <w:p>
            <w:pPr>
              <w:spacing w:after="0"/>
              <w:rPr>
                <w:sz w:val="16"/>
                <w:szCs w:val="16"/>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Amended Cohu, Inc. 2005 Equity Incentive Plan incorporated herein by reference to Appendix A from the Cohu, Inc. Form DEF 14A filed</w:t>
              </w:r>
            </w:hyperlink>
          </w:p>
        </w:tc>
        <w:tc>
          <w:tcPr>
            <w:tcW w:w="220" w:type="dxa"/>
            <w:vAlign w:val="bottom"/>
            <w:gridSpan w:val="5"/>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34">
              <w:r>
                <w:rPr>
                  <w:rFonts w:ascii="Arial" w:cs="Arial" w:eastAsia="Arial" w:hAnsi="Arial"/>
                  <w:sz w:val="18"/>
                  <w:szCs w:val="18"/>
                  <w:color w:val="0000EE"/>
                </w:rPr>
                <w:t>with the Securities and Exchange Commission on March 28, 2019*</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Amended Cohu, Inc. 1997 Employee Stock Purchase Plan, herein by reference to Appendix B from the Cohu, Inc. Form DEF 14A filed with</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0" w:type="dxa"/>
            <w:vAlign w:val="bottom"/>
            <w:tcBorders>
              <w:top w:val="single" w:sz="8" w:color="0000EE"/>
            </w:tcBorders>
            <w:gridSpan w:val="19"/>
          </w:tcPr>
          <w:p>
            <w:pPr>
              <w:spacing w:after="0" w:line="193" w:lineRule="exact"/>
              <w:rPr>
                <w:rFonts w:ascii="Arial" w:cs="Arial" w:eastAsia="Arial" w:hAnsi="Arial"/>
                <w:sz w:val="18"/>
                <w:szCs w:val="18"/>
                <w:color w:val="0000EE"/>
              </w:rPr>
            </w:pPr>
            <w:hyperlink r:id="rId134">
              <w:r>
                <w:rPr>
                  <w:rFonts w:ascii="Arial" w:cs="Arial" w:eastAsia="Arial" w:hAnsi="Arial"/>
                  <w:sz w:val="18"/>
                  <w:szCs w:val="18"/>
                  <w:color w:val="0000EE"/>
                </w:rPr>
                <w:t>the Securities and Exchange Commission on March 28, 2019*</w:t>
              </w:r>
            </w:hyperlink>
          </w:p>
        </w:tc>
        <w:tc>
          <w:tcPr>
            <w:tcW w:w="100" w:type="dxa"/>
            <w:vAlign w:val="bottom"/>
            <w:gridSpan w:val="3"/>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88"/>
              </w:rPr>
            </w:pPr>
            <w:hyperlink r:id="rId135">
              <w:r>
                <w:rPr>
                  <w:rFonts w:ascii="Arial" w:cs="Arial" w:eastAsia="Arial" w:hAnsi="Arial"/>
                  <w:sz w:val="18"/>
                  <w:szCs w:val="18"/>
                  <w:color w:val="0000EE"/>
                  <w:w w:val="88"/>
                </w:rPr>
                <w:t>Cohu, Inc. Deferred Compensation Plan (as amended and restated) incorporated herein by reference to Exhibit 10.1 from the Cohu, Inc.</w:t>
              </w:r>
            </w:hyperlink>
          </w:p>
        </w:tc>
        <w:tc>
          <w:tcPr>
            <w:tcW w:w="460" w:type="dxa"/>
            <w:vAlign w:val="bottom"/>
            <w:gridSpan w:val="9"/>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35">
              <w:r>
                <w:rPr>
                  <w:rFonts w:ascii="Arial" w:cs="Arial" w:eastAsia="Arial" w:hAnsi="Arial"/>
                  <w:sz w:val="18"/>
                  <w:szCs w:val="18"/>
                  <w:color w:val="0000EE"/>
                </w:rPr>
                <w:t>Current Report on Form 8-K (file no. 001-04298) filed with the Securities and Exchange Commission on December 29, 2008*</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Form of employee restricted stock unit agreement for use with restricted stock units granted pursuant to the Cohu, Inc. 2005 Equity Incentive</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560" w:type="dxa"/>
            <w:vAlign w:val="bottom"/>
            <w:tcBorders>
              <w:top w:val="single" w:sz="8" w:color="0000EE"/>
              <w:bottom w:val="single" w:sz="8" w:color="0000EE"/>
            </w:tcBorders>
            <w:gridSpan w:val="12"/>
          </w:tcPr>
          <w:p>
            <w:pPr>
              <w:spacing w:after="0" w:line="193"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Plan incorporated herein by reference to Exhibit 10.1 from the Cohu, Inc. Quarterly Report on Form 10-Q filed with the Securities and</w:t>
              </w:r>
            </w:hyperlink>
          </w:p>
        </w:tc>
        <w:tc>
          <w:tcPr>
            <w:tcW w:w="460" w:type="dxa"/>
            <w:vAlign w:val="bottom"/>
            <w:tcBorders>
              <w:top w:val="single" w:sz="8" w:color="0000EE"/>
            </w:tcBorders>
            <w:gridSpan w:val="8"/>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36">
              <w:r>
                <w:rPr>
                  <w:rFonts w:ascii="Arial" w:cs="Arial" w:eastAsia="Arial" w:hAnsi="Arial"/>
                  <w:sz w:val="18"/>
                  <w:szCs w:val="18"/>
                  <w:color w:val="0000EE"/>
                </w:rPr>
                <w:t>Exchange Commission on August 4, 2015*</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10100" w:type="dxa"/>
            <w:vAlign w:val="bottom"/>
            <w:gridSpan w:val="22"/>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Form of non-employee director restricted stock unit agreement for use with restricted stock units granted pursuant to the Cohu, Inc. 2005</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9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740" w:type="dxa"/>
            <w:vAlign w:val="bottom"/>
            <w:tcBorders>
              <w:bottom w:val="single" w:sz="8" w:color="0000EE"/>
            </w:tcBorders>
            <w:gridSpan w:val="15"/>
          </w:tcPr>
          <w:p>
            <w:pPr>
              <w:spacing w:after="0" w:line="193"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Equity Incentive Plan incorporated herein by reference to Exhibit 10.2 from the Cohu, Inc. Quarterly Report on Form 10-Q filed with the</w:t>
              </w:r>
            </w:hyperlink>
          </w:p>
        </w:tc>
        <w:tc>
          <w:tcPr>
            <w:tcW w:w="360" w:type="dxa"/>
            <w:vAlign w:val="bottom"/>
            <w:gridSpan w:val="7"/>
          </w:tcPr>
          <w:p>
            <w:pPr>
              <w:spacing w:after="0"/>
              <w:rPr>
                <w:sz w:val="16"/>
                <w:szCs w:val="16"/>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rPr>
            </w:pPr>
            <w:hyperlink r:id="rId137">
              <w:r>
                <w:rPr>
                  <w:rFonts w:ascii="Arial" w:cs="Arial" w:eastAsia="Arial" w:hAnsi="Arial"/>
                  <w:sz w:val="18"/>
                  <w:szCs w:val="18"/>
                  <w:color w:val="0000EE"/>
                </w:rPr>
                <w:t>Securities and Exchange Commission on August 4, 2015*</w:t>
              </w:r>
            </w:hyperlink>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406"/>
        </w:trPr>
        <w:tc>
          <w:tcPr>
            <w:tcW w:w="880" w:type="dxa"/>
            <w:vAlign w:val="bottom"/>
          </w:tcPr>
          <w:p>
            <w:pPr>
              <w:ind w:left="1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9820" w:type="dxa"/>
            <w:vAlign w:val="bottom"/>
            <w:tcBorders>
              <w:bottom w:val="single" w:sz="8" w:color="0000EE"/>
            </w:tcBorders>
            <w:gridSpan w:val="16"/>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Form of non-employee director restricted stock unit deferral election form for use with restricted stock units granted pursuant to the Cohu,</w:t>
              </w:r>
            </w:hyperlink>
          </w:p>
        </w:tc>
        <w:tc>
          <w:tcPr>
            <w:tcW w:w="280" w:type="dxa"/>
            <w:vAlign w:val="bottom"/>
            <w:gridSpan w:val="6"/>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00" w:type="dxa"/>
            <w:vAlign w:val="bottom"/>
            <w:gridSpan w:val="22"/>
          </w:tcPr>
          <w:p>
            <w:pPr>
              <w:spacing w:after="0" w:line="193"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Inc. 2005 Equity Incentive Plan incorporated herein by reference to Exhibit 10.3 from the Cohu, Inc. Quarterly Report on Form 10-Q filed</w:t>
              </w:r>
            </w:hyperlink>
          </w:p>
        </w:tc>
      </w:tr>
      <w:tr>
        <w:trPr>
          <w:trHeight w:val="193"/>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20" w:type="dxa"/>
            <w:vAlign w:val="bottom"/>
            <w:tcBorders>
              <w:top w:val="single" w:sz="8" w:color="0000EE"/>
            </w:tcBorders>
            <w:gridSpan w:val="16"/>
          </w:tcPr>
          <w:p>
            <w:pPr>
              <w:spacing w:after="0" w:line="193" w:lineRule="exact"/>
              <w:rPr>
                <w:rFonts w:ascii="Arial" w:cs="Arial" w:eastAsia="Arial" w:hAnsi="Arial"/>
                <w:sz w:val="18"/>
                <w:szCs w:val="18"/>
                <w:color w:val="0000EE"/>
              </w:rPr>
            </w:pPr>
            <w:hyperlink r:id="rId138">
              <w:r>
                <w:rPr>
                  <w:rFonts w:ascii="Arial" w:cs="Arial" w:eastAsia="Arial" w:hAnsi="Arial"/>
                  <w:sz w:val="18"/>
                  <w:szCs w:val="18"/>
                  <w:color w:val="0000EE"/>
                </w:rPr>
                <w:t>with the Securities and Exchange Commission on August 4, 2015*</w:t>
              </w:r>
            </w:hyperlink>
          </w:p>
        </w:tc>
        <w:tc>
          <w:tcPr>
            <w:tcW w:w="280" w:type="dxa"/>
            <w:vAlign w:val="bottom"/>
            <w:gridSpan w:val="6"/>
          </w:tcPr>
          <w:p>
            <w:pPr>
              <w:spacing w:after="0"/>
              <w:rPr>
                <w:sz w:val="16"/>
                <w:szCs w:val="16"/>
                <w:color w:val="auto"/>
              </w:rPr>
            </w:pPr>
          </w:p>
        </w:tc>
      </w:tr>
      <w:tr>
        <w:trPr>
          <w:trHeight w:val="471"/>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tcBorders>
              <w:top w:val="single" w:sz="8" w:color="0000EE"/>
            </w:tcBorders>
            <w:gridSpan w:val="7"/>
          </w:tcPr>
          <w:p>
            <w:pPr>
              <w:ind w:left="4400"/>
              <w:spacing w:after="0"/>
              <w:rPr>
                <w:sz w:val="20"/>
                <w:szCs w:val="20"/>
                <w:color w:val="auto"/>
              </w:rPr>
            </w:pPr>
            <w:r>
              <w:rPr>
                <w:rFonts w:ascii="Arial" w:cs="Arial" w:eastAsia="Arial" w:hAnsi="Arial"/>
                <w:sz w:val="18"/>
                <w:szCs w:val="18"/>
                <w:color w:val="auto"/>
              </w:rPr>
              <w:t>83</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8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ind w:left="120"/>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Non-employee director fee deferral election form incorporated herein by reference to Exhibit 10.4 from the Cohu, Inc. Quarterly Report on</w:t>
              </w:r>
            </w:hyperlink>
          </w:p>
        </w:tc>
        <w:tc>
          <w:tcPr>
            <w:tcW w:w="240" w:type="dxa"/>
            <w:vAlign w:val="bottom"/>
            <w:gridSpan w:val="8"/>
          </w:tcPr>
          <w:p>
            <w:pPr>
              <w:spacing w:after="0"/>
              <w:rPr>
                <w:sz w:val="17"/>
                <w:szCs w:val="17"/>
                <w:color w:val="auto"/>
              </w:rPr>
            </w:pPr>
          </w:p>
        </w:tc>
      </w:tr>
      <w:tr>
        <w:trPr>
          <w:trHeight w:val="193"/>
        </w:trPr>
        <w:tc>
          <w:tcPr>
            <w:tcW w:w="1120" w:type="dxa"/>
            <w:vAlign w:val="bottom"/>
          </w:tcPr>
          <w:p>
            <w:pPr>
              <w:spacing w:after="0"/>
              <w:rPr>
                <w:sz w:val="16"/>
                <w:szCs w:val="16"/>
                <w:color w:val="auto"/>
              </w:rPr>
            </w:pPr>
          </w:p>
        </w:tc>
        <w:tc>
          <w:tcPr>
            <w:tcW w:w="10120" w:type="dxa"/>
            <w:vAlign w:val="bottom"/>
            <w:gridSpan w:val="24"/>
          </w:tcPr>
          <w:p>
            <w:pPr>
              <w:spacing w:after="0" w:line="193" w:lineRule="exact"/>
              <w:rPr>
                <w:rFonts w:ascii="Arial" w:cs="Arial" w:eastAsia="Arial" w:hAnsi="Arial"/>
                <w:sz w:val="18"/>
                <w:szCs w:val="18"/>
                <w:color w:val="0000EE"/>
              </w:rPr>
            </w:pPr>
            <w:hyperlink r:id="rId139">
              <w:r>
                <w:rPr>
                  <w:rFonts w:ascii="Arial" w:cs="Arial" w:eastAsia="Arial" w:hAnsi="Arial"/>
                  <w:sz w:val="18"/>
                  <w:szCs w:val="18"/>
                  <w:color w:val="0000EE"/>
                </w:rPr>
                <w:t>Form 10-Q filed with the Securities and Exchange Commission on August 4, 2015*</w:t>
              </w:r>
            </w:hyperlink>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10.10</w:t>
            </w:r>
          </w:p>
        </w:tc>
        <w:tc>
          <w:tcPr>
            <w:tcW w:w="9980" w:type="dxa"/>
            <w:vAlign w:val="bottom"/>
            <w:tcBorders>
              <w:bottom w:val="single" w:sz="8" w:color="0000EE"/>
            </w:tcBorders>
            <w:gridSpan w:val="18"/>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Form of deferred stock agreement for shares granted pursuant to the Cohu, Inc. 2005 Equity Incentive Plan incorporated herein by reference</w:t>
              </w:r>
            </w:hyperlink>
          </w:p>
        </w:tc>
        <w:tc>
          <w:tcPr>
            <w:tcW w:w="140" w:type="dxa"/>
            <w:vAlign w:val="bottom"/>
            <w:gridSpan w:val="6"/>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10000" w:type="dxa"/>
            <w:vAlign w:val="bottom"/>
            <w:tcBorders>
              <w:bottom w:val="single" w:sz="8" w:color="0000EE"/>
            </w:tcBorders>
            <w:gridSpan w:val="19"/>
          </w:tcPr>
          <w:p>
            <w:pPr>
              <w:spacing w:after="0" w:line="193"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to Exhibit 10.5 from the Cohu, Inc. Quarterly Report on Form 10-Q filed with the Securities and Exchange Commission on August 4, 2015*</w:t>
              </w:r>
            </w:hyperlink>
          </w:p>
        </w:tc>
        <w:tc>
          <w:tcPr>
            <w:tcW w:w="120" w:type="dxa"/>
            <w:vAlign w:val="bottom"/>
            <w:gridSpan w:val="5"/>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10.11</w:t>
            </w:r>
          </w:p>
        </w:tc>
        <w:tc>
          <w:tcPr>
            <w:tcW w:w="10040" w:type="dxa"/>
            <w:vAlign w:val="bottom"/>
            <w:tcBorders>
              <w:bottom w:val="single" w:sz="8" w:color="0000EE"/>
            </w:tcBorders>
            <w:gridSpan w:val="21"/>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Form of stock option agreement for use with stock options granted pursuant to the Cohu, Inc. 2005 Equity Incentive Plan incorporated herein</w:t>
              </w:r>
            </w:hyperlink>
          </w:p>
        </w:tc>
        <w:tc>
          <w:tcPr>
            <w:tcW w:w="80" w:type="dxa"/>
            <w:vAlign w:val="bottom"/>
            <w:gridSpan w:val="3"/>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9700" w:type="dxa"/>
            <w:vAlign w:val="bottom"/>
            <w:tcBorders>
              <w:bottom w:val="single" w:sz="8" w:color="0000EE"/>
            </w:tcBorders>
            <w:gridSpan w:val="12"/>
          </w:tcPr>
          <w:p>
            <w:pPr>
              <w:spacing w:after="0" w:line="193"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by reference to Exhibit 10.6 from the Cohu, Inc. Quarterly Report on Form 10-Q filed with the Securities and Exchange Commission on</w:t>
              </w:r>
            </w:hyperlink>
          </w:p>
        </w:tc>
        <w:tc>
          <w:tcPr>
            <w:tcW w:w="420" w:type="dxa"/>
            <w:vAlign w:val="bottom"/>
            <w:gridSpan w:val="12"/>
          </w:tcPr>
          <w:p>
            <w:pPr>
              <w:spacing w:after="0"/>
              <w:rPr>
                <w:sz w:val="16"/>
                <w:szCs w:val="16"/>
                <w:color w:val="auto"/>
              </w:rPr>
            </w:pPr>
          </w:p>
        </w:tc>
      </w:tr>
      <w:tr>
        <w:trPr>
          <w:trHeight w:val="193"/>
        </w:trPr>
        <w:tc>
          <w:tcPr>
            <w:tcW w:w="1120" w:type="dxa"/>
            <w:vAlign w:val="bottom"/>
          </w:tcPr>
          <w:p>
            <w:pPr>
              <w:spacing w:after="0"/>
              <w:rPr>
                <w:sz w:val="16"/>
                <w:szCs w:val="16"/>
                <w:color w:val="auto"/>
              </w:rPr>
            </w:pPr>
          </w:p>
        </w:tc>
        <w:tc>
          <w:tcPr>
            <w:tcW w:w="10120" w:type="dxa"/>
            <w:vAlign w:val="bottom"/>
            <w:gridSpan w:val="24"/>
          </w:tcPr>
          <w:p>
            <w:pPr>
              <w:spacing w:after="0" w:line="193" w:lineRule="exact"/>
              <w:rPr>
                <w:rFonts w:ascii="Arial" w:cs="Arial" w:eastAsia="Arial" w:hAnsi="Arial"/>
                <w:sz w:val="18"/>
                <w:szCs w:val="18"/>
                <w:color w:val="0000EE"/>
              </w:rPr>
            </w:pPr>
            <w:hyperlink r:id="rId141">
              <w:r>
                <w:rPr>
                  <w:rFonts w:ascii="Arial" w:cs="Arial" w:eastAsia="Arial" w:hAnsi="Arial"/>
                  <w:sz w:val="18"/>
                  <w:szCs w:val="18"/>
                  <w:color w:val="0000EE"/>
                </w:rPr>
                <w:t>August 4, 2015*</w:t>
              </w:r>
            </w:hyperlink>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10.12</w:t>
            </w:r>
          </w:p>
        </w:tc>
        <w:tc>
          <w:tcPr>
            <w:tcW w:w="10120" w:type="dxa"/>
            <w:vAlign w:val="bottom"/>
            <w:gridSpan w:val="24"/>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Intel Corporation Purchase Agreement Capital Equipment, Goods and Services, dated April 30, 2012, by and between Delta Design, Inc. and</w:t>
              </w:r>
            </w:hyperlink>
          </w:p>
        </w:tc>
      </w:tr>
      <w:tr>
        <w:trPr>
          <w:trHeight w:val="193"/>
        </w:trPr>
        <w:tc>
          <w:tcPr>
            <w:tcW w:w="1120" w:type="dxa"/>
            <w:vAlign w:val="bottom"/>
          </w:tcPr>
          <w:p>
            <w:pPr>
              <w:spacing w:after="0"/>
              <w:rPr>
                <w:sz w:val="16"/>
                <w:szCs w:val="16"/>
                <w:color w:val="auto"/>
              </w:rPr>
            </w:pPr>
          </w:p>
        </w:tc>
        <w:tc>
          <w:tcPr>
            <w:tcW w:w="10020" w:type="dxa"/>
            <w:vAlign w:val="bottom"/>
            <w:tcBorders>
              <w:top w:val="single" w:sz="8" w:color="0000EE"/>
            </w:tcBorders>
            <w:gridSpan w:val="20"/>
          </w:tcPr>
          <w:p>
            <w:pPr>
              <w:spacing w:after="0" w:line="193"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Intel Corporation incorporated herein by reference to Exhibit 99.1 from the Cohu, Inc. Current Report on Form 8-K/A (file no. 001-04298)</w:t>
              </w:r>
            </w:hyperlink>
          </w:p>
        </w:tc>
        <w:tc>
          <w:tcPr>
            <w:tcW w:w="100" w:type="dxa"/>
            <w:vAlign w:val="bottom"/>
            <w:gridSpan w:val="4"/>
          </w:tcPr>
          <w:p>
            <w:pPr>
              <w:spacing w:after="0"/>
              <w:rPr>
                <w:sz w:val="16"/>
                <w:szCs w:val="16"/>
                <w:color w:val="auto"/>
              </w:rPr>
            </w:pPr>
          </w:p>
        </w:tc>
      </w:tr>
      <w:tr>
        <w:trPr>
          <w:trHeight w:val="193"/>
        </w:trPr>
        <w:tc>
          <w:tcPr>
            <w:tcW w:w="1120" w:type="dxa"/>
            <w:vAlign w:val="bottom"/>
          </w:tcPr>
          <w:p>
            <w:pPr>
              <w:spacing w:after="0"/>
              <w:rPr>
                <w:sz w:val="16"/>
                <w:szCs w:val="16"/>
                <w:color w:val="auto"/>
              </w:rPr>
            </w:pPr>
          </w:p>
        </w:tc>
        <w:tc>
          <w:tcPr>
            <w:tcW w:w="9860" w:type="dxa"/>
            <w:vAlign w:val="bottom"/>
            <w:tcBorders>
              <w:top w:val="single" w:sz="8" w:color="0000EE"/>
            </w:tcBorders>
            <w:gridSpan w:val="15"/>
          </w:tcPr>
          <w:p>
            <w:pPr>
              <w:spacing w:after="0" w:line="193" w:lineRule="exact"/>
              <w:rPr>
                <w:rFonts w:ascii="Arial" w:cs="Arial" w:eastAsia="Arial" w:hAnsi="Arial"/>
                <w:sz w:val="18"/>
                <w:szCs w:val="18"/>
                <w:color w:val="0000EE"/>
              </w:rPr>
            </w:pPr>
            <w:hyperlink r:id="rId142">
              <w:r>
                <w:rPr>
                  <w:rFonts w:ascii="Arial" w:cs="Arial" w:eastAsia="Arial" w:hAnsi="Arial"/>
                  <w:sz w:val="18"/>
                  <w:szCs w:val="18"/>
                  <w:color w:val="0000EE"/>
                </w:rPr>
                <w:t>filed August 1, 2012</w:t>
              </w:r>
            </w:hyperlink>
          </w:p>
        </w:tc>
        <w:tc>
          <w:tcPr>
            <w:tcW w:w="260" w:type="dxa"/>
            <w:vAlign w:val="bottom"/>
            <w:gridSpan w:val="9"/>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10.13</w:t>
            </w:r>
          </w:p>
        </w:tc>
        <w:tc>
          <w:tcPr>
            <w:tcW w:w="9980" w:type="dxa"/>
            <w:vAlign w:val="bottom"/>
            <w:tcBorders>
              <w:bottom w:val="single" w:sz="8" w:color="0000EE"/>
            </w:tcBorders>
            <w:gridSpan w:val="18"/>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Form of Indemnification Agreement, incorporated herein by reference to Exhibit 10.1 from the Cohu, Inc. Current Report on Form 8-K (file</w:t>
              </w:r>
            </w:hyperlink>
          </w:p>
        </w:tc>
        <w:tc>
          <w:tcPr>
            <w:tcW w:w="140" w:type="dxa"/>
            <w:vAlign w:val="bottom"/>
            <w:gridSpan w:val="6"/>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3000" w:type="dxa"/>
            <w:vAlign w:val="bottom"/>
            <w:tcBorders>
              <w:bottom w:val="single" w:sz="8" w:color="0000EE"/>
            </w:tcBorders>
            <w:gridSpan w:val="4"/>
          </w:tcPr>
          <w:p>
            <w:pPr>
              <w:spacing w:after="0" w:line="193"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no. 001-04298) filed December 13, 2018*</w:t>
              </w:r>
            </w:hyperlink>
          </w:p>
        </w:tc>
        <w:tc>
          <w:tcPr>
            <w:tcW w:w="7120" w:type="dxa"/>
            <w:vAlign w:val="bottom"/>
            <w:gridSpan w:val="20"/>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10.14</w:t>
            </w:r>
          </w:p>
        </w:tc>
        <w:tc>
          <w:tcPr>
            <w:tcW w:w="10120" w:type="dxa"/>
            <w:vAlign w:val="bottom"/>
            <w:gridSpan w:val="24"/>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Cohu, Inc. Retiree Health Benefits Agreement (as amended) incorporated herein by reference to Exhibit 10.2 from the Cohu, Inc. Current</w:t>
              </w:r>
            </w:hyperlink>
          </w:p>
        </w:tc>
      </w:tr>
      <w:tr>
        <w:trPr>
          <w:trHeight w:val="193"/>
        </w:trPr>
        <w:tc>
          <w:tcPr>
            <w:tcW w:w="1120" w:type="dxa"/>
            <w:vAlign w:val="bottom"/>
          </w:tcPr>
          <w:p>
            <w:pPr>
              <w:spacing w:after="0"/>
              <w:rPr>
                <w:sz w:val="16"/>
                <w:szCs w:val="16"/>
                <w:color w:val="auto"/>
              </w:rPr>
            </w:pPr>
          </w:p>
        </w:tc>
        <w:tc>
          <w:tcPr>
            <w:tcW w:w="9760" w:type="dxa"/>
            <w:vAlign w:val="bottom"/>
            <w:tcBorders>
              <w:top w:val="single" w:sz="8" w:color="0000EE"/>
            </w:tcBorders>
            <w:gridSpan w:val="14"/>
          </w:tcPr>
          <w:p>
            <w:pPr>
              <w:spacing w:after="0" w:line="193" w:lineRule="exact"/>
              <w:rPr>
                <w:rFonts w:ascii="Arial" w:cs="Arial" w:eastAsia="Arial" w:hAnsi="Arial"/>
                <w:sz w:val="18"/>
                <w:szCs w:val="18"/>
                <w:color w:val="0000EE"/>
              </w:rPr>
            </w:pPr>
            <w:hyperlink r:id="rId144">
              <w:r>
                <w:rPr>
                  <w:rFonts w:ascii="Arial" w:cs="Arial" w:eastAsia="Arial" w:hAnsi="Arial"/>
                  <w:sz w:val="18"/>
                  <w:szCs w:val="18"/>
                  <w:color w:val="0000EE"/>
                </w:rPr>
                <w:t>Report on Form 8-K (file no. 001-04298) filed with the Securities and Exchange Commission on December 29, 2008*</w:t>
              </w:r>
            </w:hyperlink>
          </w:p>
        </w:tc>
        <w:tc>
          <w:tcPr>
            <w:tcW w:w="360" w:type="dxa"/>
            <w:vAlign w:val="bottom"/>
            <w:gridSpan w:val="10"/>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900" w:type="dxa"/>
            <w:vAlign w:val="bottom"/>
            <w:gridSpan w:val="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10.15</w:t>
            </w:r>
          </w:p>
        </w:tc>
        <w:tc>
          <w:tcPr>
            <w:tcW w:w="10120" w:type="dxa"/>
            <w:vAlign w:val="bottom"/>
            <w:gridSpan w:val="24"/>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Lease agreement dated December 4, 2015 by and between CT Crosthwaite I, LLC and Cohu, Inc. incorporated herein by reference to Exhibit</w:t>
              </w:r>
            </w:hyperlink>
          </w:p>
        </w:tc>
      </w:tr>
      <w:tr>
        <w:trPr>
          <w:trHeight w:val="193"/>
        </w:trPr>
        <w:tc>
          <w:tcPr>
            <w:tcW w:w="1120" w:type="dxa"/>
            <w:vAlign w:val="bottom"/>
          </w:tcPr>
          <w:p>
            <w:pPr>
              <w:spacing w:after="0"/>
              <w:rPr>
                <w:sz w:val="16"/>
                <w:szCs w:val="16"/>
                <w:color w:val="auto"/>
              </w:rPr>
            </w:pPr>
          </w:p>
        </w:tc>
        <w:tc>
          <w:tcPr>
            <w:tcW w:w="10020" w:type="dxa"/>
            <w:vAlign w:val="bottom"/>
            <w:tcBorders>
              <w:top w:val="single" w:sz="8" w:color="0000EE"/>
            </w:tcBorders>
            <w:gridSpan w:val="20"/>
          </w:tcPr>
          <w:p>
            <w:pPr>
              <w:spacing w:after="0" w:line="193"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14</w:t>
              </w:r>
              <w:r>
                <w:rPr>
                  <w:rFonts w:ascii="Arial" w:cs="Arial" w:eastAsia="Arial" w:hAnsi="Arial"/>
                  <w:sz w:val="18"/>
                  <w:szCs w:val="18"/>
                  <w:color w:val="0000EE"/>
                  <w:w w:val="97"/>
                </w:rPr>
                <w:t xml:space="preserve"> from the Cohu, Inc. Annual Report on Form 10-K filed with the Securities and Exchange Commission on February 23, 2016</w:t>
              </w:r>
            </w:hyperlink>
          </w:p>
        </w:tc>
        <w:tc>
          <w:tcPr>
            <w:tcW w:w="100" w:type="dxa"/>
            <w:vAlign w:val="bottom"/>
            <w:gridSpan w:val="4"/>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10.16</w:t>
            </w:r>
          </w:p>
        </w:tc>
        <w:tc>
          <w:tcPr>
            <w:tcW w:w="9680" w:type="dxa"/>
            <w:vAlign w:val="bottom"/>
            <w:tcBorders>
              <w:bottom w:val="single" w:sz="8" w:color="0000EE"/>
            </w:tcBorders>
            <w:gridSpan w:val="11"/>
          </w:tcPr>
          <w:p>
            <w:pPr>
              <w:spacing w:after="0"/>
              <w:rPr>
                <w:rFonts w:ascii="Arial" w:cs="Arial" w:eastAsia="Arial" w:hAnsi="Arial"/>
                <w:sz w:val="18"/>
                <w:szCs w:val="18"/>
                <w:color w:val="0000EE"/>
                <w:w w:val="88"/>
              </w:rPr>
            </w:pPr>
            <w:hyperlink r:id="rId146">
              <w:r>
                <w:rPr>
                  <w:rFonts w:ascii="Arial" w:cs="Arial" w:eastAsia="Arial" w:hAnsi="Arial"/>
                  <w:sz w:val="18"/>
                  <w:szCs w:val="18"/>
                  <w:color w:val="0000EE"/>
                  <w:w w:val="88"/>
                </w:rPr>
                <w:t>Severance Agreement, dated September 8, 2020, between the Company and Christopher G. Bohrson incorporated herein by reference to</w:t>
              </w:r>
            </w:hyperlink>
          </w:p>
        </w:tc>
        <w:tc>
          <w:tcPr>
            <w:tcW w:w="440" w:type="dxa"/>
            <w:vAlign w:val="bottom"/>
            <w:gridSpan w:val="13"/>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10100" w:type="dxa"/>
            <w:vAlign w:val="bottom"/>
            <w:tcBorders>
              <w:bottom w:val="single" w:sz="8" w:color="0000EE"/>
            </w:tcBorders>
            <w:gridSpan w:val="23"/>
          </w:tcPr>
          <w:p>
            <w:pPr>
              <w:spacing w:after="0" w:line="193"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Exhibit 10.1 from the Cohu, Inc. Quarterly Report on Form 10-Q filed with the Securities and Exchange Commission on November 4, 2020 *</w:t>
              </w:r>
            </w:hyperlink>
          </w:p>
        </w:tc>
        <w:tc>
          <w:tcPr>
            <w:tcW w:w="20" w:type="dxa"/>
            <w:vAlign w:val="bottom"/>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10.17</w:t>
            </w:r>
          </w:p>
        </w:tc>
        <w:tc>
          <w:tcPr>
            <w:tcW w:w="10120" w:type="dxa"/>
            <w:vAlign w:val="bottom"/>
            <w:gridSpan w:val="24"/>
          </w:tcPr>
          <w:p>
            <w:pPr>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Severance Agreement, dated September 8, 2020, between the Company and Jeffrey D. Jones incorporated herein by reference to Exhibit 10.2</w:t>
              </w:r>
            </w:hyperlink>
          </w:p>
        </w:tc>
      </w:tr>
      <w:tr>
        <w:trPr>
          <w:trHeight w:val="193"/>
        </w:trPr>
        <w:tc>
          <w:tcPr>
            <w:tcW w:w="1120" w:type="dxa"/>
            <w:vAlign w:val="bottom"/>
          </w:tcPr>
          <w:p>
            <w:pPr>
              <w:spacing w:after="0"/>
              <w:rPr>
                <w:sz w:val="16"/>
                <w:szCs w:val="16"/>
                <w:color w:val="auto"/>
              </w:rPr>
            </w:pPr>
          </w:p>
        </w:tc>
        <w:tc>
          <w:tcPr>
            <w:tcW w:w="918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from the Cohu, Inc. Quarterly Report on Form 10-Q filed with the Securities and Exchange Commission on November 4, 2020 *</w:t>
              </w:r>
            </w:hyperlink>
          </w:p>
        </w:tc>
        <w:tc>
          <w:tcPr>
            <w:tcW w:w="860" w:type="dxa"/>
            <w:vAlign w:val="bottom"/>
            <w:tcBorders>
              <w:top w:val="single" w:sz="8" w:color="0000EE"/>
            </w:tcBorders>
            <w:gridSpan w:val="13"/>
          </w:tcPr>
          <w:p>
            <w:pPr>
              <w:spacing w:after="0"/>
              <w:rPr>
                <w:sz w:val="16"/>
                <w:szCs w:val="16"/>
                <w:color w:val="auto"/>
              </w:rPr>
            </w:pPr>
          </w:p>
        </w:tc>
        <w:tc>
          <w:tcPr>
            <w:tcW w:w="80" w:type="dxa"/>
            <w:vAlign w:val="bottom"/>
            <w:gridSpan w:val="3"/>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10.18</w:t>
            </w:r>
          </w:p>
        </w:tc>
        <w:tc>
          <w:tcPr>
            <w:tcW w:w="10120" w:type="dxa"/>
            <w:vAlign w:val="bottom"/>
            <w:gridSpan w:val="24"/>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Severance Agreement, dated September 8, 2020, between the Company and Thomas D. Kampfer incorporated herein by reference to Exhibit</w:t>
              </w:r>
            </w:hyperlink>
          </w:p>
        </w:tc>
      </w:tr>
      <w:tr>
        <w:trPr>
          <w:trHeight w:val="193"/>
        </w:trPr>
        <w:tc>
          <w:tcPr>
            <w:tcW w:w="1120" w:type="dxa"/>
            <w:vAlign w:val="bottom"/>
          </w:tcPr>
          <w:p>
            <w:pPr>
              <w:spacing w:after="0"/>
              <w:rPr>
                <w:sz w:val="16"/>
                <w:szCs w:val="16"/>
                <w:color w:val="auto"/>
              </w:rPr>
            </w:pPr>
          </w:p>
        </w:tc>
        <w:tc>
          <w:tcPr>
            <w:tcW w:w="10000" w:type="dxa"/>
            <w:vAlign w:val="bottom"/>
            <w:tcBorders>
              <w:top w:val="single" w:sz="8" w:color="0000EE"/>
            </w:tcBorders>
            <w:gridSpan w:val="19"/>
          </w:tcPr>
          <w:p>
            <w:pPr>
              <w:spacing w:after="0" w:line="193"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3</w:t>
              </w:r>
              <w:r>
                <w:rPr>
                  <w:rFonts w:ascii="Arial" w:cs="Arial" w:eastAsia="Arial" w:hAnsi="Arial"/>
                  <w:sz w:val="18"/>
                  <w:szCs w:val="18"/>
                  <w:color w:val="0000EE"/>
                  <w:w w:val="94"/>
                </w:rPr>
                <w:t xml:space="preserve"> from the Cohu, Inc. Quarterly Report on Form 10-Q filed with the Securities and Exchange Commission on November 4, 2020 *</w:t>
              </w:r>
            </w:hyperlink>
          </w:p>
        </w:tc>
        <w:tc>
          <w:tcPr>
            <w:tcW w:w="120" w:type="dxa"/>
            <w:vAlign w:val="bottom"/>
            <w:gridSpan w:val="5"/>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6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10.19</w:t>
            </w:r>
          </w:p>
        </w:tc>
        <w:tc>
          <w:tcPr>
            <w:tcW w:w="9960" w:type="dxa"/>
            <w:vAlign w:val="bottom"/>
            <w:tcBorders>
              <w:bottom w:val="single" w:sz="8" w:color="0000EE"/>
            </w:tcBorders>
            <w:gridSpan w:val="17"/>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Severance Agreement, dated September 8, 2020, between the Company and Luis A. Müller incorporated herein by reference to Exhibit 10.4</w:t>
              </w:r>
            </w:hyperlink>
          </w:p>
        </w:tc>
        <w:tc>
          <w:tcPr>
            <w:tcW w:w="160" w:type="dxa"/>
            <w:vAlign w:val="bottom"/>
            <w:gridSpan w:val="7"/>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9160" w:type="dxa"/>
            <w:vAlign w:val="bottom"/>
            <w:tcBorders>
              <w:bottom w:val="single" w:sz="8" w:color="0000EE"/>
            </w:tcBorders>
            <w:gridSpan w:val="7"/>
          </w:tcPr>
          <w:p>
            <w:pPr>
              <w:spacing w:after="0" w:line="193"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from the Cohu, Inc. Quarterly Report on Form 10-Q filed with the Securities and Exchange Commission on November 4, 2020 *</w:t>
              </w:r>
            </w:hyperlink>
          </w:p>
        </w:tc>
        <w:tc>
          <w:tcPr>
            <w:tcW w:w="960" w:type="dxa"/>
            <w:vAlign w:val="bottom"/>
            <w:gridSpan w:val="17"/>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10.20</w:t>
            </w:r>
          </w:p>
        </w:tc>
        <w:tc>
          <w:tcPr>
            <w:tcW w:w="10080" w:type="dxa"/>
            <w:vAlign w:val="bottom"/>
            <w:tcBorders>
              <w:bottom w:val="single" w:sz="8" w:color="0000EE"/>
            </w:tcBorders>
            <w:gridSpan w:val="22"/>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Change in Control Agreement, dated September 8, 2020, between the Company and Christopher G. Bohrson incorporated herein by reference</w:t>
              </w:r>
            </w:hyperlink>
          </w:p>
        </w:tc>
        <w:tc>
          <w:tcPr>
            <w:tcW w:w="40" w:type="dxa"/>
            <w:vAlign w:val="bottom"/>
            <w:gridSpan w:val="2"/>
          </w:tcPr>
          <w:p>
            <w:pPr>
              <w:spacing w:after="0"/>
              <w:rPr>
                <w:sz w:val="24"/>
                <w:szCs w:val="24"/>
                <w:color w:val="auto"/>
              </w:rPr>
            </w:pPr>
          </w:p>
        </w:tc>
      </w:tr>
      <w:tr>
        <w:trPr>
          <w:trHeight w:val="193"/>
        </w:trPr>
        <w:tc>
          <w:tcPr>
            <w:tcW w:w="1120" w:type="dxa"/>
            <w:vAlign w:val="bottom"/>
          </w:tcPr>
          <w:p>
            <w:pPr>
              <w:spacing w:after="0"/>
              <w:rPr>
                <w:sz w:val="16"/>
                <w:szCs w:val="16"/>
                <w:color w:val="auto"/>
              </w:rPr>
            </w:pPr>
          </w:p>
        </w:tc>
        <w:tc>
          <w:tcPr>
            <w:tcW w:w="10120" w:type="dxa"/>
            <w:vAlign w:val="bottom"/>
            <w:gridSpan w:val="24"/>
          </w:tcPr>
          <w:p>
            <w:pPr>
              <w:spacing w:after="0" w:line="193"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to Exhibit 10.5 from the Cohu, Inc. Quarterly Report on Form 10-Q filed with the Securities and Exchange Commission on November 4,</w:t>
              </w:r>
            </w:hyperlink>
          </w:p>
        </w:tc>
      </w:tr>
      <w:tr>
        <w:trPr>
          <w:trHeight w:val="193"/>
        </w:trPr>
        <w:tc>
          <w:tcPr>
            <w:tcW w:w="1120" w:type="dxa"/>
            <w:vAlign w:val="bottom"/>
          </w:tcPr>
          <w:p>
            <w:pPr>
              <w:spacing w:after="0"/>
              <w:rPr>
                <w:sz w:val="16"/>
                <w:szCs w:val="16"/>
                <w:color w:val="auto"/>
              </w:rPr>
            </w:pPr>
          </w:p>
        </w:tc>
        <w:tc>
          <w:tcPr>
            <w:tcW w:w="50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2020 *</w:t>
              </w:r>
            </w:hyperlink>
          </w:p>
        </w:tc>
        <w:tc>
          <w:tcPr>
            <w:tcW w:w="6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2960" w:type="dxa"/>
            <w:vAlign w:val="bottom"/>
            <w:tcBorders>
              <w:top w:val="single" w:sz="8" w:color="0000EE"/>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6"/>
        </w:trPr>
        <w:tc>
          <w:tcPr>
            <w:tcW w:w="1120" w:type="dxa"/>
            <w:vAlign w:val="bottom"/>
          </w:tcPr>
          <w:p>
            <w:pPr>
              <w:ind w:left="120"/>
              <w:spacing w:after="0"/>
              <w:rPr>
                <w:sz w:val="20"/>
                <w:szCs w:val="20"/>
                <w:color w:val="auto"/>
              </w:rPr>
            </w:pPr>
            <w:r>
              <w:rPr>
                <w:rFonts w:ascii="Arial" w:cs="Arial" w:eastAsia="Arial" w:hAnsi="Arial"/>
                <w:sz w:val="18"/>
                <w:szCs w:val="18"/>
                <w:color w:val="auto"/>
              </w:rPr>
              <w:t>10.21</w:t>
            </w:r>
          </w:p>
        </w:tc>
        <w:tc>
          <w:tcPr>
            <w:tcW w:w="10120" w:type="dxa"/>
            <w:vAlign w:val="bottom"/>
            <w:gridSpan w:val="24"/>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Change in Control Agreement, dated September 8, 2020, between the Company and Jeffrey D. Jones incorporated herein by reference to</w:t>
              </w:r>
            </w:hyperlink>
          </w:p>
        </w:tc>
      </w:tr>
      <w:tr>
        <w:trPr>
          <w:trHeight w:val="20"/>
        </w:trPr>
        <w:tc>
          <w:tcPr>
            <w:tcW w:w="1120" w:type="dxa"/>
            <w:vAlign w:val="bottom"/>
          </w:tcPr>
          <w:p>
            <w:pPr>
              <w:spacing w:after="0" w:line="20" w:lineRule="exact"/>
              <w:rPr>
                <w:sz w:val="1"/>
                <w:szCs w:val="1"/>
                <w:color w:val="auto"/>
              </w:rPr>
            </w:pPr>
          </w:p>
        </w:tc>
        <w:tc>
          <w:tcPr>
            <w:tcW w:w="9700" w:type="dxa"/>
            <w:vAlign w:val="bottom"/>
            <w:gridSpan w:val="12"/>
            <w:shd w:val="clear" w:color="auto" w:fill="0000EE"/>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r>
      <w:tr>
        <w:trPr>
          <w:trHeight w:val="193"/>
        </w:trPr>
        <w:tc>
          <w:tcPr>
            <w:tcW w:w="1120" w:type="dxa"/>
            <w:vAlign w:val="bottom"/>
          </w:tcPr>
          <w:p>
            <w:pPr>
              <w:spacing w:after="0"/>
              <w:rPr>
                <w:sz w:val="16"/>
                <w:szCs w:val="16"/>
                <w:color w:val="auto"/>
              </w:rPr>
            </w:pPr>
          </w:p>
        </w:tc>
        <w:tc>
          <w:tcPr>
            <w:tcW w:w="10120" w:type="dxa"/>
            <w:vAlign w:val="bottom"/>
            <w:gridSpan w:val="24"/>
          </w:tcPr>
          <w:p>
            <w:pPr>
              <w:spacing w:after="0" w:line="193"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Exhibit 10.6 from the Cohu, Inc. Quarterly Report on Form 10-Q filed with the Securities and Exchange Commission on November 4, 2020 *</w:t>
              </w:r>
            </w:hyperlink>
          </w:p>
        </w:tc>
      </w:tr>
      <w:tr>
        <w:trPr>
          <w:trHeight w:val="471"/>
        </w:trPr>
        <w:tc>
          <w:tcPr>
            <w:tcW w:w="1120" w:type="dxa"/>
            <w:vAlign w:val="bottom"/>
          </w:tcPr>
          <w:p>
            <w:pPr>
              <w:spacing w:after="0"/>
              <w:rPr>
                <w:sz w:val="24"/>
                <w:szCs w:val="24"/>
                <w:color w:val="auto"/>
              </w:rPr>
            </w:pPr>
          </w:p>
        </w:tc>
        <w:tc>
          <w:tcPr>
            <w:tcW w:w="5960" w:type="dxa"/>
            <w:vAlign w:val="bottom"/>
            <w:tcBorders>
              <w:top w:val="single" w:sz="8" w:color="0000EE"/>
            </w:tcBorders>
            <w:gridSpan w:val="5"/>
          </w:tcPr>
          <w:p>
            <w:pPr>
              <w:ind w:left="4420"/>
              <w:spacing w:after="0"/>
              <w:rPr>
                <w:sz w:val="20"/>
                <w:szCs w:val="20"/>
                <w:color w:val="auto"/>
              </w:rPr>
            </w:pPr>
            <w:r>
              <w:rPr>
                <w:rFonts w:ascii="Arial" w:cs="Arial" w:eastAsia="Arial" w:hAnsi="Arial"/>
                <w:sz w:val="18"/>
                <w:szCs w:val="18"/>
                <w:color w:val="auto"/>
              </w:rPr>
              <w:t>84</w:t>
            </w:r>
          </w:p>
        </w:tc>
        <w:tc>
          <w:tcPr>
            <w:tcW w:w="2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1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ind w:left="60" w:right="300"/>
        <w:spacing w:after="0" w:line="330"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10.22      </w:t>
      </w:r>
      <w:hyperlink r:id="rId152">
        <w:r>
          <w:rPr>
            <w:rFonts w:ascii="Arial" w:cs="Arial" w:eastAsia="Arial" w:hAnsi="Arial"/>
            <w:sz w:val="16"/>
            <w:szCs w:val="16"/>
            <w:u w:val="single" w:color="auto"/>
            <w:color w:val="0000EE"/>
          </w:rPr>
          <w:t>Change in Control Agreement, dated September 8, 2020, between the Company and Thomas D. Kampfer incorporated herein by reference to</w:t>
        </w:r>
      </w:hyperlink>
      <w:r>
        <w:rPr>
          <w:rFonts w:ascii="Arial" w:cs="Arial" w:eastAsia="Arial" w:hAnsi="Arial"/>
          <w:sz w:val="16"/>
          <w:szCs w:val="16"/>
          <w:color w:val="auto"/>
        </w:rPr>
        <w:t xml:space="preserve"> </w:t>
      </w:r>
      <w:hyperlink r:id="rId152">
        <w:r>
          <w:rPr>
            <w:rFonts w:ascii="Arial" w:cs="Arial" w:eastAsia="Arial" w:hAnsi="Arial"/>
            <w:sz w:val="16"/>
            <w:szCs w:val="16"/>
            <w:u w:val="single" w:color="auto"/>
            <w:color w:val="0000EE"/>
          </w:rPr>
          <w:t>Exhibit 10.7 from the Cohu, Inc. Quarterly Report on Form 10-Q filed with the Securities and Exchange Commission on November 4, 2020 *</w:t>
        </w:r>
      </w:hyperlink>
    </w:p>
    <w:p>
      <w:pPr>
        <w:spacing w:after="0" w:line="133" w:lineRule="exact"/>
        <w:rPr>
          <w:sz w:val="20"/>
          <w:szCs w:val="20"/>
          <w:color w:val="auto"/>
        </w:rPr>
      </w:pPr>
    </w:p>
    <w:p>
      <w:pPr>
        <w:ind w:left="60"/>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53">
        <w:r>
          <w:rPr>
            <w:rFonts w:ascii="Arial" w:cs="Arial" w:eastAsia="Arial" w:hAnsi="Arial"/>
            <w:sz w:val="16"/>
            <w:szCs w:val="16"/>
            <w:u w:val="single" w:color="auto"/>
            <w:color w:val="0000EE"/>
          </w:rPr>
          <w:t>Change in Control Agreement, dated September 8, 2020, between the Company and Luis A. Müller incorporated herein by reference to Exhibit</w:t>
        </w:r>
      </w:hyperlink>
    </w:p>
    <w:p>
      <w:pPr>
        <w:spacing w:after="0" w:line="17" w:lineRule="exact"/>
        <w:rPr>
          <w:sz w:val="20"/>
          <w:szCs w:val="20"/>
          <w:color w:val="auto"/>
        </w:rPr>
      </w:pPr>
    </w:p>
    <w:p>
      <w:pPr>
        <w:ind w:left="960"/>
        <w:spacing w:after="0"/>
        <w:rPr>
          <w:rFonts w:ascii="Arial" w:cs="Arial" w:eastAsia="Arial" w:hAnsi="Arial"/>
          <w:sz w:val="17"/>
          <w:szCs w:val="17"/>
          <w:u w:val="single" w:color="auto"/>
          <w:color w:val="0000EE"/>
        </w:rPr>
      </w:pPr>
      <w:hyperlink r:id="rId153">
        <w:r>
          <w:rPr>
            <w:rFonts w:ascii="Arial" w:cs="Arial" w:eastAsia="Arial" w:hAnsi="Arial"/>
            <w:sz w:val="17"/>
            <w:szCs w:val="17"/>
            <w:u w:val="single" w:color="auto"/>
            <w:color w:val="0000EE"/>
          </w:rPr>
          <w:t>10.8 from the Cohu, Inc. Quarterly Report on Form 10-Q filed with the Securities and Exchange Commission on November 4, 2020 *</w:t>
        </w:r>
      </w:hyperlink>
    </w:p>
    <w:p>
      <w:pPr>
        <w:spacing w:after="0" w:line="219" w:lineRule="exact"/>
        <w:rPr>
          <w:sz w:val="20"/>
          <w:szCs w:val="20"/>
          <w:color w:val="auto"/>
        </w:rPr>
      </w:pPr>
    </w:p>
    <w:p>
      <w:pPr>
        <w:ind w:left="960" w:right="40" w:hanging="904"/>
        <w:spacing w:after="0" w:line="411" w:lineRule="auto"/>
        <w:tabs>
          <w:tab w:leader="none" w:pos="940" w:val="left"/>
        </w:tabs>
        <w:rPr>
          <w:rFonts w:ascii="Arial" w:cs="Arial" w:eastAsia="Arial" w:hAnsi="Arial"/>
          <w:sz w:val="14"/>
          <w:szCs w:val="14"/>
          <w:u w:val="single" w:color="auto"/>
          <w:color w:val="0000EE"/>
        </w:rPr>
      </w:pPr>
      <w:r>
        <w:rPr>
          <w:rFonts w:ascii="Arial" w:cs="Arial" w:eastAsia="Arial" w:hAnsi="Arial"/>
          <w:sz w:val="18"/>
          <w:szCs w:val="18"/>
          <w:color w:val="auto"/>
        </w:rPr>
        <w:t>10.24</w:t>
      </w:r>
      <w:r>
        <w:rPr>
          <w:sz w:val="20"/>
          <w:szCs w:val="20"/>
          <w:color w:val="auto"/>
        </w:rPr>
        <w:tab/>
      </w:r>
      <w:hyperlink r:id="rId154">
        <w:r>
          <w:rPr>
            <w:rFonts w:ascii="Arial" w:cs="Arial" w:eastAsia="Arial" w:hAnsi="Arial"/>
            <w:sz w:val="14"/>
            <w:szCs w:val="14"/>
            <w:u w:val="single" w:color="auto"/>
            <w:color w:val="0000EE"/>
          </w:rPr>
          <w:t>Settlement Agreement regarding employment, dated October 27, 2020, between the Company and Pascal Rondé incorporated herein by reference</w:t>
        </w:r>
      </w:hyperlink>
      <w:r>
        <w:rPr>
          <w:rFonts w:ascii="Arial" w:cs="Arial" w:eastAsia="Arial" w:hAnsi="Arial"/>
          <w:sz w:val="14"/>
          <w:szCs w:val="14"/>
          <w:u w:val="single" w:color="auto"/>
          <w:color w:val="0000EE"/>
        </w:rPr>
        <w:t xml:space="preserve"> </w:t>
      </w:r>
      <w:hyperlink r:id="rId154">
        <w:r>
          <w:rPr>
            <w:rFonts w:ascii="Arial" w:cs="Arial" w:eastAsia="Arial" w:hAnsi="Arial"/>
            <w:sz w:val="14"/>
            <w:szCs w:val="14"/>
            <w:u w:val="single" w:color="auto"/>
            <w:color w:val="0000EE"/>
          </w:rPr>
          <w:t>to Exhibit 10.9 from the Cohu, Inc. Quarterly Report on Form 10-Q filed with the Securities and Exchange Commission on November 4, 2020 *</w:t>
        </w:r>
      </w:hyperlink>
    </w:p>
    <w:p>
      <w:pPr>
        <w:spacing w:after="0" w:line="88" w:lineRule="exact"/>
        <w:rPr>
          <w:sz w:val="20"/>
          <w:szCs w:val="20"/>
          <w:color w:val="auto"/>
        </w:rPr>
      </w:pPr>
    </w:p>
    <w:p>
      <w:pPr>
        <w:ind w:left="960" w:right="160" w:hanging="904"/>
        <w:spacing w:after="0" w:line="253"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55">
        <w:r>
          <w:rPr>
            <w:rFonts w:ascii="Arial" w:cs="Arial" w:eastAsia="Arial" w:hAnsi="Arial"/>
            <w:sz w:val="18"/>
            <w:szCs w:val="18"/>
            <w:u w:val="single" w:color="auto"/>
            <w:color w:val="0000EE"/>
          </w:rPr>
          <w:t>Share and Asset Purchase Agreement, dated May 10, 2021, by and among Cohu, Inc., Cohu Semiconductor Test GmbH, Credence International</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Ltd. (BVI), Xcerra Corporation, Everett Charles Tech, Inc., KOGNITEC Vertrieb &amp; Service GmbH, Mycronic AB and Mycronic, Inc.</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incorporated herein by reference to Exhibit 10.1 from the Cohu, Inc. Current Report on Form 8-K filed with the Securities and Exchange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Commission on May 13, 2021</w:t>
        </w:r>
      </w:hyperlink>
    </w:p>
    <w:p>
      <w:pPr>
        <w:spacing w:after="0" w:line="192" w:lineRule="exact"/>
        <w:rPr>
          <w:rFonts w:ascii="Arial" w:cs="Arial" w:eastAsia="Arial" w:hAnsi="Arial"/>
          <w:sz w:val="18"/>
          <w:szCs w:val="18"/>
          <w:u w:val="single" w:color="auto"/>
          <w:color w:val="0000EE"/>
        </w:rPr>
      </w:pPr>
    </w:p>
    <w:p>
      <w:pPr>
        <w:ind w:left="960" w:hanging="900"/>
        <w:spacing w:after="0"/>
        <w:tabs>
          <w:tab w:leader="none" w:pos="960" w:val="left"/>
        </w:tabs>
        <w:numPr>
          <w:ilvl w:val="0"/>
          <w:numId w:val="39"/>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Subsidiaries of Cohu, Inc.</w:t>
        </w:r>
      </w:hyperlink>
    </w:p>
    <w:p>
      <w:pPr>
        <w:spacing w:after="0" w:line="219" w:lineRule="exact"/>
        <w:rPr>
          <w:rFonts w:ascii="Arial" w:cs="Arial" w:eastAsia="Arial" w:hAnsi="Arial"/>
          <w:sz w:val="18"/>
          <w:szCs w:val="18"/>
          <w:u w:val="single" w:color="auto"/>
          <w:color w:val="0000EE"/>
        </w:rPr>
      </w:pPr>
    </w:p>
    <w:p>
      <w:pPr>
        <w:ind w:left="960" w:hanging="900"/>
        <w:spacing w:after="0"/>
        <w:tabs>
          <w:tab w:leader="none" w:pos="960" w:val="left"/>
        </w:tabs>
        <w:numPr>
          <w:ilvl w:val="0"/>
          <w:numId w:val="40"/>
        </w:numPr>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Consent of Independent Registered Public Accounting Firm</w:t>
        </w:r>
      </w:hyperlink>
    </w:p>
    <w:p>
      <w:pPr>
        <w:spacing w:after="0" w:line="197"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pursuant to Section 302(a) of the Sarbanes-Oxley Act of 2002 for Luis A. Müller</w:t>
              </w:r>
            </w:hyperlink>
          </w:p>
        </w:tc>
      </w:tr>
      <w:tr>
        <w:trPr>
          <w:trHeight w:val="20"/>
        </w:trPr>
        <w:tc>
          <w:tcPr>
            <w:tcW w:w="900" w:type="dxa"/>
            <w:vAlign w:val="bottom"/>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3"/>
        </w:trPr>
        <w:tc>
          <w:tcPr>
            <w:tcW w:w="900" w:type="dxa"/>
            <w:vAlign w:val="bottom"/>
          </w:tcPr>
          <w:p>
            <w:pPr>
              <w:spacing w:after="0" w:line="193" w:lineRule="exact"/>
              <w:rPr>
                <w:sz w:val="20"/>
                <w:szCs w:val="20"/>
                <w:color w:val="auto"/>
              </w:rPr>
            </w:pPr>
            <w:r>
              <w:rPr>
                <w:rFonts w:ascii="Arial" w:cs="Arial" w:eastAsia="Arial" w:hAnsi="Arial"/>
                <w:sz w:val="18"/>
                <w:szCs w:val="18"/>
                <w:color w:val="auto"/>
              </w:rPr>
              <w:t>31.2</w:t>
            </w:r>
          </w:p>
        </w:tc>
        <w:tc>
          <w:tcPr>
            <w:tcW w:w="10380" w:type="dxa"/>
            <w:vAlign w:val="bottom"/>
            <w:gridSpan w:val="5"/>
          </w:tcPr>
          <w:p>
            <w:pPr>
              <w:spacing w:after="0" w:line="193" w:lineRule="exact"/>
              <w:rPr>
                <w:rFonts w:ascii="Arial" w:cs="Arial" w:eastAsia="Arial" w:hAnsi="Arial"/>
                <w:sz w:val="18"/>
                <w:szCs w:val="18"/>
                <w:color w:val="0000EE"/>
              </w:rPr>
            </w:pPr>
            <w:hyperlink w:anchor="page96">
              <w:r>
                <w:rPr>
                  <w:rFonts w:ascii="Arial" w:cs="Arial" w:eastAsia="Arial" w:hAnsi="Arial"/>
                  <w:sz w:val="18"/>
                  <w:szCs w:val="18"/>
                  <w:color w:val="0000EE"/>
                </w:rPr>
                <w:t>Certification pursuant to Section 302(a) of the Sarbanes-Oxley Act of 2002 for Jeffrey D. Jones</w:t>
              </w:r>
            </w:hyperlink>
          </w:p>
        </w:tc>
      </w:tr>
      <w:tr>
        <w:trPr>
          <w:trHeight w:val="20"/>
        </w:trPr>
        <w:tc>
          <w:tcPr>
            <w:tcW w:w="900" w:type="dxa"/>
            <w:vAlign w:val="bottom"/>
          </w:tcPr>
          <w:p>
            <w:pPr>
              <w:spacing w:after="0" w:line="20" w:lineRule="exact"/>
              <w:rPr>
                <w:sz w:val="1"/>
                <w:szCs w:val="1"/>
                <w:color w:val="auto"/>
              </w:rPr>
            </w:pPr>
          </w:p>
        </w:tc>
        <w:tc>
          <w:tcPr>
            <w:tcW w:w="678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3"/>
        </w:trPr>
        <w:tc>
          <w:tcPr>
            <w:tcW w:w="900" w:type="dxa"/>
            <w:vAlign w:val="bottom"/>
          </w:tcPr>
          <w:p>
            <w:pPr>
              <w:spacing w:after="0" w:line="193" w:lineRule="exact"/>
              <w:rPr>
                <w:sz w:val="20"/>
                <w:szCs w:val="20"/>
                <w:color w:val="auto"/>
              </w:rPr>
            </w:pPr>
            <w:r>
              <w:rPr>
                <w:rFonts w:ascii="Arial" w:cs="Arial" w:eastAsia="Arial" w:hAnsi="Arial"/>
                <w:sz w:val="18"/>
                <w:szCs w:val="18"/>
                <w:color w:val="auto"/>
              </w:rPr>
              <w:t>32.1</w:t>
            </w:r>
          </w:p>
        </w:tc>
        <w:tc>
          <w:tcPr>
            <w:tcW w:w="10380" w:type="dxa"/>
            <w:vAlign w:val="bottom"/>
            <w:gridSpan w:val="5"/>
          </w:tcPr>
          <w:p>
            <w:pPr>
              <w:spacing w:after="0" w:line="193" w:lineRule="exact"/>
              <w:rPr>
                <w:rFonts w:ascii="Arial" w:cs="Arial" w:eastAsia="Arial" w:hAnsi="Arial"/>
                <w:sz w:val="18"/>
                <w:szCs w:val="18"/>
                <w:color w:val="0000EE"/>
                <w:w w:val="94"/>
              </w:rPr>
            </w:pPr>
            <w:hyperlink w:anchor="page97">
              <w:r>
                <w:rPr>
                  <w:rFonts w:ascii="Arial" w:cs="Arial" w:eastAsia="Arial" w:hAnsi="Arial"/>
                  <w:sz w:val="18"/>
                  <w:szCs w:val="18"/>
                  <w:color w:val="0000EE"/>
                  <w:w w:val="94"/>
                </w:rPr>
                <w:t>Certification pursuant to 18 U.S.C. Section 1350, as adopted pursuant to Section 906 of the Sarbanes-Oxley Act of 2002 for Luis A. Müller</w:t>
              </w:r>
            </w:hyperlink>
          </w:p>
        </w:tc>
      </w:tr>
      <w:tr>
        <w:trPr>
          <w:trHeight w:val="20"/>
        </w:trPr>
        <w:tc>
          <w:tcPr>
            <w:tcW w:w="900" w:type="dxa"/>
            <w:vAlign w:val="bottom"/>
          </w:tcPr>
          <w:p>
            <w:pPr>
              <w:spacing w:after="0" w:line="20" w:lineRule="exact"/>
              <w:rPr>
                <w:sz w:val="1"/>
                <w:szCs w:val="1"/>
                <w:color w:val="auto"/>
              </w:rPr>
            </w:pPr>
          </w:p>
        </w:tc>
        <w:tc>
          <w:tcPr>
            <w:tcW w:w="99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3"/>
        </w:trPr>
        <w:tc>
          <w:tcPr>
            <w:tcW w:w="900" w:type="dxa"/>
            <w:vAlign w:val="bottom"/>
          </w:tcPr>
          <w:p>
            <w:pPr>
              <w:spacing w:after="0" w:line="193" w:lineRule="exact"/>
              <w:rPr>
                <w:sz w:val="20"/>
                <w:szCs w:val="20"/>
                <w:color w:val="auto"/>
              </w:rPr>
            </w:pPr>
            <w:r>
              <w:rPr>
                <w:rFonts w:ascii="Arial" w:cs="Arial" w:eastAsia="Arial" w:hAnsi="Arial"/>
                <w:sz w:val="18"/>
                <w:szCs w:val="18"/>
                <w:color w:val="auto"/>
              </w:rPr>
              <w:t>32.2</w:t>
            </w:r>
          </w:p>
        </w:tc>
        <w:tc>
          <w:tcPr>
            <w:tcW w:w="10380" w:type="dxa"/>
            <w:vAlign w:val="bottom"/>
            <w:gridSpan w:val="5"/>
          </w:tcPr>
          <w:p>
            <w:pPr>
              <w:spacing w:after="0" w:line="193"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 pursuant to 18 U.S.C. Section 1350, as adopted pursuant to Section 906 of the Sarbanes-Oxley Act of 2002 for Jeffrey D. Jones</w:t>
              </w:r>
            </w:hyperlink>
          </w:p>
        </w:tc>
      </w:tr>
      <w:tr>
        <w:trPr>
          <w:trHeight w:val="20"/>
        </w:trPr>
        <w:tc>
          <w:tcPr>
            <w:tcW w:w="900" w:type="dxa"/>
            <w:vAlign w:val="bottom"/>
          </w:tcPr>
          <w:p>
            <w:pPr>
              <w:spacing w:after="0" w:line="20" w:lineRule="exact"/>
              <w:rPr>
                <w:sz w:val="1"/>
                <w:szCs w:val="1"/>
                <w:color w:val="auto"/>
              </w:rPr>
            </w:pPr>
          </w:p>
        </w:tc>
        <w:tc>
          <w:tcPr>
            <w:tcW w:w="998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5"/>
          </w:tcPr>
          <w:p>
            <w:pPr>
              <w:spacing w:after="0"/>
              <w:rPr>
                <w:sz w:val="20"/>
                <w:szCs w:val="20"/>
                <w:color w:val="auto"/>
              </w:rPr>
            </w:pPr>
            <w:r>
              <w:rPr>
                <w:rFonts w:ascii="Arial" w:cs="Arial" w:eastAsia="Arial" w:hAnsi="Arial"/>
                <w:sz w:val="18"/>
                <w:szCs w:val="18"/>
                <w:color w:val="auto"/>
                <w:w w:val="89"/>
              </w:rPr>
              <w:t>Inline XBRL Instance Document (the Instance Document does not appear in the Interactive Data File because its XBRL tags are embedded within</w:t>
            </w:r>
          </w:p>
        </w:tc>
      </w:tr>
      <w:tr>
        <w:trPr>
          <w:trHeight w:val="224"/>
        </w:trPr>
        <w:tc>
          <w:tcPr>
            <w:tcW w:w="900" w:type="dxa"/>
            <w:vAlign w:val="bottom"/>
          </w:tcPr>
          <w:p>
            <w:pPr>
              <w:spacing w:after="0"/>
              <w:rPr>
                <w:sz w:val="19"/>
                <w:szCs w:val="19"/>
                <w:color w:val="auto"/>
              </w:rPr>
            </w:pPr>
          </w:p>
        </w:tc>
        <w:tc>
          <w:tcPr>
            <w:tcW w:w="1038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920" w:right="3940" w:hanging="860"/>
        <w:spacing w:after="0" w:line="493" w:lineRule="auto"/>
        <w:tabs>
          <w:tab w:leader="none" w:pos="9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34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0" w:firstLine="107"/>
        <w:spacing w:after="0" w:line="268" w:lineRule="auto"/>
        <w:rPr>
          <w:sz w:val="20"/>
          <w:szCs w:val="20"/>
          <w:color w:val="auto"/>
        </w:rPr>
      </w:pPr>
      <w:r>
        <w:rPr>
          <w:rFonts w:ascii="Arial" w:cs="Arial" w:eastAsia="Arial" w:hAnsi="Arial"/>
          <w:sz w:val="21"/>
          <w:szCs w:val="21"/>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COHU, INC.</w:t>
            </w:r>
          </w:p>
        </w:tc>
      </w:tr>
      <w:tr>
        <w:trPr>
          <w:trHeight w:val="427"/>
        </w:trPr>
        <w:tc>
          <w:tcPr>
            <w:tcW w:w="35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780" w:type="dxa"/>
            <w:vAlign w:val="bottom"/>
            <w:gridSpan w:val="3"/>
          </w:tcPr>
          <w:p>
            <w:pPr>
              <w:ind w:left="1820"/>
              <w:spacing w:after="0"/>
              <w:rPr>
                <w:sz w:val="20"/>
                <w:szCs w:val="20"/>
                <w:color w:val="auto"/>
              </w:rPr>
            </w:pPr>
            <w:r>
              <w:rPr>
                <w:rFonts w:ascii="Arial" w:cs="Arial" w:eastAsia="Arial" w:hAnsi="Arial"/>
                <w:sz w:val="18"/>
                <w:szCs w:val="18"/>
                <w:color w:val="auto"/>
              </w:rPr>
              <w:t>By: /s/ Luis A. Müller</w:t>
            </w:r>
          </w:p>
        </w:tc>
      </w:tr>
      <w:tr>
        <w:trPr>
          <w:trHeight w:val="194"/>
        </w:trPr>
        <w:tc>
          <w:tcPr>
            <w:tcW w:w="3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Luis A. Müller</w:t>
            </w:r>
          </w:p>
        </w:tc>
        <w:tc>
          <w:tcPr>
            <w:tcW w:w="460" w:type="dxa"/>
            <w:vAlign w:val="bottom"/>
          </w:tcPr>
          <w:p>
            <w:pPr>
              <w:spacing w:after="0"/>
              <w:rPr>
                <w:sz w:val="16"/>
                <w:szCs w:val="16"/>
                <w:color w:val="auto"/>
              </w:rPr>
            </w:pPr>
          </w:p>
        </w:tc>
      </w:tr>
      <w:tr>
        <w:trPr>
          <w:trHeight w:val="224"/>
        </w:trPr>
        <w:tc>
          <w:tcPr>
            <w:tcW w:w="3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89"/>
              </w:rPr>
              <w:t>President and Chief Executive Officer</w:t>
            </w:r>
          </w:p>
        </w:tc>
      </w:tr>
    </w:tbl>
    <w:p>
      <w:pPr>
        <w:spacing w:after="0" w:line="219" w:lineRule="exact"/>
        <w:rPr>
          <w:sz w:val="20"/>
          <w:szCs w:val="20"/>
          <w:color w:val="auto"/>
        </w:rPr>
      </w:pPr>
    </w:p>
    <w:p>
      <w:pPr>
        <w:ind w:firstLine="107"/>
        <w:spacing w:after="0" w:line="268" w:lineRule="auto"/>
        <w:rPr>
          <w:sz w:val="20"/>
          <w:szCs w:val="20"/>
          <w:color w:val="auto"/>
        </w:rPr>
      </w:pPr>
      <w:r>
        <w:rPr>
          <w:rFonts w:ascii="Arial" w:cs="Arial" w:eastAsia="Arial" w:hAnsi="Arial"/>
          <w:sz w:val="21"/>
          <w:szCs w:val="21"/>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80"/>
          </w:cols>
          <w:pgMar w:left="320" w:top="127" w:right="49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7919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919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Luis A. Müller</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919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D. Jones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7919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7919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7919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Andrew M. Caggia</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Lynne J. Camp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919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Lynne J. Camp</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Yon Y.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7919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Yon Y. Jorden</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Nina L.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7919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Nina L. Richardson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c>
          <w:tcPr>
            <w:tcW w:w="960" w:type="dxa"/>
            <w:vAlign w:val="bottom"/>
          </w:tcPr>
          <w:p>
            <w:pPr>
              <w:spacing w:after="0"/>
              <w:rPr>
                <w:sz w:val="17"/>
                <w:szCs w:val="17"/>
                <w:color w:val="auto"/>
              </w:rPr>
            </w:pPr>
          </w:p>
        </w:tc>
      </w:tr>
      <w:tr>
        <w:trPr>
          <w:trHeight w:val="447"/>
        </w:trPr>
        <w:tc>
          <w:tcPr>
            <w:tcW w:w="5600" w:type="dxa"/>
            <w:vAlign w:val="bottom"/>
            <w:gridSpan w:val="3"/>
          </w:tcPr>
          <w:p>
            <w:pPr>
              <w:spacing w:after="0"/>
              <w:rPr>
                <w:sz w:val="20"/>
                <w:szCs w:val="20"/>
                <w:color w:val="auto"/>
              </w:rPr>
            </w:pPr>
            <w:r>
              <w:rPr>
                <w:rFonts w:ascii="Arial" w:cs="Arial" w:eastAsia="Arial" w:hAnsi="Arial"/>
                <w:sz w:val="18"/>
                <w:szCs w:val="18"/>
                <w:color w:val="auto"/>
              </w:rPr>
              <w:t>Chairperson of the Board,</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224"/>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8"/>
        </w:trPr>
        <w:tc>
          <w:tcPr>
            <w:tcW w:w="56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224"/>
        </w:trPr>
        <w:tc>
          <w:tcPr>
            <w:tcW w:w="56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8"/>
        </w:trPr>
        <w:tc>
          <w:tcPr>
            <w:tcW w:w="5600" w:type="dxa"/>
            <w:vAlign w:val="bottom"/>
            <w:gridSpan w:val="3"/>
          </w:tcPr>
          <w:p>
            <w:pPr>
              <w:spacing w:after="0"/>
              <w:rPr>
                <w:sz w:val="20"/>
                <w:szCs w:val="20"/>
                <w:color w:val="auto"/>
              </w:rPr>
            </w:pPr>
            <w:r>
              <w:rPr>
                <w:rFonts w:ascii="Arial" w:cs="Arial" w:eastAsia="Arial" w:hAnsi="Arial"/>
                <w:sz w:val="18"/>
                <w:szCs w:val="18"/>
                <w:color w:val="auto"/>
              </w:rPr>
              <w:t>Vice President, Finance and CFO</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224"/>
        </w:trPr>
        <w:tc>
          <w:tcPr>
            <w:tcW w:w="560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9"/>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52"/>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52"/>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52"/>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52"/>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52"/>
        </w:trPr>
        <w:tc>
          <w:tcPr>
            <w:tcW w:w="56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18, 2022</w:t>
            </w:r>
          </w:p>
        </w:tc>
      </w:tr>
      <w:tr>
        <w:trPr>
          <w:trHeight w:val="639"/>
        </w:trPr>
        <w:tc>
          <w:tcPr>
            <w:tcW w:w="5600" w:type="dxa"/>
            <w:vAlign w:val="bottom"/>
            <w:gridSpan w:val="3"/>
          </w:tcPr>
          <w:p>
            <w:pPr>
              <w:ind w:left="214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68580</wp:posOffset>
            </wp:positionV>
            <wp:extent cx="7134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2680" w:space="720"/>
            <w:col w:w="7680"/>
          </w:cols>
          <w:pgMar w:left="320" w:top="127" w:right="49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COHU, INC.</w:t>
            </w: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SCHEDULE II</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VALUATION AND QUALIFYING ACCOUNTS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312"/>
              <w:spacing w:after="0"/>
              <w:rPr>
                <w:sz w:val="20"/>
                <w:szCs w:val="20"/>
                <w:color w:val="auto"/>
              </w:rPr>
            </w:pPr>
            <w:r>
              <w:rPr>
                <w:rFonts w:ascii="Arial" w:cs="Arial" w:eastAsia="Arial" w:hAnsi="Arial"/>
                <w:sz w:val="18"/>
                <w:szCs w:val="18"/>
                <w:color w:val="auto"/>
                <w:w w:val="94"/>
              </w:rPr>
              <w:t>Additions</w:t>
            </w:r>
          </w:p>
        </w:tc>
        <w:tc>
          <w:tcPr>
            <w:tcW w:w="140" w:type="dxa"/>
            <w:vAlign w:val="bottom"/>
          </w:tcPr>
          <w:p>
            <w:pPr>
              <w:spacing w:after="0"/>
              <w:rPr>
                <w:sz w:val="24"/>
                <w:szCs w:val="24"/>
                <w:color w:val="auto"/>
              </w:rPr>
            </w:pP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94"/>
              </w:rPr>
              <w:t>Additions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292"/>
              <w:spacing w:after="0"/>
              <w:rPr>
                <w:sz w:val="20"/>
                <w:szCs w:val="20"/>
                <w:color w:val="auto"/>
              </w:rPr>
            </w:pPr>
            <w:r>
              <w:rPr>
                <w:rFonts w:ascii="Arial" w:cs="Arial" w:eastAsia="Arial" w:hAnsi="Arial"/>
                <w:sz w:val="18"/>
                <w:szCs w:val="18"/>
                <w:color w:val="auto"/>
                <w:w w:val="90"/>
              </w:rPr>
              <w:t>(Reductions)</w:t>
            </w:r>
          </w:p>
        </w:tc>
        <w:tc>
          <w:tcPr>
            <w:tcW w:w="14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90"/>
              </w:rPr>
              <w:t>(Reductions)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center"/>
              <w:ind w:right="151"/>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8"/>
                <w:szCs w:val="18"/>
                <w:color w:val="auto"/>
              </w:rPr>
            </w:pPr>
          </w:p>
        </w:tc>
        <w:tc>
          <w:tcPr>
            <w:tcW w:w="1300" w:type="dxa"/>
            <w:vAlign w:val="bottom"/>
          </w:tcPr>
          <w:p>
            <w:pPr>
              <w:jc w:val="center"/>
              <w:ind w:right="312"/>
              <w:spacing w:after="0"/>
              <w:rPr>
                <w:sz w:val="20"/>
                <w:szCs w:val="20"/>
                <w:color w:val="auto"/>
              </w:rPr>
            </w:pPr>
            <w:r>
              <w:rPr>
                <w:rFonts w:ascii="Arial" w:cs="Arial" w:eastAsia="Arial" w:hAnsi="Arial"/>
                <w:sz w:val="18"/>
                <w:szCs w:val="18"/>
                <w:color w:val="auto"/>
                <w:w w:val="92"/>
              </w:rPr>
              <w:t>Not</w:t>
            </w:r>
          </w:p>
        </w:tc>
        <w:tc>
          <w:tcPr>
            <w:tcW w:w="140" w:type="dxa"/>
            <w:vAlign w:val="bottom"/>
          </w:tcPr>
          <w:p>
            <w:pPr>
              <w:spacing w:after="0"/>
              <w:rPr>
                <w:sz w:val="18"/>
                <w:szCs w:val="18"/>
                <w:color w:val="auto"/>
              </w:rPr>
            </w:pPr>
          </w:p>
        </w:tc>
        <w:tc>
          <w:tcPr>
            <w:tcW w:w="1160" w:type="dxa"/>
            <w:vAlign w:val="bottom"/>
          </w:tcPr>
          <w:p>
            <w:pPr>
              <w:jc w:val="center"/>
              <w:ind w:right="151"/>
              <w:spacing w:after="0"/>
              <w:rPr>
                <w:sz w:val="20"/>
                <w:szCs w:val="20"/>
                <w:color w:val="auto"/>
              </w:rPr>
            </w:pPr>
            <w:r>
              <w:rPr>
                <w:rFonts w:ascii="Arial" w:cs="Arial" w:eastAsia="Arial" w:hAnsi="Arial"/>
                <w:sz w:val="18"/>
                <w:szCs w:val="18"/>
                <w:color w:val="auto"/>
                <w:w w:val="86"/>
              </w:rPr>
              <w:t>Charged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Balance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center"/>
              <w:ind w:right="171"/>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8"/>
                <w:szCs w:val="18"/>
                <w:color w:val="auto"/>
              </w:rPr>
            </w:pPr>
          </w:p>
        </w:tc>
        <w:tc>
          <w:tcPr>
            <w:tcW w:w="1300" w:type="dxa"/>
            <w:vAlign w:val="bottom"/>
          </w:tcPr>
          <w:p>
            <w:pPr>
              <w:jc w:val="center"/>
              <w:ind w:right="292"/>
              <w:spacing w:after="0"/>
              <w:rPr>
                <w:sz w:val="20"/>
                <w:szCs w:val="20"/>
                <w:color w:val="auto"/>
              </w:rPr>
            </w:pPr>
            <w:r>
              <w:rPr>
                <w:rFonts w:ascii="Arial" w:cs="Arial" w:eastAsia="Arial" w:hAnsi="Arial"/>
                <w:sz w:val="18"/>
                <w:szCs w:val="18"/>
                <w:color w:val="auto"/>
                <w:w w:val="86"/>
              </w:rPr>
              <w:t>Charged</w:t>
            </w:r>
          </w:p>
        </w:tc>
        <w:tc>
          <w:tcPr>
            <w:tcW w:w="14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92"/>
              </w:rPr>
              <w:t>(Credited)</w:t>
            </w:r>
          </w:p>
        </w:tc>
        <w:tc>
          <w:tcPr>
            <w:tcW w:w="18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w w:val="90"/>
              </w:rPr>
              <w:t>Deductions/</w:t>
            </w:r>
          </w:p>
        </w:tc>
        <w:tc>
          <w:tcPr>
            <w:tcW w:w="2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at End</w:t>
            </w:r>
          </w:p>
        </w:tc>
        <w:tc>
          <w:tcPr>
            <w:tcW w:w="0" w:type="dxa"/>
            <w:vAlign w:val="bottom"/>
          </w:tcPr>
          <w:p>
            <w:pPr>
              <w:spacing w:after="0"/>
              <w:rPr>
                <w:sz w:val="1"/>
                <w:szCs w:val="1"/>
                <w:color w:val="auto"/>
              </w:rPr>
            </w:pPr>
          </w:p>
        </w:tc>
      </w:tr>
      <w:tr>
        <w:trPr>
          <w:trHeight w:val="225"/>
        </w:trPr>
        <w:tc>
          <w:tcPr>
            <w:tcW w:w="4180" w:type="dxa"/>
            <w:vAlign w:val="bottom"/>
            <w:gridSpan w:val="3"/>
          </w:tcPr>
          <w:p>
            <w:pPr>
              <w:spacing w:after="0"/>
              <w:rPr>
                <w:sz w:val="20"/>
                <w:szCs w:val="20"/>
                <w:color w:val="auto"/>
              </w:rPr>
            </w:pPr>
            <w:r>
              <w:rPr>
                <w:rFonts w:ascii="Arial" w:cs="Arial" w:eastAsia="Arial" w:hAnsi="Arial"/>
                <w:sz w:val="18"/>
                <w:szCs w:val="18"/>
                <w:color w:val="auto"/>
              </w:rPr>
              <w:t>Description</w:t>
            </w:r>
          </w:p>
        </w:tc>
        <w:tc>
          <w:tcPr>
            <w:tcW w:w="580" w:type="dxa"/>
            <w:vAlign w:val="bottom"/>
          </w:tcPr>
          <w:p>
            <w:pPr>
              <w:spacing w:after="0"/>
              <w:rPr>
                <w:sz w:val="19"/>
                <w:szCs w:val="19"/>
                <w:color w:val="auto"/>
              </w:rPr>
            </w:pPr>
          </w:p>
        </w:tc>
        <w:tc>
          <w:tcPr>
            <w:tcW w:w="1080" w:type="dxa"/>
            <w:vAlign w:val="bottom"/>
          </w:tcPr>
          <w:p>
            <w:pPr>
              <w:jc w:val="center"/>
              <w:ind w:right="151"/>
              <w:spacing w:after="0"/>
              <w:rPr>
                <w:sz w:val="20"/>
                <w:szCs w:val="20"/>
                <w:color w:val="auto"/>
              </w:rPr>
            </w:pPr>
            <w:r>
              <w:rPr>
                <w:rFonts w:ascii="Arial" w:cs="Arial" w:eastAsia="Arial" w:hAnsi="Arial"/>
                <w:sz w:val="18"/>
                <w:szCs w:val="18"/>
                <w:color w:val="auto"/>
                <w:w w:val="89"/>
              </w:rPr>
              <w:t>of Year</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w w:val="98"/>
              </w:rPr>
              <w:t xml:space="preserve">to Expense  </w:t>
            </w:r>
            <w:r>
              <w:rPr>
                <w:rFonts w:ascii="Arial" w:cs="Arial" w:eastAsia="Arial" w:hAnsi="Arial"/>
                <w:sz w:val="14"/>
                <w:szCs w:val="14"/>
                <w:color w:val="auto"/>
                <w:w w:val="98"/>
              </w:rPr>
              <w:t>(1)</w:t>
            </w:r>
          </w:p>
        </w:tc>
        <w:tc>
          <w:tcPr>
            <w:tcW w:w="140" w:type="dxa"/>
            <w:vAlign w:val="bottom"/>
          </w:tcPr>
          <w:p>
            <w:pPr>
              <w:spacing w:after="0"/>
              <w:rPr>
                <w:sz w:val="19"/>
                <w:szCs w:val="19"/>
                <w:color w:val="auto"/>
              </w:rPr>
            </w:pPr>
          </w:p>
        </w:tc>
        <w:tc>
          <w:tcPr>
            <w:tcW w:w="1160" w:type="dxa"/>
            <w:vAlign w:val="bottom"/>
          </w:tcPr>
          <w:p>
            <w:pPr>
              <w:jc w:val="center"/>
              <w:ind w:right="131"/>
              <w:spacing w:after="0"/>
              <w:rPr>
                <w:sz w:val="20"/>
                <w:szCs w:val="20"/>
                <w:color w:val="auto"/>
              </w:rPr>
            </w:pPr>
            <w:r>
              <w:rPr>
                <w:rFonts w:ascii="Arial" w:cs="Arial" w:eastAsia="Arial" w:hAnsi="Arial"/>
                <w:sz w:val="18"/>
                <w:szCs w:val="18"/>
                <w:color w:val="auto"/>
                <w:w w:val="86"/>
              </w:rPr>
              <w:t>to Expense</w:t>
            </w:r>
          </w:p>
        </w:tc>
        <w:tc>
          <w:tcPr>
            <w:tcW w:w="180" w:type="dxa"/>
            <w:vAlign w:val="bottom"/>
          </w:tcPr>
          <w:p>
            <w:pPr>
              <w:spacing w:after="0"/>
              <w:rPr>
                <w:sz w:val="19"/>
                <w:szCs w:val="19"/>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Write-offs</w:t>
            </w:r>
          </w:p>
        </w:tc>
        <w:tc>
          <w:tcPr>
            <w:tcW w:w="24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25, 2021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60" w:type="dxa"/>
            <w:vAlign w:val="bottom"/>
            <w:gridSpan w:val="2"/>
          </w:tcPr>
          <w:p>
            <w:pPr>
              <w:spacing w:after="0"/>
              <w:rPr>
                <w:sz w:val="18"/>
                <w:szCs w:val="18"/>
                <w:color w:val="auto"/>
              </w:rPr>
            </w:pPr>
          </w:p>
        </w:tc>
        <w:tc>
          <w:tcPr>
            <w:tcW w:w="2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Reserve for excess and obsolete inventories: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Year ended December 28, 2019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23,938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1,285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4,792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Year ended December 26, 2020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4,611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8,117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6,749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vMerge w:val="continue"/>
          </w:tcPr>
          <w:p>
            <w:pPr>
              <w:spacing w:after="0"/>
              <w:rPr>
                <w:sz w:val="18"/>
                <w:szCs w:val="18"/>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December 25,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15"/>
                <w:szCs w:val="15"/>
                <w:color w:val="auto"/>
              </w:rPr>
              <w:t>(2,926)</w:t>
            </w:r>
            <w:r>
              <w:rPr>
                <w:rFonts w:ascii="Arial" w:cs="Arial" w:eastAsia="Arial" w:hAnsi="Arial"/>
                <w:sz w:val="24"/>
                <w:szCs w:val="24"/>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8,101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All amounts presented above have been restated to exclude the impact of our discontinued operations.</w:t>
      </w:r>
    </w:p>
    <w:p>
      <w:pPr>
        <w:spacing w:after="0" w:line="238" w:lineRule="exact"/>
        <w:rPr>
          <w:sz w:val="20"/>
          <w:szCs w:val="20"/>
          <w:color w:val="auto"/>
        </w:rPr>
      </w:pPr>
    </w:p>
    <w:p>
      <w:pPr>
        <w:ind w:left="300" w:hanging="294"/>
        <w:spacing w:after="0"/>
        <w:tabs>
          <w:tab w:leader="none" w:pos="3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Changes in reserve balances resulting from foreign currency impact and reclassifications from other reserves.</w:t>
      </w:r>
    </w:p>
    <w:p>
      <w:pPr>
        <w:spacing w:after="0" w:line="16" w:lineRule="exact"/>
        <w:rPr>
          <w:rFonts w:ascii="Arial" w:cs="Arial" w:eastAsia="Arial" w:hAnsi="Arial"/>
          <w:sz w:val="21"/>
          <w:szCs w:val="21"/>
          <w:color w:val="auto"/>
        </w:rPr>
      </w:pPr>
    </w:p>
    <w:p>
      <w:pPr>
        <w:ind w:left="300" w:hanging="294"/>
        <w:spacing w:after="0"/>
        <w:tabs>
          <w:tab w:leader="none" w:pos="3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Reductions not charged to expense includes $2.2 million transferred as part of the sale of our PCB Test business.</w:t>
      </w:r>
    </w:p>
    <w:p>
      <w:pPr>
        <w:sectPr>
          <w:pgSz w:w="11900" w:h="16838" w:orient="portrait"/>
          <w:cols w:equalWidth="0" w:num="1">
            <w:col w:w="11240"/>
          </w:cols>
          <w:pgMar w:left="320" w:top="10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20" w:type="dxa"/>
            <w:vAlign w:val="bottom"/>
          </w:tcPr>
          <w:p>
            <w:pPr>
              <w:ind w:left="1580"/>
              <w:spacing w:after="0"/>
              <w:rPr>
                <w:sz w:val="20"/>
                <w:szCs w:val="20"/>
                <w:color w:val="auto"/>
              </w:rPr>
            </w:pPr>
            <w:r>
              <w:rPr>
                <w:rFonts w:ascii="Arial" w:cs="Arial" w:eastAsia="Arial" w:hAnsi="Arial"/>
                <w:sz w:val="18"/>
                <w:szCs w:val="18"/>
                <w:b w:val="1"/>
                <w:bCs w:val="1"/>
                <w:color w:val="auto"/>
              </w:rPr>
              <w:t>SUBSIDIARIES OF COHU, INC.</w:t>
            </w:r>
          </w:p>
        </w:tc>
        <w:tc>
          <w:tcPr>
            <w:tcW w:w="2800" w:type="dxa"/>
            <w:vAlign w:val="bottom"/>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PLACE OF</w:t>
            </w:r>
          </w:p>
        </w:tc>
      </w:tr>
      <w:tr>
        <w:trPr>
          <w:trHeight w:val="225"/>
        </w:trPr>
        <w:tc>
          <w:tcPr>
            <w:tcW w:w="8440" w:type="dxa"/>
            <w:vAlign w:val="bottom"/>
            <w:gridSpan w:val="4"/>
          </w:tcPr>
          <w:p>
            <w:pPr>
              <w:spacing w:after="0"/>
              <w:rPr>
                <w:sz w:val="20"/>
                <w:szCs w:val="20"/>
                <w:color w:val="auto"/>
              </w:rPr>
            </w:pPr>
            <w:r>
              <w:rPr>
                <w:rFonts w:ascii="Arial" w:cs="Arial" w:eastAsia="Arial" w:hAnsi="Arial"/>
                <w:sz w:val="18"/>
                <w:szCs w:val="18"/>
                <w:color w:val="auto"/>
              </w:rPr>
              <w:t>LEGAL ENTITY NAME</w:t>
            </w:r>
          </w:p>
        </w:tc>
        <w:tc>
          <w:tcPr>
            <w:tcW w:w="2800" w:type="dxa"/>
            <w:vAlign w:val="bottom"/>
          </w:tcPr>
          <w:p>
            <w:pPr>
              <w:spacing w:after="0"/>
              <w:rPr>
                <w:sz w:val="20"/>
                <w:szCs w:val="20"/>
                <w:color w:val="auto"/>
              </w:rPr>
            </w:pPr>
            <w:r>
              <w:rPr>
                <w:rFonts w:ascii="Arial" w:cs="Arial" w:eastAsia="Arial" w:hAnsi="Arial"/>
                <w:sz w:val="18"/>
                <w:szCs w:val="18"/>
                <w:color w:val="auto"/>
              </w:rPr>
              <w:t>INCORPORATION</w:t>
            </w:r>
          </w:p>
        </w:tc>
      </w:tr>
      <w:tr>
        <w:trPr>
          <w:trHeight w:val="207"/>
        </w:trPr>
        <w:tc>
          <w:tcPr>
            <w:tcW w:w="20" w:type="dxa"/>
            <w:vAlign w:val="bottom"/>
          </w:tcPr>
          <w:p>
            <w:pPr>
              <w:spacing w:after="0"/>
              <w:rPr>
                <w:sz w:val="17"/>
                <w:szCs w:val="17"/>
                <w:color w:val="auto"/>
              </w:rPr>
            </w:pPr>
          </w:p>
        </w:tc>
        <w:tc>
          <w:tcPr>
            <w:tcW w:w="2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Delta Design, Inc. (1)</w:t>
            </w:r>
          </w:p>
        </w:tc>
        <w:tc>
          <w:tcPr>
            <w:tcW w:w="5620" w:type="dxa"/>
            <w:vAlign w:val="bottom"/>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FRL, Incorporated</w:t>
            </w:r>
          </w:p>
        </w:tc>
        <w:tc>
          <w:tcPr>
            <w:tcW w:w="28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3"/>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Cohu Foreign Sales Corp</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Barbados</w:t>
            </w:r>
          </w:p>
        </w:tc>
      </w:tr>
      <w:tr>
        <w:trPr>
          <w:trHeight w:val="224"/>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Xcerra Corporation (5)</w:t>
            </w:r>
          </w:p>
        </w:tc>
        <w:tc>
          <w:tcPr>
            <w:tcW w:w="280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82"/>
        </w:trPr>
        <w:tc>
          <w:tcPr>
            <w:tcW w:w="1120" w:type="dxa"/>
            <w:vAlign w:val="bottom"/>
            <w:tcBorders>
              <w:bottom w:val="single" w:sz="8" w:color="auto"/>
            </w:tcBorders>
            <w:gridSpan w:val="2"/>
          </w:tcPr>
          <w:p>
            <w:pPr>
              <w:spacing w:after="0"/>
              <w:rPr>
                <w:sz w:val="24"/>
                <w:szCs w:val="24"/>
                <w:color w:val="auto"/>
              </w:rPr>
            </w:pPr>
          </w:p>
        </w:tc>
        <w:tc>
          <w:tcPr>
            <w:tcW w:w="732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r>
      <w:tr>
        <w:trPr>
          <w:trHeight w:val="247"/>
        </w:trPr>
        <w:tc>
          <w:tcPr>
            <w:tcW w:w="8440" w:type="dxa"/>
            <w:vAlign w:val="bottom"/>
            <w:gridSpan w:val="4"/>
          </w:tcPr>
          <w:p>
            <w:pPr>
              <w:spacing w:after="0"/>
              <w:rPr>
                <w:sz w:val="20"/>
                <w:szCs w:val="20"/>
                <w:color w:val="auto"/>
              </w:rPr>
            </w:pPr>
            <w:r>
              <w:rPr>
                <w:rFonts w:ascii="Arial" w:cs="Arial" w:eastAsia="Arial" w:hAnsi="Arial"/>
                <w:sz w:val="18"/>
                <w:szCs w:val="18"/>
                <w:color w:val="auto"/>
              </w:rPr>
              <w:t>(1) Delta Design, Inc. owns the following subsidiaries:</w:t>
            </w:r>
          </w:p>
        </w:tc>
        <w:tc>
          <w:tcPr>
            <w:tcW w:w="280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Delta Design Singapore PTE LTD (2)</w:t>
            </w:r>
          </w:p>
        </w:tc>
        <w:tc>
          <w:tcPr>
            <w:tcW w:w="28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S.A.</w:t>
            </w:r>
          </w:p>
        </w:tc>
        <w:tc>
          <w:tcPr>
            <w:tcW w:w="280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Semiconductor Test GmbH (Partial ownership 37%) (3)</w:t>
            </w: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Rosenheim Automation Systems Corporation</w:t>
            </w:r>
          </w:p>
        </w:tc>
        <w:tc>
          <w:tcPr>
            <w:tcW w:w="28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Ismeca Semiconductor Holding SA (4)</w:t>
            </w:r>
          </w:p>
        </w:tc>
        <w:tc>
          <w:tcPr>
            <w:tcW w:w="28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(2) Delta Design Singapore PTE LTD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Delta Design Philippines LLC (14)</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Delta Design Singapore PTE LTD, Taiwan Branch</w:t>
            </w:r>
          </w:p>
        </w:tc>
        <w:tc>
          <w:tcPr>
            <w:tcW w:w="2800" w:type="dxa"/>
            <w:vAlign w:val="bottom"/>
          </w:tcPr>
          <w:p>
            <w:pPr>
              <w:spacing w:after="0"/>
              <w:rPr>
                <w:sz w:val="20"/>
                <w:szCs w:val="20"/>
                <w:color w:val="auto"/>
              </w:rPr>
            </w:pPr>
            <w:r>
              <w:rPr>
                <w:rFonts w:ascii="Arial" w:cs="Arial" w:eastAsia="Arial" w:hAnsi="Arial"/>
                <w:sz w:val="18"/>
                <w:szCs w:val="18"/>
                <w:color w:val="auto"/>
              </w:rPr>
              <w:t>Taiwan</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(3) Cohu Semiconductor Test GmbH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Multitest GmbH (7)</w:t>
            </w: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(4) Ismeca Semiconductor Holding SA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Ismeca Europe Semiconductor SA (6)</w:t>
            </w:r>
          </w:p>
        </w:tc>
        <w:tc>
          <w:tcPr>
            <w:tcW w:w="28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Malaysia Sdn. Bhd.</w:t>
            </w:r>
          </w:p>
        </w:tc>
        <w:tc>
          <w:tcPr>
            <w:tcW w:w="2800" w:type="dxa"/>
            <w:vAlign w:val="bottom"/>
          </w:tcPr>
          <w:p>
            <w:pPr>
              <w:spacing w:after="0"/>
              <w:rPr>
                <w:sz w:val="20"/>
                <w:szCs w:val="20"/>
                <w:color w:val="auto"/>
              </w:rPr>
            </w:pPr>
            <w:r>
              <w:rPr>
                <w:rFonts w:ascii="Arial" w:cs="Arial" w:eastAsia="Arial" w:hAnsi="Arial"/>
                <w:sz w:val="18"/>
                <w:szCs w:val="18"/>
                <w:color w:val="auto"/>
              </w:rPr>
              <w:t>Malaysia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Ismeca Semiconductor (Suzhou) Co Ltd</w:t>
            </w:r>
          </w:p>
        </w:tc>
        <w:tc>
          <w:tcPr>
            <w:tcW w:w="2800" w:type="dxa"/>
            <w:vAlign w:val="bottom"/>
          </w:tcPr>
          <w:p>
            <w:pPr>
              <w:spacing w:after="0"/>
              <w:rPr>
                <w:sz w:val="20"/>
                <w:szCs w:val="20"/>
                <w:color w:val="auto"/>
              </w:rPr>
            </w:pPr>
            <w:r>
              <w:rPr>
                <w:rFonts w:ascii="Arial" w:cs="Arial" w:eastAsia="Arial" w:hAnsi="Arial"/>
                <w:sz w:val="18"/>
                <w:szCs w:val="18"/>
                <w:color w:val="auto"/>
              </w:rPr>
              <w:t>China</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(5) Xcerra Corporation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LTX-Credence France S.A.S.</w:t>
            </w:r>
          </w:p>
        </w:tc>
        <w:tc>
          <w:tcPr>
            <w:tcW w:w="2800" w:type="dxa"/>
            <w:vAlign w:val="bottom"/>
          </w:tcPr>
          <w:p>
            <w:pPr>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LTX-Credence Italia S.r.l.</w:t>
            </w:r>
          </w:p>
        </w:tc>
        <w:tc>
          <w:tcPr>
            <w:tcW w:w="2800" w:type="dxa"/>
            <w:vAlign w:val="bottom"/>
          </w:tcPr>
          <w:p>
            <w:pPr>
              <w:spacing w:after="0"/>
              <w:rPr>
                <w:sz w:val="20"/>
                <w:szCs w:val="20"/>
                <w:color w:val="auto"/>
              </w:rPr>
            </w:pPr>
            <w:r>
              <w:rPr>
                <w:rFonts w:ascii="Arial" w:cs="Arial" w:eastAsia="Arial" w:hAnsi="Arial"/>
                <w:sz w:val="18"/>
                <w:szCs w:val="18"/>
                <w:color w:val="auto"/>
              </w:rPr>
              <w:t>Italy</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 Asia International, Inc. (15)</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LTX-Credence Sdn BhD. (10)</w:t>
            </w:r>
          </w:p>
        </w:tc>
        <w:tc>
          <w:tcPr>
            <w:tcW w:w="2800" w:type="dxa"/>
            <w:vAlign w:val="bottom"/>
          </w:tcPr>
          <w:p>
            <w:pPr>
              <w:spacing w:after="0"/>
              <w:rPr>
                <w:sz w:val="20"/>
                <w:szCs w:val="20"/>
                <w:color w:val="auto"/>
              </w:rPr>
            </w:pPr>
            <w:r>
              <w:rPr>
                <w:rFonts w:ascii="Arial" w:cs="Arial" w:eastAsia="Arial" w:hAnsi="Arial"/>
                <w:sz w:val="18"/>
                <w:szCs w:val="18"/>
                <w:color w:val="auto"/>
              </w:rPr>
              <w:t>Malaysia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 LLC</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Multitest Electronic Systems Inc.</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Interface Solutions LLC (9)</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Credence Capital Corporation</w:t>
            </w:r>
          </w:p>
        </w:tc>
        <w:tc>
          <w:tcPr>
            <w:tcW w:w="28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Xcerra International Inc. (12)</w:t>
            </w:r>
          </w:p>
        </w:tc>
        <w:tc>
          <w:tcPr>
            <w:tcW w:w="2800" w:type="dxa"/>
            <w:vAlign w:val="bottom"/>
          </w:tcPr>
          <w:p>
            <w:pPr>
              <w:spacing w:after="0"/>
              <w:rPr>
                <w:sz w:val="20"/>
                <w:szCs w:val="20"/>
                <w:color w:val="auto"/>
              </w:rPr>
            </w:pPr>
            <w:r>
              <w:rPr>
                <w:rFonts w:ascii="Arial" w:cs="Arial" w:eastAsia="Arial" w:hAnsi="Arial"/>
                <w:sz w:val="18"/>
                <w:szCs w:val="18"/>
                <w:color w:val="auto"/>
              </w:rPr>
              <w:t>Delaware</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Credence International Ltd. (13)</w:t>
            </w:r>
          </w:p>
        </w:tc>
        <w:tc>
          <w:tcPr>
            <w:tcW w:w="280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LTX-Credence KK</w:t>
            </w:r>
          </w:p>
        </w:tc>
        <w:tc>
          <w:tcPr>
            <w:tcW w:w="2800" w:type="dxa"/>
            <w:vAlign w:val="bottom"/>
          </w:tcPr>
          <w:p>
            <w:pPr>
              <w:spacing w:after="0"/>
              <w:rPr>
                <w:sz w:val="20"/>
                <w:szCs w:val="20"/>
                <w:color w:val="auto"/>
              </w:rPr>
            </w:pPr>
            <w:r>
              <w:rPr>
                <w:rFonts w:ascii="Arial" w:cs="Arial" w:eastAsia="Arial" w:hAnsi="Arial"/>
                <w:sz w:val="18"/>
                <w:szCs w:val="18"/>
                <w:color w:val="auto"/>
              </w:rPr>
              <w:t>Japan</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Xcerra (Thailand) Company Limited</w:t>
            </w:r>
          </w:p>
        </w:tc>
        <w:tc>
          <w:tcPr>
            <w:tcW w:w="2800" w:type="dxa"/>
            <w:vAlign w:val="bottom"/>
          </w:tcPr>
          <w:p>
            <w:pPr>
              <w:spacing w:after="0"/>
              <w:rPr>
                <w:sz w:val="20"/>
                <w:szCs w:val="20"/>
                <w:color w:val="auto"/>
              </w:rPr>
            </w:pPr>
            <w:r>
              <w:rPr>
                <w:rFonts w:ascii="Arial" w:cs="Arial" w:eastAsia="Arial" w:hAnsi="Arial"/>
                <w:sz w:val="18"/>
                <w:szCs w:val="18"/>
                <w:color w:val="auto"/>
              </w:rPr>
              <w:t>Thailand</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Credence Systems (M) Sdn BhD</w:t>
            </w:r>
          </w:p>
        </w:tc>
        <w:tc>
          <w:tcPr>
            <w:tcW w:w="2800" w:type="dxa"/>
            <w:vAlign w:val="bottom"/>
          </w:tcPr>
          <w:p>
            <w:pPr>
              <w:spacing w:after="0"/>
              <w:rPr>
                <w:sz w:val="20"/>
                <w:szCs w:val="20"/>
                <w:color w:val="auto"/>
              </w:rPr>
            </w:pPr>
            <w:r>
              <w:rPr>
                <w:rFonts w:ascii="Arial" w:cs="Arial" w:eastAsia="Arial" w:hAnsi="Arial"/>
                <w:sz w:val="18"/>
                <w:szCs w:val="18"/>
                <w:color w:val="auto"/>
              </w:rPr>
              <w:t>Malaysia</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Credence Systems (UK) Limited (16)</w:t>
            </w:r>
          </w:p>
        </w:tc>
        <w:tc>
          <w:tcPr>
            <w:tcW w:w="28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Everett Charles Technologies Mexico, S. de R.L. de C.V.</w:t>
            </w:r>
          </w:p>
        </w:tc>
        <w:tc>
          <w:tcPr>
            <w:tcW w:w="2800" w:type="dxa"/>
            <w:vAlign w:val="bottom"/>
          </w:tcPr>
          <w:p>
            <w:pPr>
              <w:spacing w:after="0"/>
              <w:rPr>
                <w:sz w:val="20"/>
                <w:szCs w:val="20"/>
                <w:color w:val="auto"/>
              </w:rPr>
            </w:pPr>
            <w:r>
              <w:rPr>
                <w:rFonts w:ascii="Arial" w:cs="Arial" w:eastAsia="Arial" w:hAnsi="Arial"/>
                <w:sz w:val="18"/>
                <w:szCs w:val="18"/>
                <w:color w:val="auto"/>
              </w:rPr>
              <w:t>Mexico</w:t>
            </w: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Semiconductor Test GmbH (Partial ownership 63%) (3)</w:t>
            </w: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(6) Ismeca Europe Semiconductor SA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Ismeca Europe Semiconductor SA, Korean Branch</w:t>
            </w:r>
          </w:p>
        </w:tc>
        <w:tc>
          <w:tcPr>
            <w:tcW w:w="280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(7) Multitest GmbH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Cohu GmbH (8)</w:t>
            </w: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213"/>
        </w:trPr>
        <w:tc>
          <w:tcPr>
            <w:tcW w:w="8440" w:type="dxa"/>
            <w:vAlign w:val="bottom"/>
            <w:gridSpan w:val="4"/>
          </w:tcPr>
          <w:p>
            <w:pPr>
              <w:spacing w:after="0"/>
              <w:rPr>
                <w:sz w:val="20"/>
                <w:szCs w:val="20"/>
                <w:color w:val="auto"/>
              </w:rPr>
            </w:pPr>
            <w:r>
              <w:rPr>
                <w:rFonts w:ascii="Arial" w:cs="Arial" w:eastAsia="Arial" w:hAnsi="Arial"/>
                <w:sz w:val="18"/>
                <w:szCs w:val="18"/>
                <w:color w:val="auto"/>
              </w:rPr>
              <w:t>(8) Cohu GmbH owns the following subsidiaries:</w:t>
            </w:r>
          </w:p>
        </w:tc>
        <w:tc>
          <w:tcPr>
            <w:tcW w:w="28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Kita Manufacturing Co., LTD</w:t>
            </w:r>
          </w:p>
        </w:tc>
        <w:tc>
          <w:tcPr>
            <w:tcW w:w="2800" w:type="dxa"/>
            <w:vAlign w:val="bottom"/>
          </w:tcPr>
          <w:p>
            <w:pPr>
              <w:spacing w:after="0"/>
              <w:rPr>
                <w:sz w:val="20"/>
                <w:szCs w:val="20"/>
                <w:color w:val="auto"/>
              </w:rPr>
            </w:pPr>
            <w:r>
              <w:rPr>
                <w:rFonts w:ascii="Arial" w:cs="Arial" w:eastAsia="Arial" w:hAnsi="Arial"/>
                <w:sz w:val="18"/>
                <w:szCs w:val="18"/>
                <w:color w:val="auto"/>
              </w:rPr>
              <w:t>Japan</w:t>
            </w:r>
          </w:p>
        </w:tc>
      </w:tr>
      <w:tr>
        <w:trPr>
          <w:trHeight w:val="224"/>
        </w:trPr>
        <w:tc>
          <w:tcPr>
            <w:tcW w:w="20" w:type="dxa"/>
            <w:vAlign w:val="bottom"/>
          </w:tcPr>
          <w:p>
            <w:pPr>
              <w:spacing w:after="0"/>
              <w:rPr>
                <w:sz w:val="19"/>
                <w:szCs w:val="19"/>
                <w:color w:val="auto"/>
              </w:rPr>
            </w:pPr>
          </w:p>
        </w:tc>
        <w:tc>
          <w:tcPr>
            <w:tcW w:w="8420" w:type="dxa"/>
            <w:vAlign w:val="bottom"/>
            <w:gridSpan w:val="3"/>
          </w:tcPr>
          <w:p>
            <w:pPr>
              <w:ind w:left="340"/>
              <w:spacing w:after="0"/>
              <w:rPr>
                <w:sz w:val="20"/>
                <w:szCs w:val="20"/>
                <w:color w:val="auto"/>
              </w:rPr>
            </w:pPr>
            <w:r>
              <w:rPr>
                <w:rFonts w:ascii="Arial" w:cs="Arial" w:eastAsia="Arial" w:hAnsi="Arial"/>
                <w:sz w:val="18"/>
                <w:szCs w:val="18"/>
                <w:color w:val="auto"/>
              </w:rPr>
              <w:t>FTZ Fraes-und Techologiezentrum GmbH Frasdorf (39% Ownership)</w:t>
            </w:r>
          </w:p>
        </w:tc>
        <w:tc>
          <w:tcPr>
            <w:tcW w:w="2800" w:type="dxa"/>
            <w:vAlign w:val="bottom"/>
          </w:tcPr>
          <w:p>
            <w:pPr>
              <w:spacing w:after="0"/>
              <w:rPr>
                <w:sz w:val="20"/>
                <w:szCs w:val="20"/>
                <w:color w:val="auto"/>
              </w:rPr>
            </w:pPr>
            <w:r>
              <w:rPr>
                <w:rFonts w:ascii="Arial" w:cs="Arial" w:eastAsia="Arial" w:hAnsi="Arial"/>
                <w:sz w:val="18"/>
                <w:szCs w:val="18"/>
                <w:color w:val="auto"/>
              </w:rPr>
              <w:t>Germany</w:t>
            </w:r>
          </w:p>
        </w:tc>
      </w:tr>
      <w:tr>
        <w:trPr>
          <w:trHeight w:val="594"/>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gridSpan w:val="2"/>
          </w:tcPr>
          <w:p>
            <w:pPr>
              <w:spacing w:after="0"/>
              <w:rPr>
                <w:sz w:val="20"/>
                <w:szCs w:val="20"/>
                <w:color w:val="auto"/>
              </w:rPr>
            </w:pPr>
            <w:r>
              <w:rPr>
                <w:rFonts w:ascii="Arial" w:cs="Arial" w:eastAsia="Arial" w:hAnsi="Arial"/>
                <w:sz w:val="18"/>
                <w:szCs w:val="18"/>
                <w:color w:val="auto"/>
              </w:rPr>
              <w:t>(9) Cohu Interface Solutions LLC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Everett Charles Tech, Inc.</w:t>
            </w:r>
          </w:p>
        </w:tc>
        <w:tc>
          <w:tcPr>
            <w:tcW w:w="2400" w:type="dxa"/>
            <w:vAlign w:val="bottom"/>
          </w:tcPr>
          <w:p>
            <w:pPr>
              <w:ind w:left="1380"/>
              <w:spacing w:after="0"/>
              <w:rPr>
                <w:sz w:val="20"/>
                <w:szCs w:val="20"/>
                <w:color w:val="auto"/>
              </w:rPr>
            </w:pPr>
            <w:r>
              <w:rPr>
                <w:rFonts w:ascii="Arial" w:cs="Arial" w:eastAsia="Arial" w:hAnsi="Arial"/>
                <w:sz w:val="18"/>
                <w:szCs w:val="18"/>
                <w:color w:val="auto"/>
                <w:w w:val="83"/>
              </w:rPr>
              <w:t>Massachusetts</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(10)</w:t>
            </w:r>
          </w:p>
        </w:tc>
        <w:tc>
          <w:tcPr>
            <w:tcW w:w="6740" w:type="dxa"/>
            <w:vAlign w:val="bottom"/>
          </w:tcPr>
          <w:p>
            <w:pPr>
              <w:ind w:left="20"/>
              <w:spacing w:after="0"/>
              <w:rPr>
                <w:sz w:val="20"/>
                <w:szCs w:val="20"/>
                <w:color w:val="auto"/>
              </w:rPr>
            </w:pPr>
            <w:r>
              <w:rPr>
                <w:rFonts w:ascii="Arial" w:cs="Arial" w:eastAsia="Arial" w:hAnsi="Arial"/>
                <w:sz w:val="18"/>
                <w:szCs w:val="18"/>
                <w:color w:val="auto"/>
              </w:rPr>
              <w:t>LTX-Credence Sdn BhD.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LTX Corporation Philippine Branch (11)</w:t>
            </w:r>
          </w:p>
        </w:tc>
        <w:tc>
          <w:tcPr>
            <w:tcW w:w="2400" w:type="dxa"/>
            <w:vAlign w:val="bottom"/>
          </w:tcPr>
          <w:p>
            <w:pPr>
              <w:ind w:left="1380"/>
              <w:spacing w:after="0"/>
              <w:rPr>
                <w:sz w:val="20"/>
                <w:szCs w:val="20"/>
                <w:color w:val="auto"/>
              </w:rPr>
            </w:pPr>
            <w:r>
              <w:rPr>
                <w:rFonts w:ascii="Arial" w:cs="Arial" w:eastAsia="Arial" w:hAnsi="Arial"/>
                <w:sz w:val="18"/>
                <w:szCs w:val="18"/>
                <w:color w:val="auto"/>
              </w:rPr>
              <w:t>Philippines</w:t>
            </w: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Multitest Electronic Systems (Penang) Sdn. Bhd.</w:t>
            </w:r>
          </w:p>
        </w:tc>
        <w:tc>
          <w:tcPr>
            <w:tcW w:w="2400" w:type="dxa"/>
            <w:vAlign w:val="bottom"/>
          </w:tcPr>
          <w:p>
            <w:pPr>
              <w:ind w:left="1380"/>
              <w:spacing w:after="0"/>
              <w:rPr>
                <w:sz w:val="20"/>
                <w:szCs w:val="20"/>
                <w:color w:val="auto"/>
              </w:rPr>
            </w:pPr>
            <w:r>
              <w:rPr>
                <w:rFonts w:ascii="Arial" w:cs="Arial" w:eastAsia="Arial" w:hAnsi="Arial"/>
                <w:sz w:val="18"/>
                <w:szCs w:val="18"/>
                <w:color w:val="auto"/>
              </w:rPr>
              <w:t>Malaysia</w:t>
            </w:r>
          </w:p>
        </w:tc>
      </w:tr>
      <w:tr>
        <w:trPr>
          <w:trHeight w:val="213"/>
        </w:trPr>
        <w:tc>
          <w:tcPr>
            <w:tcW w:w="7060" w:type="dxa"/>
            <w:vAlign w:val="bottom"/>
            <w:gridSpan w:val="2"/>
          </w:tcPr>
          <w:p>
            <w:pPr>
              <w:spacing w:after="0"/>
              <w:rPr>
                <w:sz w:val="20"/>
                <w:szCs w:val="20"/>
                <w:color w:val="auto"/>
              </w:rPr>
            </w:pPr>
            <w:r>
              <w:rPr>
                <w:rFonts w:ascii="Arial" w:cs="Arial" w:eastAsia="Arial" w:hAnsi="Arial"/>
                <w:sz w:val="18"/>
                <w:szCs w:val="18"/>
                <w:color w:val="auto"/>
              </w:rPr>
              <w:t>(11) LTX Corporation Philippine Branch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Multitest Electronic Systems (Philippines) Corporation</w:t>
            </w:r>
          </w:p>
        </w:tc>
        <w:tc>
          <w:tcPr>
            <w:tcW w:w="2400" w:type="dxa"/>
            <w:vAlign w:val="bottom"/>
          </w:tcPr>
          <w:p>
            <w:pPr>
              <w:ind w:left="1380"/>
              <w:spacing w:after="0"/>
              <w:rPr>
                <w:sz w:val="20"/>
                <w:szCs w:val="20"/>
                <w:color w:val="auto"/>
              </w:rPr>
            </w:pPr>
            <w:r>
              <w:rPr>
                <w:rFonts w:ascii="Arial" w:cs="Arial" w:eastAsia="Arial" w:hAnsi="Arial"/>
                <w:sz w:val="18"/>
                <w:szCs w:val="18"/>
                <w:color w:val="auto"/>
              </w:rPr>
              <w:t>Philippines</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(12)</w:t>
            </w:r>
          </w:p>
        </w:tc>
        <w:tc>
          <w:tcPr>
            <w:tcW w:w="6740" w:type="dxa"/>
            <w:vAlign w:val="bottom"/>
          </w:tcPr>
          <w:p>
            <w:pPr>
              <w:ind w:left="20"/>
              <w:spacing w:after="0"/>
              <w:rPr>
                <w:sz w:val="20"/>
                <w:szCs w:val="20"/>
                <w:color w:val="auto"/>
              </w:rPr>
            </w:pPr>
            <w:r>
              <w:rPr>
                <w:rFonts w:ascii="Arial" w:cs="Arial" w:eastAsia="Arial" w:hAnsi="Arial"/>
                <w:sz w:val="18"/>
                <w:szCs w:val="18"/>
                <w:color w:val="auto"/>
              </w:rPr>
              <w:t>Xcerra International Inc.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Credence Systems Korea Ltd.</w:t>
            </w:r>
          </w:p>
        </w:tc>
        <w:tc>
          <w:tcPr>
            <w:tcW w:w="2400" w:type="dxa"/>
            <w:vAlign w:val="bottom"/>
          </w:tcPr>
          <w:p>
            <w:pPr>
              <w:ind w:left="1380"/>
              <w:spacing w:after="0"/>
              <w:rPr>
                <w:sz w:val="20"/>
                <w:szCs w:val="20"/>
                <w:color w:val="auto"/>
              </w:rPr>
            </w:pPr>
            <w:r>
              <w:rPr>
                <w:rFonts w:ascii="Arial" w:cs="Arial" w:eastAsia="Arial" w:hAnsi="Arial"/>
                <w:sz w:val="18"/>
                <w:szCs w:val="18"/>
                <w:color w:val="auto"/>
                <w:w w:val="99"/>
              </w:rPr>
              <w:t>South Korea</w:t>
            </w: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Xcerra International Inc., Taiwan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Taiwan</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(13)</w:t>
            </w:r>
          </w:p>
        </w:tc>
        <w:tc>
          <w:tcPr>
            <w:tcW w:w="6740" w:type="dxa"/>
            <w:vAlign w:val="bottom"/>
          </w:tcPr>
          <w:p>
            <w:pPr>
              <w:ind w:left="20"/>
              <w:spacing w:after="0"/>
              <w:rPr>
                <w:sz w:val="20"/>
                <w:szCs w:val="20"/>
                <w:color w:val="auto"/>
              </w:rPr>
            </w:pPr>
            <w:r>
              <w:rPr>
                <w:rFonts w:ascii="Arial" w:cs="Arial" w:eastAsia="Arial" w:hAnsi="Arial"/>
                <w:sz w:val="18"/>
                <w:szCs w:val="18"/>
                <w:color w:val="auto"/>
              </w:rPr>
              <w:t>Credence International Ltd.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Credence Malta Limited</w:t>
            </w:r>
          </w:p>
        </w:tc>
        <w:tc>
          <w:tcPr>
            <w:tcW w:w="2400" w:type="dxa"/>
            <w:vAlign w:val="bottom"/>
          </w:tcPr>
          <w:p>
            <w:pPr>
              <w:ind w:left="1380"/>
              <w:spacing w:after="0"/>
              <w:rPr>
                <w:sz w:val="20"/>
                <w:szCs w:val="20"/>
                <w:color w:val="auto"/>
              </w:rPr>
            </w:pPr>
            <w:r>
              <w:rPr>
                <w:rFonts w:ascii="Arial" w:cs="Arial" w:eastAsia="Arial" w:hAnsi="Arial"/>
                <w:sz w:val="18"/>
                <w:szCs w:val="18"/>
                <w:color w:val="auto"/>
              </w:rPr>
              <w:t>Malta</w:t>
            </w: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LTX-Credence Singapore Pte Ltd.</w:t>
            </w:r>
          </w:p>
        </w:tc>
        <w:tc>
          <w:tcPr>
            <w:tcW w:w="2400" w:type="dxa"/>
            <w:vAlign w:val="bottom"/>
          </w:tcPr>
          <w:p>
            <w:pPr>
              <w:ind w:left="1380"/>
              <w:spacing w:after="0"/>
              <w:rPr>
                <w:sz w:val="20"/>
                <w:szCs w:val="20"/>
                <w:color w:val="auto"/>
              </w:rPr>
            </w:pPr>
            <w:r>
              <w:rPr>
                <w:rFonts w:ascii="Arial" w:cs="Arial" w:eastAsia="Arial" w:hAnsi="Arial"/>
                <w:sz w:val="18"/>
                <w:szCs w:val="18"/>
                <w:color w:val="auto"/>
              </w:rPr>
              <w:t>Singapore</w:t>
            </w: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NPTest de Costa Rica SA.</w:t>
            </w:r>
          </w:p>
        </w:tc>
        <w:tc>
          <w:tcPr>
            <w:tcW w:w="2400" w:type="dxa"/>
            <w:vAlign w:val="bottom"/>
          </w:tcPr>
          <w:p>
            <w:pPr>
              <w:ind w:left="1380"/>
              <w:spacing w:after="0"/>
              <w:rPr>
                <w:sz w:val="20"/>
                <w:szCs w:val="20"/>
                <w:color w:val="auto"/>
              </w:rPr>
            </w:pPr>
            <w:r>
              <w:rPr>
                <w:rFonts w:ascii="Arial" w:cs="Arial" w:eastAsia="Arial" w:hAnsi="Arial"/>
                <w:sz w:val="18"/>
                <w:szCs w:val="18"/>
                <w:color w:val="auto"/>
              </w:rPr>
              <w:t>Costa Rica</w:t>
            </w: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Cohu Semiconductor (Shenzhen) Co., Ltd (17)</w:t>
            </w:r>
          </w:p>
        </w:tc>
        <w:tc>
          <w:tcPr>
            <w:tcW w:w="2400" w:type="dxa"/>
            <w:vAlign w:val="bottom"/>
          </w:tcPr>
          <w:p>
            <w:pPr>
              <w:ind w:left="1380"/>
              <w:spacing w:after="0"/>
              <w:rPr>
                <w:sz w:val="20"/>
                <w:szCs w:val="20"/>
                <w:color w:val="auto"/>
              </w:rPr>
            </w:pPr>
            <w:r>
              <w:rPr>
                <w:rFonts w:ascii="Arial" w:cs="Arial" w:eastAsia="Arial" w:hAnsi="Arial"/>
                <w:sz w:val="18"/>
                <w:szCs w:val="18"/>
                <w:color w:val="auto"/>
              </w:rPr>
              <w:t>China</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(14)</w:t>
            </w:r>
          </w:p>
        </w:tc>
        <w:tc>
          <w:tcPr>
            <w:tcW w:w="6740" w:type="dxa"/>
            <w:vAlign w:val="bottom"/>
          </w:tcPr>
          <w:p>
            <w:pPr>
              <w:ind w:left="20"/>
              <w:spacing w:after="0"/>
              <w:rPr>
                <w:sz w:val="20"/>
                <w:szCs w:val="20"/>
                <w:color w:val="auto"/>
              </w:rPr>
            </w:pPr>
            <w:r>
              <w:rPr>
                <w:rFonts w:ascii="Arial" w:cs="Arial" w:eastAsia="Arial" w:hAnsi="Arial"/>
                <w:sz w:val="18"/>
                <w:szCs w:val="18"/>
                <w:color w:val="auto"/>
              </w:rPr>
              <w:t>Delta Design Philippines LLC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Delta Design Philippines LLC, Philippines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Philippines</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(15)</w:t>
            </w:r>
          </w:p>
        </w:tc>
        <w:tc>
          <w:tcPr>
            <w:tcW w:w="6740" w:type="dxa"/>
            <w:vAlign w:val="bottom"/>
          </w:tcPr>
          <w:p>
            <w:pPr>
              <w:ind w:left="20"/>
              <w:spacing w:after="0"/>
              <w:rPr>
                <w:sz w:val="20"/>
                <w:szCs w:val="20"/>
                <w:color w:val="auto"/>
              </w:rPr>
            </w:pPr>
            <w:r>
              <w:rPr>
                <w:rFonts w:ascii="Arial" w:cs="Arial" w:eastAsia="Arial" w:hAnsi="Arial"/>
                <w:sz w:val="18"/>
                <w:szCs w:val="18"/>
                <w:color w:val="auto"/>
              </w:rPr>
              <w:t>LTX Asia International, Inc.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LTX Asia International, Inc., Taiwan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Taiwan</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(16)</w:t>
            </w:r>
          </w:p>
        </w:tc>
        <w:tc>
          <w:tcPr>
            <w:tcW w:w="6740" w:type="dxa"/>
            <w:vAlign w:val="bottom"/>
          </w:tcPr>
          <w:p>
            <w:pPr>
              <w:ind w:left="20"/>
              <w:spacing w:after="0"/>
              <w:rPr>
                <w:sz w:val="20"/>
                <w:szCs w:val="20"/>
                <w:color w:val="auto"/>
              </w:rPr>
            </w:pPr>
            <w:r>
              <w:rPr>
                <w:rFonts w:ascii="Arial" w:cs="Arial" w:eastAsia="Arial" w:hAnsi="Arial"/>
                <w:sz w:val="18"/>
                <w:szCs w:val="18"/>
                <w:color w:val="auto"/>
              </w:rPr>
              <w:t>Credence Systems (UK) Limited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Credence Systems (UK) Limited, Belgium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Belgium</w:t>
            </w:r>
          </w:p>
        </w:tc>
      </w:tr>
      <w:tr>
        <w:trPr>
          <w:trHeight w:val="213"/>
        </w:trPr>
        <w:tc>
          <w:tcPr>
            <w:tcW w:w="320" w:type="dxa"/>
            <w:vAlign w:val="bottom"/>
          </w:tcPr>
          <w:p>
            <w:pPr>
              <w:spacing w:after="0"/>
              <w:rPr>
                <w:sz w:val="20"/>
                <w:szCs w:val="20"/>
                <w:color w:val="auto"/>
              </w:rPr>
            </w:pPr>
            <w:r>
              <w:rPr>
                <w:rFonts w:ascii="Arial" w:cs="Arial" w:eastAsia="Arial" w:hAnsi="Arial"/>
                <w:sz w:val="18"/>
                <w:szCs w:val="18"/>
                <w:color w:val="auto"/>
                <w:w w:val="93"/>
              </w:rPr>
              <w:t>(17)</w:t>
            </w:r>
          </w:p>
        </w:tc>
        <w:tc>
          <w:tcPr>
            <w:tcW w:w="6740" w:type="dxa"/>
            <w:vAlign w:val="bottom"/>
          </w:tcPr>
          <w:p>
            <w:pPr>
              <w:ind w:left="20"/>
              <w:spacing w:after="0"/>
              <w:rPr>
                <w:sz w:val="20"/>
                <w:szCs w:val="20"/>
                <w:color w:val="auto"/>
              </w:rPr>
            </w:pPr>
            <w:r>
              <w:rPr>
                <w:rFonts w:ascii="Arial" w:cs="Arial" w:eastAsia="Arial" w:hAnsi="Arial"/>
                <w:sz w:val="18"/>
                <w:szCs w:val="18"/>
                <w:color w:val="auto"/>
              </w:rPr>
              <w:t>Cohu Semiconductor (Shenzhen) Co., Ltd owns the following subsidiaries:</w:t>
            </w:r>
          </w:p>
        </w:tc>
        <w:tc>
          <w:tcPr>
            <w:tcW w:w="240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Cohu Semiconductor (Shenzhen) Co., Ltd, Suzhou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China</w:t>
            </w:r>
          </w:p>
        </w:tc>
      </w:tr>
      <w:tr>
        <w:trPr>
          <w:trHeight w:val="224"/>
        </w:trPr>
        <w:tc>
          <w:tcPr>
            <w:tcW w:w="320" w:type="dxa"/>
            <w:vAlign w:val="bottom"/>
          </w:tcPr>
          <w:p>
            <w:pPr>
              <w:spacing w:after="0"/>
              <w:rPr>
                <w:sz w:val="19"/>
                <w:szCs w:val="19"/>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Cohu Semiconductor (Shenzhen) Co., Ltd, Shanghai Branch</w:t>
            </w:r>
          </w:p>
        </w:tc>
        <w:tc>
          <w:tcPr>
            <w:tcW w:w="2400" w:type="dxa"/>
            <w:vAlign w:val="bottom"/>
          </w:tcPr>
          <w:p>
            <w:pPr>
              <w:ind w:left="138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0139"/>
          </w:cols>
          <w:pgMar w:left="320" w:top="580"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23</w:t>
      </w:r>
    </w:p>
    <w:p>
      <w:pPr>
        <w:spacing w:after="0" w:line="2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9" w:lineRule="exact"/>
        <w:rPr>
          <w:sz w:val="20"/>
          <w:szCs w:val="20"/>
          <w:color w:val="auto"/>
        </w:rPr>
      </w:pPr>
    </w:p>
    <w:p>
      <w:pPr>
        <w:ind w:left="640" w:hanging="314"/>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S-3 No. 333-237067) of Cohu, Inc, and</w:t>
      </w:r>
    </w:p>
    <w:p>
      <w:pPr>
        <w:spacing w:after="0" w:line="245" w:lineRule="exact"/>
        <w:rPr>
          <w:rFonts w:ascii="Arial" w:cs="Arial" w:eastAsia="Arial" w:hAnsi="Arial"/>
          <w:sz w:val="18"/>
          <w:szCs w:val="18"/>
          <w:color w:val="auto"/>
        </w:rPr>
      </w:pPr>
    </w:p>
    <w:p>
      <w:pPr>
        <w:jc w:val="both"/>
        <w:ind w:left="640" w:hanging="314"/>
        <w:spacing w:after="0" w:line="256"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Statements (Form S-8 Nos. 333-233080, 333-207016, 333-62803, 333-27663, 333-40610, 333-66466, 333-97449, 333-117554, 333-132605, 333-142579, 333-160760, 333-177453 and 333-186973) pertaining to the 1996 and 1998 Stock Option Plans, 1996 Outside Directors Stock Option Plan, 1997 Employee Stock Purchase Plan, and 2005 Equity Incentive Plan of Cohu, Inc.;</w:t>
      </w:r>
    </w:p>
    <w:p>
      <w:pPr>
        <w:spacing w:after="0" w:line="19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of our reports dated February 18, 2022, with respect to the consolidated financial statements and schedule of Cohu, Inc., and the effectiveness of internal control over financial reporting of Cohu, Inc., included in this Annual Report (Form 10-K) of Cohu, Inc. for the year ended December 25,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12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19" w:lineRule="exact"/>
        <w:rPr>
          <w:sz w:val="20"/>
          <w:szCs w:val="20"/>
          <w:color w:val="auto"/>
        </w:rPr>
      </w:pPr>
    </w:p>
    <w:p>
      <w:pPr>
        <w:ind w:left="500" w:hanging="174"/>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18" w:lineRule="exact"/>
        <w:rPr>
          <w:rFonts w:ascii="Arial" w:cs="Arial" w:eastAsia="Arial" w:hAnsi="Arial"/>
          <w:sz w:val="18"/>
          <w:szCs w:val="18"/>
          <w:color w:val="auto"/>
        </w:rPr>
      </w:pPr>
    </w:p>
    <w:p>
      <w:pPr>
        <w:jc w:val="both"/>
        <w:ind w:right="420" w:firstLine="326"/>
        <w:spacing w:after="0" w:line="411" w:lineRule="auto"/>
        <w:tabs>
          <w:tab w:leader="none" w:pos="497"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right="380" w:firstLine="326"/>
        <w:spacing w:after="0" w:line="296" w:lineRule="auto"/>
        <w:tabs>
          <w:tab w:leader="none" w:pos="497"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240" w:firstLine="326"/>
        <w:spacing w:after="0" w:line="256" w:lineRule="auto"/>
        <w:tabs>
          <w:tab w:leader="none" w:pos="4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sz w:val="20"/>
          <w:szCs w:val="20"/>
          <w:color w:val="auto"/>
        </w:rPr>
      </w:pPr>
    </w:p>
    <w:p>
      <w:pPr>
        <w:ind w:left="640" w:right="20" w:hanging="314"/>
        <w:spacing w:after="0" w:line="256"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40" w:right="20" w:hanging="314"/>
        <w:spacing w:after="0" w:line="256"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right="80" w:hanging="314"/>
        <w:spacing w:after="0" w:line="296"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ind w:left="640" w:right="140" w:hanging="314"/>
        <w:spacing w:after="0" w:line="256"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sz w:val="20"/>
          <w:szCs w:val="20"/>
          <w:color w:val="auto"/>
        </w:rPr>
      </w:pPr>
    </w:p>
    <w:p>
      <w:pPr>
        <w:ind w:right="320" w:firstLine="326"/>
        <w:spacing w:after="0" w:line="330" w:lineRule="auto"/>
        <w:tabs>
          <w:tab w:leader="none" w:pos="4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left="640" w:right="40" w:hanging="314"/>
        <w:spacing w:after="0" w:line="26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right="100" w:hanging="314"/>
        <w:spacing w:after="0" w:line="26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09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19" w:lineRule="exact"/>
        <w:rPr>
          <w:sz w:val="20"/>
          <w:szCs w:val="20"/>
          <w:color w:val="auto"/>
        </w:rPr>
      </w:pPr>
    </w:p>
    <w:p>
      <w:pPr>
        <w:ind w:left="500" w:hanging="174"/>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18" w:lineRule="exact"/>
        <w:rPr>
          <w:rFonts w:ascii="Arial" w:cs="Arial" w:eastAsia="Arial" w:hAnsi="Arial"/>
          <w:sz w:val="18"/>
          <w:szCs w:val="18"/>
          <w:color w:val="auto"/>
        </w:rPr>
      </w:pPr>
    </w:p>
    <w:p>
      <w:pPr>
        <w:jc w:val="both"/>
        <w:ind w:right="420" w:firstLine="326"/>
        <w:spacing w:after="0" w:line="411" w:lineRule="auto"/>
        <w:tabs>
          <w:tab w:leader="none" w:pos="497"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right="380" w:firstLine="326"/>
        <w:spacing w:after="0" w:line="296"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240" w:firstLine="326"/>
        <w:spacing w:after="0" w:line="256" w:lineRule="auto"/>
        <w:tabs>
          <w:tab w:leader="none" w:pos="4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sz w:val="20"/>
          <w:szCs w:val="20"/>
          <w:color w:val="auto"/>
        </w:rPr>
      </w:pPr>
    </w:p>
    <w:p>
      <w:pPr>
        <w:ind w:left="640" w:right="20" w:hanging="314"/>
        <w:spacing w:after="0" w:line="256"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40" w:right="20" w:hanging="314"/>
        <w:spacing w:after="0" w:line="256"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right="80" w:hanging="314"/>
        <w:spacing w:after="0" w:line="296"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ind w:left="640" w:right="140" w:hanging="314"/>
        <w:spacing w:after="0" w:line="256"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sz w:val="20"/>
          <w:szCs w:val="20"/>
          <w:color w:val="auto"/>
        </w:rPr>
      </w:pPr>
    </w:p>
    <w:p>
      <w:pPr>
        <w:ind w:right="320" w:firstLine="326"/>
        <w:spacing w:after="0" w:line="330" w:lineRule="auto"/>
        <w:tabs>
          <w:tab w:leader="none" w:pos="49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left="640" w:right="40" w:hanging="314"/>
        <w:spacing w:after="0" w:line="26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right="100" w:hanging="314"/>
        <w:spacing w:after="0" w:line="26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099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240"/>
          </w:cols>
          <w:pgMar w:left="320" w:top="12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225" w:lineRule="exact"/>
        <w:rPr>
          <w:sz w:val="20"/>
          <w:szCs w:val="20"/>
          <w:color w:val="auto"/>
        </w:rPr>
      </w:pPr>
    </w:p>
    <w:p>
      <w:pPr>
        <w:ind w:right="340" w:firstLine="320"/>
        <w:spacing w:after="0" w:line="256"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25, 2021 (the "Report"), I, Luis A. Müller, President and Chief Executive Officer of the Company, certify, pursuant to 18 U.S.C. Section 1350, as adopted pursuant to Section 906 of the Sarbanes-Oxley Act of 2002, that, based on my knowledge:</w:t>
      </w:r>
    </w:p>
    <w:p>
      <w:pPr>
        <w:spacing w:after="0" w:line="190" w:lineRule="exact"/>
        <w:rPr>
          <w:sz w:val="20"/>
          <w:szCs w:val="20"/>
          <w:color w:val="auto"/>
        </w:rPr>
      </w:pPr>
    </w:p>
    <w:p>
      <w:pPr>
        <w:ind w:left="260" w:hanging="254"/>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8" w:lineRule="exact"/>
        <w:rPr>
          <w:rFonts w:ascii="Arial" w:cs="Arial" w:eastAsia="Arial" w:hAnsi="Arial"/>
          <w:sz w:val="18"/>
          <w:szCs w:val="18"/>
          <w:color w:val="auto"/>
        </w:rPr>
      </w:pPr>
    </w:p>
    <w:p>
      <w:pPr>
        <w:ind w:right="680" w:firstLine="6"/>
        <w:spacing w:after="0" w:line="493" w:lineRule="auto"/>
        <w:tabs>
          <w:tab w:leader="none" w:pos="2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18,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099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225" w:lineRule="exact"/>
        <w:rPr>
          <w:sz w:val="20"/>
          <w:szCs w:val="20"/>
          <w:color w:val="auto"/>
        </w:rPr>
      </w:pPr>
    </w:p>
    <w:p>
      <w:pPr>
        <w:jc w:val="both"/>
        <w:ind w:right="280" w:firstLine="320"/>
        <w:spacing w:after="0" w:line="256"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25, 2021 (the "Report"), I, Jeffrey D. Jones, Vice President Finance and Chief Financial Officer of the Company, certify, pursuant to 18 U.S.C. Section 1350, as adopted pursuant to Section 906 of the Sarbanes-Oxley Act of 2002, that, based on my knowledge:</w:t>
      </w:r>
    </w:p>
    <w:p>
      <w:pPr>
        <w:spacing w:after="0" w:line="190" w:lineRule="exact"/>
        <w:rPr>
          <w:sz w:val="20"/>
          <w:szCs w:val="20"/>
          <w:color w:val="auto"/>
        </w:rPr>
      </w:pPr>
    </w:p>
    <w:p>
      <w:pPr>
        <w:ind w:left="260" w:hanging="254"/>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8" w:lineRule="exact"/>
        <w:rPr>
          <w:rFonts w:ascii="Arial" w:cs="Arial" w:eastAsia="Arial" w:hAnsi="Arial"/>
          <w:sz w:val="18"/>
          <w:szCs w:val="18"/>
          <w:color w:val="auto"/>
        </w:rPr>
      </w:pPr>
    </w:p>
    <w:p>
      <w:pPr>
        <w:ind w:right="680" w:firstLine="6"/>
        <w:spacing w:after="0" w:line="493" w:lineRule="auto"/>
        <w:tabs>
          <w:tab w:leader="none" w:pos="2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18,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099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lowerLetter"/>
      <w:start w:val="1"/>
    </w:lvl>
    <w:lvl w:ilvl="1">
      <w:lvlJc w:val="left"/>
      <w:lvlText w:val="(%2)"/>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3"/>
    </w:lvl>
  </w:abstractNum>
  <w:abstractNum w:abstractNumId="23">
    <w:nsid w:val="2463B9EA"/>
    <w:multiLevelType w:val="hybridMultilevel"/>
    <w:lvl w:ilvl="0">
      <w:lvlJc w:val="left"/>
      <w:lvlText w:val="%1."/>
      <w:numFmt w:val="decimal"/>
      <w:start w:val="4"/>
    </w:lvl>
  </w:abstractNum>
  <w:abstractNum w:abstractNumId="24">
    <w:nsid w:val="5E884ADC"/>
    <w:multiLevelType w:val="hybridMultilevel"/>
    <w:lvl w:ilvl="0">
      <w:lvlJc w:val="left"/>
      <w:lvlText w:val="%1."/>
      <w:numFmt w:val="decimal"/>
      <w:start w:val="5"/>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6"/>
    </w:lvl>
  </w:abstractNum>
  <w:abstractNum w:abstractNumId="27">
    <w:nsid w:val="580BD78F"/>
    <w:multiLevelType w:val="hybridMultilevel"/>
    <w:lvl w:ilvl="0">
      <w:lvlJc w:val="left"/>
      <w:lvlText w:val="%1."/>
      <w:numFmt w:val="decimal"/>
      <w:start w:val="7"/>
    </w:lvl>
  </w:abstractNum>
  <w:abstractNum w:abstractNumId="28">
    <w:nsid w:val="153EA438"/>
    <w:multiLevelType w:val="hybridMultilevel"/>
    <w:lvl w:ilvl="0">
      <w:lvlJc w:val="left"/>
      <w:lvlText w:val="%1."/>
      <w:numFmt w:val="decimal"/>
      <w:start w:val="8"/>
    </w:lvl>
  </w:abstractNum>
  <w:abstractNum w:abstractNumId="29">
    <w:nsid w:val="3855585C"/>
    <w:multiLevelType w:val="hybridMultilevel"/>
    <w:lvl w:ilvl="0">
      <w:lvlJc w:val="left"/>
      <w:lvlText w:val="%1."/>
      <w:numFmt w:val="decimal"/>
      <w:start w:val="9"/>
    </w:lvl>
  </w:abstractNum>
  <w:abstractNum w:abstractNumId="30">
    <w:nsid w:val="70A64E2A"/>
    <w:multiLevelType w:val="hybridMultilevel"/>
    <w:lvl w:ilvl="0">
      <w:lvlJc w:val="left"/>
      <w:lvlText w:val="%1."/>
      <w:numFmt w:val="decimal"/>
      <w:start w:val="10"/>
    </w:lvl>
  </w:abstractNum>
  <w:abstractNum w:abstractNumId="31">
    <w:nsid w:val="6A2342EC"/>
    <w:multiLevelType w:val="hybridMultilevel"/>
    <w:lvl w:ilvl="0">
      <w:lvlJc w:val="left"/>
      <w:lvlText w:val="%1."/>
      <w:numFmt w:val="decimal"/>
      <w:start w:val="1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2"/>
    </w:lvl>
  </w:abstractNum>
  <w:abstractNum w:abstractNumId="34">
    <w:nsid w:val="725A06FB"/>
    <w:multiLevelType w:val="hybridMultilevel"/>
    <w:lvl w:ilvl="0">
      <w:lvlJc w:val="left"/>
      <w:lvlText w:val="%1."/>
      <w:numFmt w:val="decimal"/>
      <w:start w:val="14"/>
    </w:lvl>
  </w:abstractNum>
  <w:abstractNum w:abstractNumId="35">
    <w:nsid w:val="2CD89A32"/>
    <w:multiLevelType w:val="hybridMultilevel"/>
    <w:lvl w:ilvl="0">
      <w:lvlJc w:val="left"/>
      <w:lvlText w:val="%1."/>
      <w:numFmt w:val="decimal"/>
      <w:start w:val="15"/>
    </w:lvl>
  </w:abstractNum>
  <w:abstractNum w:abstractNumId="36">
    <w:nsid w:val="57E4CCAF"/>
    <w:multiLevelType w:val="hybridMultilevel"/>
    <w:lvl w:ilvl="0">
      <w:lvlJc w:val="left"/>
      <w:lvlText w:val="%1."/>
      <w:numFmt w:val="decimal"/>
      <w:start w:val="16"/>
    </w:lvl>
  </w:abstractNum>
  <w:abstractNum w:abstractNumId="37">
    <w:nsid w:val="7A6D8D3C"/>
    <w:multiLevelType w:val="hybridMultilevel"/>
    <w:lvl w:ilvl="0">
      <w:lvlJc w:val="left"/>
      <w:lvlText w:val="&amp;"/>
      <w:numFmt w:val="bullet"/>
      <w:start w:val="1"/>
    </w:lvl>
  </w:abstractNum>
  <w:abstractNum w:abstractNumId="38">
    <w:nsid w:val="4B588F54"/>
    <w:multiLevelType w:val="hybridMultilevel"/>
    <w:lvl w:ilvl="0">
      <w:lvlJc w:val="left"/>
      <w:lvlText w:val="%1"/>
      <w:numFmt w:val="decimal"/>
      <w:start w:val="21"/>
    </w:lvl>
  </w:abstractNum>
  <w:abstractNum w:abstractNumId="39">
    <w:nsid w:val="542289EC"/>
    <w:multiLevelType w:val="hybridMultilevel"/>
    <w:lvl w:ilvl="0">
      <w:lvlJc w:val="left"/>
      <w:lvlText w:val="%1"/>
      <w:numFmt w:val="decimal"/>
      <w:start w:val="23"/>
    </w:lvl>
  </w:abstractNum>
  <w:abstractNum w:abstractNumId="40">
    <w:nsid w:val="6DE91B18"/>
    <w:multiLevelType w:val="hybridMultilevel"/>
    <w:lvl w:ilvl="0">
      <w:lvlJc w:val="left"/>
      <w:lvlText w:val="%1"/>
      <w:numFmt w:val="decimal"/>
      <w:start w:val="104"/>
    </w:lvl>
    <w:lvl w:ilvl="1">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29" Type="http://schemas.openxmlformats.org/officeDocument/2006/relationships/hyperlink" Target="http://www.sec.gov/Archives/edgar/data/21535/000143774918010242/ex_114752.htm" TargetMode="External"/><Relationship Id="rId130" Type="http://schemas.openxmlformats.org/officeDocument/2006/relationships/hyperlink" Target="http://www.sec.gov/Archives/edgar/data/21535/000143774918010242/ex_114753.htm" TargetMode="External"/><Relationship Id="rId131" Type="http://schemas.openxmlformats.org/officeDocument/2006/relationships/hyperlink" Target="http://www.sec.gov/Archives/edgar/data/21535/000143774920004691/ex_175328.htm" TargetMode="External"/><Relationship Id="rId132" Type="http://schemas.openxmlformats.org/officeDocument/2006/relationships/hyperlink" Target="http://www.sec.gov/Archives/edgar/data/21535/000143774918019867/ex_127319.htm" TargetMode="External"/><Relationship Id="rId133" Type="http://schemas.openxmlformats.org/officeDocument/2006/relationships/hyperlink" Target="http://www.sec.gov/Archives/edgar/data/21535/000143774918019867/ex_128427.htm" TargetMode="External"/><Relationship Id="rId134" Type="http://schemas.openxmlformats.org/officeDocument/2006/relationships/hyperlink" Target="http://www.sec.gov/Archives/edgar/data/0000021535/000143774919005899/cohu20190327_def14a.htm" TargetMode="External"/><Relationship Id="rId135" Type="http://schemas.openxmlformats.org/officeDocument/2006/relationships/hyperlink" Target="http://www.sec.gov/Archives/edgar/data/21535/000129993308006069/exhibit1.htm" TargetMode="External"/><Relationship Id="rId136" Type="http://schemas.openxmlformats.org/officeDocument/2006/relationships/hyperlink" Target="http://www.sec.gov/Archives/edgar/data/21535/000143774915014704/ex10-1.htm" TargetMode="External"/><Relationship Id="rId137" Type="http://schemas.openxmlformats.org/officeDocument/2006/relationships/hyperlink" Target="http://www.sec.gov/Archives/edgar/data/21535/000143774915014704/ex10-2.htm" TargetMode="External"/><Relationship Id="rId138" Type="http://schemas.openxmlformats.org/officeDocument/2006/relationships/hyperlink" Target="http://www.sec.gov/Archives/edgar/data/21535/000143774915014704/ex10-3.htm" TargetMode="External"/><Relationship Id="rId139" Type="http://schemas.openxmlformats.org/officeDocument/2006/relationships/hyperlink" Target="http://www.sec.gov/Archives/edgar/data/21535/000143774915014704/ex10-4.htm" TargetMode="External"/><Relationship Id="rId140" Type="http://schemas.openxmlformats.org/officeDocument/2006/relationships/hyperlink" Target="http://www.sec.gov/Archives/edgar/data/21535/000143774915014704/ex10-5.htm" TargetMode="External"/><Relationship Id="rId141" Type="http://schemas.openxmlformats.org/officeDocument/2006/relationships/hyperlink" Target="http://www.sec.gov/Archives/edgar/data/21535/000143774915014704/ex10-6.htm" TargetMode="External"/><Relationship Id="rId142" Type="http://schemas.openxmlformats.org/officeDocument/2006/relationships/hyperlink" Target="http://www.sec.gov/Archives/edgar/data/21535/000119312512328181/d389474dex991.htm" TargetMode="External"/><Relationship Id="rId143" Type="http://schemas.openxmlformats.org/officeDocument/2006/relationships/hyperlink" Target="http://www.sec.gov/Archives/edgar/data/21535/000143774918021982/ex_131577.htm" TargetMode="External"/><Relationship Id="rId144" Type="http://schemas.openxmlformats.org/officeDocument/2006/relationships/hyperlink" Target="http://www.sec.gov/Archives/edgar/data/21535/000129993308006069/exhibit2.htm" TargetMode="External"/><Relationship Id="rId145" Type="http://schemas.openxmlformats.org/officeDocument/2006/relationships/hyperlink" Target="http://www.sec.gov/Archives/edgar/data/21535/000143774916025855/ex10-14.htm" TargetMode="External"/><Relationship Id="rId146" Type="http://schemas.openxmlformats.org/officeDocument/2006/relationships/hyperlink" Target="http://www.sec.gov/Archives/edgar/data/21535/000143774920022546/ex_210808.htm" TargetMode="External"/><Relationship Id="rId147" Type="http://schemas.openxmlformats.org/officeDocument/2006/relationships/hyperlink" Target="http://www.sec.gov/Archives/edgar/data/21535/000143774920022546/ex_210809.htm" TargetMode="External"/><Relationship Id="rId148" Type="http://schemas.openxmlformats.org/officeDocument/2006/relationships/hyperlink" Target="http://www.sec.gov/Archives/edgar/data/21535/000143774920022546/ex_210810.htm" TargetMode="External"/><Relationship Id="rId149" Type="http://schemas.openxmlformats.org/officeDocument/2006/relationships/hyperlink" Target="http://www.sec.gov/Archives/edgar/data/21535/000143774920022546/ex_210811.htm" TargetMode="External"/><Relationship Id="rId150" Type="http://schemas.openxmlformats.org/officeDocument/2006/relationships/hyperlink" Target="http://www.sec.gov/Archives/edgar/data/21535/000143774920022546/ex_210812.htm" TargetMode="External"/><Relationship Id="rId151" Type="http://schemas.openxmlformats.org/officeDocument/2006/relationships/hyperlink" Target="http://www.sec.gov/Archives/edgar/data/21535/000143774920022546/ex_210813.htm" TargetMode="External"/><Relationship Id="rId152" Type="http://schemas.openxmlformats.org/officeDocument/2006/relationships/hyperlink" Target="http://www.sec.gov/Archives/edgar/data/21535/000143774920022546/ex_210814.htm" TargetMode="External"/><Relationship Id="rId153" Type="http://schemas.openxmlformats.org/officeDocument/2006/relationships/hyperlink" Target="http://www.sec.gov/Archives/edgar/data/21535/000143774920022546/ex_210815.htm" TargetMode="External"/><Relationship Id="rId154" Type="http://schemas.openxmlformats.org/officeDocument/2006/relationships/hyperlink" Target="http://www.sec.gov/Archives/edgar/data/21535/000143774920022546/ex_210816.htm" TargetMode="External"/><Relationship Id="rId155" Type="http://schemas.openxmlformats.org/officeDocument/2006/relationships/hyperlink" Target="http://www.sec.gov/Archives/edgar/data/0000021535/000143774921011904/ex_249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2022-02-18T05:16:39Z</dcterms:created>
  <dcterms:modified xsi:type="dcterms:W3CDTF">2022-02-18T05:16:39Z</dcterms:modified>
</cp:coreProperties>
</file>