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tabs>
          <w:tab w:leader="none" w:pos="494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640" w:right="2619" w:hanging="632"/>
        <w:spacing w:after="0" w:line="235" w:lineRule="auto"/>
        <w:tabs>
          <w:tab w:leader="none" w:pos="21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PURSUANT TO SECTION 13 OR 15(d) OF THE SECURITIES EXCHANGE ACT OF 1934</w:t>
      </w: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FOR THE QUARTERLY PERIOD ENDED MARCH 31, 1997</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2519" w:hanging="632"/>
        <w:spacing w:after="0" w:line="235" w:lineRule="auto"/>
        <w:tabs>
          <w:tab w:leader="none" w:pos="4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04" w:lineRule="exact"/>
        <w:rPr>
          <w:sz w:val="24"/>
          <w:szCs w:val="24"/>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5755 KEARNY VILLA ROAD, SAN DIEGO, CALIFORNIA</w:t>
      </w:r>
      <w:r>
        <w:rPr>
          <w:sz w:val="20"/>
          <w:szCs w:val="20"/>
          <w:color w:val="auto"/>
        </w:rPr>
        <w:tab/>
      </w:r>
      <w:r>
        <w:rPr>
          <w:rFonts w:ascii="Courier New" w:cs="Courier New" w:eastAsia="Courier New" w:hAnsi="Courier New"/>
          <w:sz w:val="16"/>
          <w:szCs w:val="16"/>
          <w:color w:val="auto"/>
        </w:rPr>
        <w:t>92123</w:t>
      </w:r>
    </w:p>
    <w:p>
      <w:pPr>
        <w:sectPr>
          <w:pgSz w:w="11900" w:h="16838" w:orient="portrait"/>
          <w:cols w:equalWidth="0" w:num="1">
            <w:col w:w="10219"/>
          </w:cols>
          <w:pgMar w:left="240" w:top="244"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619-277-6700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244" w:right="1440" w:bottom="1440" w:gutter="0" w:footer="0" w:header="0"/>
          <w:type w:val="continuous"/>
        </w:sectPr>
      </w:pPr>
    </w:p>
    <w:p>
      <w:pPr>
        <w:spacing w:after="0" w:line="2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5900"/>
        <w:spacing w:after="0"/>
        <w:tabs>
          <w:tab w:leader="none" w:pos="6520" w:val="left"/>
          <w:tab w:leader="none" w:pos="70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632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As of March 31, 1997, the Registrant had 9,384,861 shares of its $1.00 par value common stock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700"/>
        <w:spacing w:after="0" w:line="238" w:lineRule="auto"/>
        <w:rPr>
          <w:sz w:val="20"/>
          <w:szCs w:val="20"/>
          <w:color w:val="auto"/>
        </w:rPr>
      </w:pPr>
      <w:r>
        <w:rPr>
          <w:rFonts w:ascii="Courier New" w:cs="Courier New" w:eastAsia="Courier New" w:hAnsi="Courier New"/>
          <w:sz w:val="18"/>
          <w:szCs w:val="18"/>
          <w:color w:val="auto"/>
        </w:rPr>
        <w:t>COHU, INC.</w:t>
      </w:r>
    </w:p>
    <w:p>
      <w:pPr>
        <w:ind w:left="3900"/>
        <w:spacing w:after="0"/>
        <w:rPr>
          <w:sz w:val="20"/>
          <w:szCs w:val="20"/>
          <w:color w:val="auto"/>
        </w:rPr>
      </w:pPr>
      <w:r>
        <w:rPr>
          <w:rFonts w:ascii="Courier New" w:cs="Courier New" w:eastAsia="Courier New" w:hAnsi="Courier New"/>
          <w:sz w:val="18"/>
          <w:szCs w:val="18"/>
          <w:color w:val="auto"/>
        </w:rPr>
        <w:t>INDEX</w:t>
      </w:r>
    </w:p>
    <w:p>
      <w:pPr>
        <w:ind w:left="3700"/>
        <w:spacing w:after="0" w:line="237" w:lineRule="auto"/>
        <w:rPr>
          <w:sz w:val="20"/>
          <w:szCs w:val="20"/>
          <w:color w:val="auto"/>
        </w:rPr>
      </w:pPr>
      <w:r>
        <w:rPr>
          <w:rFonts w:ascii="Courier New" w:cs="Courier New" w:eastAsia="Courier New" w:hAnsi="Courier New"/>
          <w:sz w:val="18"/>
          <w:szCs w:val="18"/>
          <w:color w:val="auto"/>
        </w:rPr>
        <w:t>FORM 10-Q</w:t>
      </w:r>
    </w:p>
    <w:p>
      <w:pPr>
        <w:ind w:left="3480"/>
        <w:spacing w:after="0" w:line="238" w:lineRule="auto"/>
        <w:rPr>
          <w:sz w:val="20"/>
          <w:szCs w:val="20"/>
          <w:color w:val="auto"/>
        </w:rPr>
      </w:pPr>
      <w:r>
        <w:rPr>
          <w:rFonts w:ascii="Courier New" w:cs="Courier New" w:eastAsia="Courier New" w:hAnsi="Courier New"/>
          <w:sz w:val="18"/>
          <w:szCs w:val="18"/>
          <w:color w:val="auto"/>
        </w:rPr>
        <w:t>MARCH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FINANCIAL</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INFORMATION</w:t>
            </w:r>
          </w:p>
        </w:tc>
        <w:tc>
          <w:tcPr>
            <w:tcW w:w="120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Condensed</w:t>
            </w:r>
          </w:p>
        </w:tc>
        <w:tc>
          <w:tcPr>
            <w:tcW w:w="3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Consolidated Balance Sheets</w:t>
            </w:r>
          </w:p>
        </w:tc>
        <w:tc>
          <w:tcPr>
            <w:tcW w:w="412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March 31,</w:t>
            </w:r>
          </w:p>
        </w:tc>
        <w:tc>
          <w:tcPr>
            <w:tcW w:w="7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1997 (Unaudited) and December 31, 1996   . . . . . . . . . . . . . . . . 3</w:t>
            </w:r>
          </w:p>
        </w:tc>
      </w:tr>
      <w:tr>
        <w:trPr>
          <w:trHeight w:val="405"/>
        </w:trPr>
        <w:tc>
          <w:tcPr>
            <w:tcW w:w="106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Condensed</w:t>
            </w:r>
          </w:p>
        </w:tc>
        <w:tc>
          <w:tcPr>
            <w:tcW w:w="78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Consolidated Statements of Income (Unaudited)</w:t>
            </w:r>
          </w:p>
        </w:tc>
      </w:tr>
      <w:tr>
        <w:trPr>
          <w:trHeight w:val="203"/>
        </w:trPr>
        <w:tc>
          <w:tcPr>
            <w:tcW w:w="1060" w:type="dxa"/>
            <w:vAlign w:val="bottom"/>
          </w:tcPr>
          <w:p>
            <w:pPr>
              <w:spacing w:after="0"/>
              <w:rPr>
                <w:sz w:val="17"/>
                <w:szCs w:val="17"/>
                <w:color w:val="auto"/>
              </w:rPr>
            </w:pPr>
          </w:p>
        </w:tc>
        <w:tc>
          <w:tcPr>
            <w:tcW w:w="4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Three Months Ended March 31, 1997 and 1996</w:t>
            </w:r>
          </w:p>
        </w:tc>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 . . . . . . . . . . . . . . . . 4</w:t>
            </w:r>
          </w:p>
        </w:tc>
      </w:tr>
      <w:tr>
        <w:trPr>
          <w:trHeight w:val="405"/>
        </w:trPr>
        <w:tc>
          <w:tcPr>
            <w:tcW w:w="106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Condensed</w:t>
            </w:r>
          </w:p>
        </w:tc>
        <w:tc>
          <w:tcPr>
            <w:tcW w:w="78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Consolidated Statements of Cash Flows (Unaudited)</w:t>
            </w:r>
          </w:p>
        </w:tc>
      </w:tr>
      <w:tr>
        <w:trPr>
          <w:trHeight w:val="203"/>
        </w:trPr>
        <w:tc>
          <w:tcPr>
            <w:tcW w:w="1060" w:type="dxa"/>
            <w:vAlign w:val="bottom"/>
          </w:tcPr>
          <w:p>
            <w:pPr>
              <w:spacing w:after="0"/>
              <w:rPr>
                <w:sz w:val="17"/>
                <w:szCs w:val="17"/>
                <w:color w:val="auto"/>
              </w:rPr>
            </w:pPr>
          </w:p>
        </w:tc>
        <w:tc>
          <w:tcPr>
            <w:tcW w:w="4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Three Months Ended March 31, 1997 and 1996</w:t>
            </w:r>
          </w:p>
        </w:tc>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 . . . . . . . . . . . . . . . . 5</w:t>
            </w:r>
          </w:p>
        </w:tc>
      </w:tr>
      <w:tr>
        <w:trPr>
          <w:trHeight w:val="405"/>
        </w:trPr>
        <w:tc>
          <w:tcPr>
            <w:tcW w:w="1060" w:type="dxa"/>
            <w:vAlign w:val="bottom"/>
          </w:tcPr>
          <w:p>
            <w:pPr>
              <w:spacing w:after="0"/>
              <w:rPr>
                <w:sz w:val="24"/>
                <w:szCs w:val="24"/>
                <w:color w:val="auto"/>
              </w:rPr>
            </w:pPr>
          </w:p>
        </w:tc>
        <w:tc>
          <w:tcPr>
            <w:tcW w:w="896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7"/>
              </w:rPr>
              <w:t>Notes to Unaudited Condensed Consolidated Financial Statements   . . . . . . . . . 6</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8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Management's Discussion and Analysis of</w:t>
            </w:r>
          </w:p>
        </w:tc>
        <w:tc>
          <w:tcPr>
            <w:tcW w:w="412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w:t>
            </w:r>
          </w:p>
        </w:tc>
        <w:tc>
          <w:tcPr>
            <w:tcW w:w="3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Condition and Results of Operations</w:t>
            </w:r>
          </w:p>
        </w:tc>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 . . . . . . . . . . . . . . 7</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12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96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7"/>
              </w:rPr>
              <w:t>Changes in Securities  . . . . . . . . . . . . . . . . . . . . . . . . . . . . . . 9</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Exhibits and Reports on Form 8-K</w:t>
            </w:r>
          </w:p>
        </w:tc>
        <w:tc>
          <w:tcPr>
            <w:tcW w:w="5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 . . . . . . . . . . . . . . . . . . . . . . 9</w:t>
            </w:r>
          </w:p>
        </w:tc>
      </w:tr>
    </w:tbl>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Signatures</w:t>
        <w:tab/>
        <w:t>. . . . . . . . . . . . . . . . . . . . . . . . . . . . . . . . . . . . . . . . .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879"/>
        <w:spacing w:after="0"/>
        <w:rPr>
          <w:sz w:val="20"/>
          <w:szCs w:val="20"/>
          <w:color w:val="auto"/>
        </w:rPr>
      </w:pPr>
      <w:r>
        <w:rPr>
          <w:rFonts w:ascii="Courier New" w:cs="Courier New" w:eastAsia="Courier New" w:hAnsi="Courier New"/>
          <w:sz w:val="18"/>
          <w:szCs w:val="18"/>
          <w:color w:val="auto"/>
        </w:rPr>
        <w:t>CONDENSED CONSOLIDATED BALANCE SHEETS</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MARCH 31, 1997</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 1996</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(Unaudited)</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9,659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24,660</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42,673</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28,326</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less allowance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 doubtful accounts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25,787</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19,170</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Inventories, at lower of average cost or market:</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Finished goods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2,873</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2,395</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Work in process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8,590</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6,012</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Raw materials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7,386</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7,175</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18,849</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15,582</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9,681</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9,681</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1,239</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1,166</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107,888</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98,585</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2,114</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2,114</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12,081</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11,932</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14,484</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14,069</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28,679</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28,115</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11,641</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11,304</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17,038</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16,811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2,430</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2,469</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101</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$ 127,457</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$ 117,926</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8,243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4,464</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4,387</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1,552</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12,970</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14,566</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25,600</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20,582</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360" w:type="dxa"/>
            <w:vAlign w:val="bottom"/>
          </w:tcPr>
          <w:p>
            <w:pPr>
              <w:spacing w:after="0"/>
              <w:rPr>
                <w:sz w:val="24"/>
                <w:szCs w:val="24"/>
                <w:color w:val="auto"/>
              </w:rPr>
            </w:pPr>
          </w:p>
        </w:tc>
        <w:tc>
          <w:tcPr>
            <w:tcW w:w="14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937</w:t>
            </w:r>
          </w:p>
        </w:tc>
        <w:tc>
          <w:tcPr>
            <w:tcW w:w="90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916</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156</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156</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9,385</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9,341</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6,160</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5,863</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85,219</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81,068</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100,764</w:t>
            </w:r>
          </w:p>
        </w:tc>
        <w:tc>
          <w:tcPr>
            <w:tcW w:w="9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96,272</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$ 127,457</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$ 117,926</w:t>
            </w:r>
          </w:p>
        </w:tc>
      </w:tr>
      <w:tr>
        <w:trPr>
          <w:trHeight w:val="203"/>
        </w:trPr>
        <w:tc>
          <w:tcPr>
            <w:tcW w:w="538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INCOME</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(Unaudited)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9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4860" w:type="dxa"/>
            <w:vAlign w:val="bottom"/>
          </w:tcPr>
          <w:p>
            <w:pPr>
              <w:spacing w:after="0"/>
              <w:rPr>
                <w:sz w:val="17"/>
                <w:szCs w:val="17"/>
                <w:color w:val="auto"/>
              </w:rPr>
            </w:pPr>
          </w:p>
        </w:tc>
        <w:tc>
          <w:tcPr>
            <w:tcW w:w="3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1997</w:t>
            </w:r>
          </w:p>
        </w:tc>
        <w:tc>
          <w:tcPr>
            <w:tcW w:w="6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60" w:type="dxa"/>
            <w:vAlign w:val="bottom"/>
          </w:tcPr>
          <w:p>
            <w:pPr>
              <w:spacing w:after="0"/>
              <w:rPr>
                <w:sz w:val="17"/>
                <w:szCs w:val="17"/>
                <w:color w:val="auto"/>
              </w:rPr>
            </w:pPr>
          </w:p>
        </w:tc>
        <w:tc>
          <w:tcPr>
            <w:tcW w:w="2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4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$ 34,762</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$ 50,232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sales</w:t>
            </w:r>
          </w:p>
        </w:tc>
        <w:tc>
          <w:tcPr>
            <w:tcW w:w="120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19,908</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27,348</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0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3,261</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3,528</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20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4,817</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6,873</w:t>
            </w:r>
          </w:p>
        </w:tc>
      </w:tr>
      <w:tr>
        <w:trPr>
          <w:trHeight w:val="203"/>
        </w:trPr>
        <w:tc>
          <w:tcPr>
            <w:tcW w:w="4860" w:type="dxa"/>
            <w:vAlign w:val="bottom"/>
          </w:tcPr>
          <w:p>
            <w:pPr>
              <w:spacing w:after="0"/>
              <w:rPr>
                <w:sz w:val="17"/>
                <w:szCs w:val="17"/>
                <w:color w:val="auto"/>
              </w:rPr>
            </w:pPr>
          </w:p>
        </w:tc>
        <w:tc>
          <w:tcPr>
            <w:tcW w:w="2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20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6,776</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12,483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20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738</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411</w:t>
            </w:r>
          </w:p>
        </w:tc>
      </w:tr>
      <w:tr>
        <w:trPr>
          <w:trHeight w:val="203"/>
        </w:trPr>
        <w:tc>
          <w:tcPr>
            <w:tcW w:w="4860" w:type="dxa"/>
            <w:vAlign w:val="bottom"/>
          </w:tcPr>
          <w:p>
            <w:pPr>
              <w:spacing w:after="0"/>
              <w:rPr>
                <w:sz w:val="17"/>
                <w:szCs w:val="17"/>
                <w:color w:val="auto"/>
              </w:rPr>
            </w:pPr>
          </w:p>
        </w:tc>
        <w:tc>
          <w:tcPr>
            <w:tcW w:w="2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20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7,514</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12,894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20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2,800</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4860" w:type="dxa"/>
            <w:vAlign w:val="bottom"/>
          </w:tcPr>
          <w:p>
            <w:pPr>
              <w:spacing w:after="0"/>
              <w:rPr>
                <w:sz w:val="17"/>
                <w:szCs w:val="17"/>
                <w:color w:val="auto"/>
              </w:rPr>
            </w:pPr>
          </w:p>
        </w:tc>
        <w:tc>
          <w:tcPr>
            <w:tcW w:w="2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4,714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7,894</w:t>
            </w:r>
          </w:p>
        </w:tc>
      </w:tr>
      <w:tr>
        <w:trPr>
          <w:trHeight w:val="203"/>
        </w:trPr>
        <w:tc>
          <w:tcPr>
            <w:tcW w:w="4860" w:type="dxa"/>
            <w:vAlign w:val="bottom"/>
          </w:tcPr>
          <w:p>
            <w:pPr>
              <w:spacing w:after="0"/>
              <w:rPr>
                <w:sz w:val="17"/>
                <w:szCs w:val="17"/>
                <w:color w:val="auto"/>
              </w:rPr>
            </w:pPr>
          </w:p>
        </w:tc>
        <w:tc>
          <w:tcPr>
            <w:tcW w:w="2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0.48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0.81</w:t>
            </w:r>
          </w:p>
        </w:tc>
      </w:tr>
      <w:tr>
        <w:trPr>
          <w:trHeight w:val="203"/>
        </w:trPr>
        <w:tc>
          <w:tcPr>
            <w:tcW w:w="4860" w:type="dxa"/>
            <w:vAlign w:val="bottom"/>
          </w:tcPr>
          <w:p>
            <w:pPr>
              <w:spacing w:after="0"/>
              <w:rPr>
                <w:sz w:val="17"/>
                <w:szCs w:val="17"/>
                <w:color w:val="auto"/>
              </w:rPr>
            </w:pPr>
          </w:p>
        </w:tc>
        <w:tc>
          <w:tcPr>
            <w:tcW w:w="2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common shares and equivalents</w:t>
            </w:r>
          </w:p>
        </w:tc>
        <w:tc>
          <w:tcPr>
            <w:tcW w:w="120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9,802</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9,705</w:t>
            </w:r>
          </w:p>
        </w:tc>
      </w:tr>
      <w:tr>
        <w:trPr>
          <w:trHeight w:val="203"/>
        </w:trPr>
        <w:tc>
          <w:tcPr>
            <w:tcW w:w="4860" w:type="dxa"/>
            <w:vAlign w:val="bottom"/>
          </w:tcPr>
          <w:p>
            <w:pPr>
              <w:spacing w:after="0"/>
              <w:rPr>
                <w:sz w:val="17"/>
                <w:szCs w:val="17"/>
                <w:color w:val="auto"/>
              </w:rPr>
            </w:pPr>
          </w:p>
        </w:tc>
        <w:tc>
          <w:tcPr>
            <w:tcW w:w="2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622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jc w:val="right"/>
              <w:ind w:right="21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74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24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c>
          <w:tcPr>
            <w:tcW w:w="7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1996</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4,714</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7,894</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402</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w:t>
            </w:r>
          </w:p>
        </w:tc>
      </w:tr>
      <w:tr>
        <w:trPr>
          <w:trHeight w:val="203"/>
        </w:trPr>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consideration to be paid in stock</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w:t>
            </w:r>
          </w:p>
        </w:tc>
      </w:tr>
      <w:tr>
        <w:trPr>
          <w:trHeight w:val="203"/>
        </w:trPr>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(6,617)</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(3,267)</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(2,649)</w:t>
            </w: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3,779</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4,806</w:t>
            </w: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2,835</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w:t>
            </w: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(1,654)</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(2,280)</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provided from  operating activities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198</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8,338</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(14,347)</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Purchases of property, plant, equipment and other assets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(2,474)</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(14,977)</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(2,474)</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dividends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(563)</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(15,001)</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5,792</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24,660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28,874</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9,659</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$ 34,666</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200"/>
        <w:spacing w:after="0"/>
        <w:rPr>
          <w:sz w:val="20"/>
          <w:szCs w:val="20"/>
          <w:color w:val="auto"/>
        </w:rPr>
      </w:pPr>
      <w:r>
        <w:rPr>
          <w:rFonts w:ascii="Courier New" w:cs="Courier New" w:eastAsia="Courier New" w:hAnsi="Courier New"/>
          <w:sz w:val="18"/>
          <w:szCs w:val="18"/>
          <w:color w:val="auto"/>
        </w:rPr>
        <w:t>6</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879"/>
        <w:spacing w:after="0"/>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879"/>
        <w:spacing w:after="0" w:line="237" w:lineRule="auto"/>
        <w:rPr>
          <w:sz w:val="20"/>
          <w:szCs w:val="20"/>
          <w:color w:val="auto"/>
        </w:rPr>
      </w:pPr>
      <w:r>
        <w:rPr>
          <w:rFonts w:ascii="Courier New" w:cs="Courier New" w:eastAsia="Courier New" w:hAnsi="Courier New"/>
          <w:sz w:val="18"/>
          <w:szCs w:val="18"/>
          <w:color w:val="auto"/>
        </w:rPr>
        <w:t>MARCH 31, 1997</w:t>
      </w:r>
    </w:p>
    <w:p>
      <w:pPr>
        <w:spacing w:after="0" w:line="200" w:lineRule="exact"/>
        <w:rPr>
          <w:sz w:val="20"/>
          <w:szCs w:val="20"/>
          <w:color w:val="auto"/>
        </w:rPr>
      </w:pPr>
    </w:p>
    <w:p>
      <w:pPr>
        <w:spacing w:after="0" w:line="210" w:lineRule="exact"/>
        <w:rPr>
          <w:sz w:val="20"/>
          <w:szCs w:val="20"/>
          <w:color w:val="auto"/>
        </w:rPr>
      </w:pPr>
    </w:p>
    <w:p>
      <w:pPr>
        <w:ind w:left="520" w:right="1999" w:hanging="631"/>
        <w:spacing w:after="0" w:line="237" w:lineRule="auto"/>
        <w:tabs>
          <w:tab w:leader="none" w:pos="500" w:val="left"/>
        </w:tabs>
        <w:rPr>
          <w:sz w:val="20"/>
          <w:szCs w:val="20"/>
          <w:color w:val="auto"/>
        </w:rPr>
      </w:pPr>
      <w:r>
        <w:rPr>
          <w:rFonts w:ascii="Courier New" w:cs="Courier New" w:eastAsia="Courier New" w:hAnsi="Courier New"/>
          <w:sz w:val="18"/>
          <w:szCs w:val="18"/>
          <w:color w:val="auto"/>
        </w:rPr>
        <w:t>1 -</w:t>
      </w:r>
      <w:r>
        <w:rPr>
          <w:sz w:val="20"/>
          <w:szCs w:val="20"/>
          <w:color w:val="auto"/>
        </w:rPr>
        <w:tab/>
      </w:r>
      <w:r>
        <w:rPr>
          <w:rFonts w:ascii="Courier New" w:cs="Courier New" w:eastAsia="Courier New" w:hAnsi="Courier New"/>
          <w:sz w:val="18"/>
          <w:szCs w:val="18"/>
          <w:color w:val="auto"/>
        </w:rPr>
        <w:t>The accompanying interim financial statements are unaudited but include all adjustments (consisting of normal recurring adjustments) which the Company considers necessary for a fair statement of the results for the period. The operating results for the three months ended March 31, 1997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1996.</w:t>
      </w:r>
    </w:p>
    <w:p>
      <w:pPr>
        <w:spacing w:after="0" w:line="214" w:lineRule="exact"/>
        <w:rPr>
          <w:sz w:val="20"/>
          <w:szCs w:val="20"/>
          <w:color w:val="auto"/>
        </w:rPr>
      </w:pPr>
    </w:p>
    <w:p>
      <w:pPr>
        <w:ind w:left="520" w:right="1879" w:hanging="631"/>
        <w:spacing w:after="0" w:line="236" w:lineRule="auto"/>
        <w:tabs>
          <w:tab w:leader="none" w:pos="500" w:val="left"/>
        </w:tabs>
        <w:rPr>
          <w:sz w:val="20"/>
          <w:szCs w:val="20"/>
          <w:color w:val="auto"/>
        </w:rPr>
      </w:pPr>
      <w:r>
        <w:rPr>
          <w:rFonts w:ascii="Courier New" w:cs="Courier New" w:eastAsia="Courier New" w:hAnsi="Courier New"/>
          <w:sz w:val="18"/>
          <w:szCs w:val="18"/>
          <w:color w:val="auto"/>
        </w:rPr>
        <w:t>2 -</w:t>
      </w:r>
      <w:r>
        <w:rPr>
          <w:sz w:val="20"/>
          <w:szCs w:val="20"/>
          <w:color w:val="auto"/>
        </w:rPr>
        <w:tab/>
      </w:r>
      <w:r>
        <w:rPr>
          <w:rFonts w:ascii="Courier New" w:cs="Courier New" w:eastAsia="Courier New" w:hAnsi="Courier New"/>
          <w:sz w:val="18"/>
          <w:szCs w:val="18"/>
          <w:color w:val="auto"/>
        </w:rPr>
        <w:t>Earnings per share (EPS) information is based on the weighted-average number of shares outstanding during each period and the dilutive effect of the assumed exercise of stock options.</w:t>
      </w:r>
    </w:p>
    <w:p>
      <w:pPr>
        <w:spacing w:after="0" w:line="209" w:lineRule="exact"/>
        <w:rPr>
          <w:sz w:val="20"/>
          <w:szCs w:val="20"/>
          <w:color w:val="auto"/>
        </w:rPr>
      </w:pPr>
    </w:p>
    <w:p>
      <w:pPr>
        <w:ind w:left="520" w:right="1879"/>
        <w:spacing w:after="0" w:line="238" w:lineRule="auto"/>
        <w:rPr>
          <w:sz w:val="20"/>
          <w:szCs w:val="20"/>
          <w:color w:val="auto"/>
        </w:rPr>
      </w:pPr>
      <w:r>
        <w:rPr>
          <w:rFonts w:ascii="Courier New" w:cs="Courier New" w:eastAsia="Courier New" w:hAnsi="Courier New"/>
          <w:sz w:val="18"/>
          <w:szCs w:val="18"/>
          <w:color w:val="auto"/>
        </w:rPr>
        <w:t>In February 1997, the Financial Accounting Standards Board (FASB) issued Statement of Financial Accounting Standards No. 128, Earnings per Share, which supersedes APB Opinion No. 15. Statement No. 128 replaces the presentation of primary EPS with "Basic EPS" which includes no dilution and is based on weighted-average common shares outstanding for the period. Companies with complex capital structures, including Cohu, Inc., will also be required to present "Diluted EPS" that reflects the potential dilution of securities like employee stock options. Statement No. 128 is effective for financial statements issued for periods ending after December 15, 1997. The Company has not yet determined what the impact of Statement No. 128 will be on the calculation of earnings per share.</w:t>
      </w:r>
    </w:p>
    <w:p>
      <w:pPr>
        <w:spacing w:after="0" w:line="207" w:lineRule="exact"/>
        <w:rPr>
          <w:sz w:val="20"/>
          <w:szCs w:val="20"/>
          <w:color w:val="auto"/>
        </w:rPr>
      </w:pPr>
    </w:p>
    <w:p>
      <w:pPr>
        <w:ind w:left="520" w:right="1999" w:hanging="631"/>
        <w:spacing w:after="0" w:line="237" w:lineRule="auto"/>
        <w:tabs>
          <w:tab w:leader="none" w:pos="500" w:val="left"/>
        </w:tabs>
        <w:rPr>
          <w:sz w:val="20"/>
          <w:szCs w:val="20"/>
          <w:color w:val="auto"/>
        </w:rPr>
      </w:pPr>
      <w:r>
        <w:rPr>
          <w:rFonts w:ascii="Courier New" w:cs="Courier New" w:eastAsia="Courier New" w:hAnsi="Courier New"/>
          <w:sz w:val="18"/>
          <w:szCs w:val="18"/>
          <w:color w:val="auto"/>
        </w:rPr>
        <w:t>3 -</w:t>
      </w:r>
      <w:r>
        <w:rPr>
          <w:sz w:val="20"/>
          <w:szCs w:val="20"/>
          <w:color w:val="auto"/>
        </w:rPr>
        <w:tab/>
      </w:r>
      <w:r>
        <w:rPr>
          <w:rFonts w:ascii="Courier New" w:cs="Courier New" w:eastAsia="Courier New" w:hAnsi="Courier New"/>
          <w:sz w:val="18"/>
          <w:szCs w:val="18"/>
          <w:color w:val="auto"/>
        </w:rPr>
        <w:t>On February 28, 1997 the Board of Directors of the Company adopted the Cohu, Inc. 1997 Employee Stock Purchase Plan. The Plan provides for the issuance of a maximum of 300,000 shares of the Company's Common Stock to employees and is subject to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099"/>
          </w:cols>
          <w:pgMar w:left="3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ind w:left="3700"/>
        <w:spacing w:after="0" w:line="238" w:lineRule="auto"/>
        <w:rPr>
          <w:sz w:val="20"/>
          <w:szCs w:val="20"/>
          <w:color w:val="auto"/>
        </w:rPr>
      </w:pPr>
      <w:r>
        <w:rPr>
          <w:rFonts w:ascii="Courier New" w:cs="Courier New" w:eastAsia="Courier New" w:hAnsi="Courier New"/>
          <w:sz w:val="18"/>
          <w:szCs w:val="18"/>
          <w:color w:val="auto"/>
        </w:rPr>
        <w:t>COHU, INC.</w:t>
      </w:r>
    </w:p>
    <w:p>
      <w:pPr>
        <w:ind w:left="10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860"/>
        <w:spacing w:after="0" w:line="237" w:lineRule="auto"/>
        <w:rPr>
          <w:sz w:val="20"/>
          <w:szCs w:val="20"/>
          <w:color w:val="auto"/>
        </w:rPr>
      </w:pPr>
      <w:r>
        <w:rPr>
          <w:rFonts w:ascii="Courier New" w:cs="Courier New" w:eastAsia="Courier New" w:hAnsi="Courier New"/>
          <w:sz w:val="18"/>
          <w:szCs w:val="18"/>
          <w:color w:val="auto"/>
        </w:rPr>
        <w:t>AND RESULTS OF OPERATIONS</w:t>
      </w:r>
    </w:p>
    <w:p>
      <w:pPr>
        <w:ind w:left="3480"/>
        <w:spacing w:after="0" w:line="238" w:lineRule="auto"/>
        <w:rPr>
          <w:sz w:val="20"/>
          <w:szCs w:val="20"/>
          <w:color w:val="auto"/>
        </w:rPr>
      </w:pPr>
      <w:r>
        <w:rPr>
          <w:rFonts w:ascii="Courier New" w:cs="Courier New" w:eastAsia="Courier New" w:hAnsi="Courier New"/>
          <w:sz w:val="18"/>
          <w:szCs w:val="18"/>
          <w:color w:val="auto"/>
        </w:rPr>
        <w:t>MARCH 31,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Net sales decreased 31% to $34.8 million in the first quarter of 1997 compared to net sales of $50.2 million in 1996. Sales of semiconductor test handling equipment by the Company's Delta Design and Daymarc subsidiaries decreased 37% in the first quarter of 1997 and accounted for 75% of consolidated net sales versus 82% in the first quarter of 1996. Sales of television cameras and other equipment decreased 3% and accounted for 25% of consolidated net sales in the first quarter of 1997 versus 18% in 1996. Gross margin as a percentage of net sales in the first quarter of 1997 was approximately 43% versus 46% in 1996. The decrease in margin was primarily due to the decline in margins within the semiconductor equipment segment largely attributable to reduced business volume. Research and development expense as a percentage of net sales was 9% in the first quarter of 1997 compared to 7% in 1996 and reflected the Company's continued investment in new product development in the semiconductor equipment business. Selling, general and administrative expense as a percentage of net sales was 14% in both the 1997 and 1996 periods. Interest income in the quarter increased 80% to $.7 million due to the significant increase in short-term investments. The provision for income taxes expressed as a percentage of pre-tax income was 37% in the first quarter of 1997 versus 38% for the year ended December 31, 1996. For the first fiscal quarter, as a result of the factors set forth above, net income decreased 40% to $4.7 million in 1997 from $7.9 million in 1996.</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Company's net cash flows generated from operating activities in the first quarter of 1997 totaled $.2 million. The major components of cash flows from operating activities were net income of $4.7 million and increases in accounts payable of $3.8 million and income taxes payable of $2.8 million offset by increases in accounts receivable of $6.6 million and inventories of $3.3 million. Net cash used for investing activities was $15 million and was used for the purchase of short-term investments ($14.3 million) and property, plant and equipment. Net cash used for financing activities was $.2 million. Cash used for financing activities included $.6 million for the payment of dividends offset by $.3 million received from the issuance of stock upon the exercise of stock options. The Company had $5 million available under its bank line of credit and working capital of $82.3 million at March 31, 1997. It is anticipated that present working capital and available borrowings under the line of credit will be sufficient to meet the Company's 1997 operating requirements and the remaining anticipated capital expenditures for 1997 of approximately $4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jc w:val="center"/>
        <w:ind w:right="175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879"/>
        <w:spacing w:after="0" w:line="237" w:lineRule="auto"/>
        <w:rPr>
          <w:sz w:val="20"/>
          <w:szCs w:val="20"/>
          <w:color w:val="auto"/>
        </w:rPr>
      </w:pPr>
      <w:r>
        <w:rPr>
          <w:rFonts w:ascii="Courier New" w:cs="Courier New" w:eastAsia="Courier New" w:hAnsi="Courier New"/>
          <w:sz w:val="18"/>
          <w:szCs w:val="18"/>
          <w:color w:val="auto"/>
        </w:rPr>
        <w:t>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for capital equipment, including equipment of the type manufactured and marketed by the Company. The Company believes that the markets for newer generations of semiconductors may also be subject to similar cycles and downturns such as that experienced in 1996. Reductions in capital equipment investment by semiconductor manufacturers will adversely affect the Company's results of operations.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is common in the semiconductor equipment industry, the Company relies on a limited number of customers for a substantial percentage of its net sales. The loss of or a significant reduction in orders by these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21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existing products.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of existing products. There can be no assurance that future technologies, processes and product developments will not render the Company's current product offerings obsolete or that the Company will be able to develop and introduce new products or enhancements to its existing products in a timely manner to satisfy customer needs or achieve market acceptance.</w:t>
      </w: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1996 Annual Report on Form 10-K, that could cause actual results to differ materially from those projected or forecasted. The Company undertakes no obligation to update the information, including the forward-looking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tabs>
          <w:tab w:leader="none" w:pos="9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7" w:lineRule="exact"/>
        <w:rPr>
          <w:sz w:val="20"/>
          <w:szCs w:val="20"/>
          <w:color w:val="auto"/>
        </w:rPr>
      </w:pPr>
    </w:p>
    <w:p>
      <w:pPr>
        <w:ind w:left="1580" w:right="1879" w:hanging="519"/>
        <w:spacing w:after="0" w:line="237"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quarter ended March 31, 1997, the Company issued 28,687 shares of common stock to Nicholas J. Cedrone. These shares were issued pursuant to the exemption provided by Section 4(2) of the Securities Act of 1933, in partial consideration for the acquisition of Daymarc Corporation in June 1994, with the amount of shares being determined by the operating results of Daymarc during 1996.</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27.1 - Financial Data Schedule</w:t>
      </w:r>
    </w:p>
    <w:p>
      <w:pPr>
        <w:spacing w:after="0" w:line="206" w:lineRule="exact"/>
        <w:rPr>
          <w:rFonts w:ascii="Courier New" w:cs="Courier New" w:eastAsia="Courier New" w:hAnsi="Courier New"/>
          <w:sz w:val="18"/>
          <w:szCs w:val="18"/>
          <w:color w:val="auto"/>
        </w:rPr>
      </w:pPr>
    </w:p>
    <w:p>
      <w:pPr>
        <w:ind w:left="1580" w:right="23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March 31, 1997.</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April 30,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pacing w:after="0" w:line="200" w:lineRule="exact"/>
        <w:rPr>
          <w:sz w:val="20"/>
          <w:szCs w:val="20"/>
          <w:color w:val="auto"/>
        </w:rPr>
      </w:pPr>
    </w:p>
    <w:p>
      <w:pPr>
        <w:sectPr>
          <w:pgSz w:w="11900" w:h="16838" w:orient="portrait"/>
          <w:cols w:equalWidth="0" w:num="3">
            <w:col w:w="540" w:space="200"/>
            <w:col w:w="1900" w:space="640"/>
            <w:col w:w="6939"/>
          </w:cols>
          <w:pgMar w:left="240" w:top="312"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April 30,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 &amp; Chief Financial Officer</w:t>
      </w:r>
    </w:p>
    <w:p>
      <w:pPr>
        <w:spacing w:after="0" w:line="200" w:lineRule="exact"/>
        <w:rPr>
          <w:sz w:val="20"/>
          <w:szCs w:val="20"/>
          <w:color w:val="auto"/>
        </w:rPr>
      </w:pPr>
    </w:p>
    <w:p>
      <w:pPr>
        <w:sectPr>
          <w:pgSz w:w="11900" w:h="16838" w:orient="portrait"/>
          <w:cols w:equalWidth="0" w:num="3">
            <w:col w:w="540" w:space="200"/>
            <w:col w:w="1900" w:space="640"/>
            <w:col w:w="693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1996 AND 1997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DEC-31-1996</w:t>
      </w:r>
    </w:p>
    <w:p>
      <w:pPr>
        <w:ind w:left="3020"/>
        <w:spacing w:after="0"/>
        <w:rPr>
          <w:sz w:val="20"/>
          <w:szCs w:val="20"/>
          <w:color w:val="auto"/>
        </w:rPr>
      </w:pPr>
      <w:r>
        <w:rPr>
          <w:rFonts w:ascii="Courier New" w:cs="Courier New" w:eastAsia="Courier New" w:hAnsi="Courier New"/>
          <w:sz w:val="18"/>
          <w:szCs w:val="18"/>
          <w:color w:val="auto"/>
        </w:rPr>
        <w:t>JAN-01-1997</w:t>
      </w:r>
    </w:p>
    <w:p>
      <w:pPr>
        <w:ind w:left="3240"/>
        <w:spacing w:after="0" w:line="237" w:lineRule="auto"/>
        <w:rPr>
          <w:sz w:val="20"/>
          <w:szCs w:val="20"/>
          <w:color w:val="auto"/>
        </w:rPr>
      </w:pPr>
      <w:r>
        <w:rPr>
          <w:rFonts w:ascii="Courier New" w:cs="Courier New" w:eastAsia="Courier New" w:hAnsi="Courier New"/>
          <w:sz w:val="18"/>
          <w:szCs w:val="18"/>
          <w:color w:val="auto"/>
        </w:rPr>
        <w:t>MAR-31-1997</w:t>
      </w:r>
    </w:p>
    <w:p>
      <w:pPr>
        <w:ind w:left="4500"/>
        <w:spacing w:after="0" w:line="238" w:lineRule="auto"/>
        <w:rPr>
          <w:sz w:val="20"/>
          <w:szCs w:val="20"/>
          <w:color w:val="auto"/>
        </w:rPr>
      </w:pPr>
      <w:r>
        <w:rPr>
          <w:rFonts w:ascii="Courier New" w:cs="Courier New" w:eastAsia="Courier New" w:hAnsi="Courier New"/>
          <w:sz w:val="18"/>
          <w:szCs w:val="18"/>
          <w:color w:val="auto"/>
        </w:rPr>
        <w:t>9,659</w:t>
      </w:r>
    </w:p>
    <w:p>
      <w:pPr>
        <w:ind w:left="3760"/>
        <w:spacing w:after="0"/>
        <w:rPr>
          <w:sz w:val="20"/>
          <w:szCs w:val="20"/>
          <w:color w:val="auto"/>
        </w:rPr>
      </w:pPr>
      <w:r>
        <w:rPr>
          <w:rFonts w:ascii="Courier New" w:cs="Courier New" w:eastAsia="Courier New" w:hAnsi="Courier New"/>
          <w:sz w:val="18"/>
          <w:szCs w:val="18"/>
          <w:color w:val="auto"/>
        </w:rPr>
        <w:t>42,673</w:t>
      </w:r>
    </w:p>
    <w:p>
      <w:pPr>
        <w:ind w:left="3660"/>
        <w:spacing w:after="0" w:line="237" w:lineRule="auto"/>
        <w:rPr>
          <w:sz w:val="20"/>
          <w:szCs w:val="20"/>
          <w:color w:val="auto"/>
        </w:rPr>
      </w:pPr>
      <w:r>
        <w:rPr>
          <w:rFonts w:ascii="Courier New" w:cs="Courier New" w:eastAsia="Courier New" w:hAnsi="Courier New"/>
          <w:sz w:val="18"/>
          <w:szCs w:val="18"/>
          <w:color w:val="auto"/>
        </w:rPr>
        <w:t>25,787</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18,849</w:t>
      </w:r>
    </w:p>
    <w:p>
      <w:pPr>
        <w:ind w:left="3240"/>
        <w:spacing w:after="0"/>
        <w:rPr>
          <w:sz w:val="20"/>
          <w:szCs w:val="20"/>
          <w:color w:val="auto"/>
        </w:rPr>
      </w:pPr>
      <w:r>
        <w:rPr>
          <w:rFonts w:ascii="Courier New" w:cs="Courier New" w:eastAsia="Courier New" w:hAnsi="Courier New"/>
          <w:sz w:val="18"/>
          <w:szCs w:val="18"/>
          <w:color w:val="auto"/>
        </w:rPr>
        <w:t>107,888</w:t>
      </w:r>
    </w:p>
    <w:p>
      <w:pPr>
        <w:ind w:left="4400"/>
        <w:spacing w:after="0" w:line="237" w:lineRule="auto"/>
        <w:rPr>
          <w:sz w:val="20"/>
          <w:szCs w:val="20"/>
          <w:color w:val="auto"/>
        </w:rPr>
      </w:pPr>
      <w:r>
        <w:rPr>
          <w:rFonts w:ascii="Courier New" w:cs="Courier New" w:eastAsia="Courier New" w:hAnsi="Courier New"/>
          <w:sz w:val="18"/>
          <w:szCs w:val="18"/>
          <w:color w:val="auto"/>
        </w:rPr>
        <w:t>28,679</w:t>
      </w:r>
    </w:p>
    <w:p>
      <w:pPr>
        <w:ind w:left="3540"/>
        <w:spacing w:after="0" w:line="238" w:lineRule="auto"/>
        <w:rPr>
          <w:sz w:val="20"/>
          <w:szCs w:val="20"/>
          <w:color w:val="auto"/>
        </w:rPr>
      </w:pPr>
      <w:r>
        <w:rPr>
          <w:rFonts w:ascii="Courier New" w:cs="Courier New" w:eastAsia="Courier New" w:hAnsi="Courier New"/>
          <w:sz w:val="18"/>
          <w:szCs w:val="18"/>
          <w:color w:val="auto"/>
        </w:rPr>
        <w:t>11,641</w:t>
      </w:r>
    </w:p>
    <w:p>
      <w:pPr>
        <w:ind w:left="3440"/>
        <w:spacing w:after="0"/>
        <w:rPr>
          <w:sz w:val="20"/>
          <w:szCs w:val="20"/>
          <w:color w:val="auto"/>
        </w:rPr>
      </w:pPr>
      <w:r>
        <w:rPr>
          <w:rFonts w:ascii="Courier New" w:cs="Courier New" w:eastAsia="Courier New" w:hAnsi="Courier New"/>
          <w:sz w:val="18"/>
          <w:szCs w:val="18"/>
          <w:color w:val="auto"/>
        </w:rPr>
        <w:t>127,457</w:t>
      </w:r>
    </w:p>
    <w:p>
      <w:pPr>
        <w:ind w:left="2820"/>
        <w:spacing w:after="0" w:line="237" w:lineRule="auto"/>
        <w:rPr>
          <w:sz w:val="20"/>
          <w:szCs w:val="20"/>
          <w:color w:val="auto"/>
        </w:rPr>
      </w:pPr>
      <w:r>
        <w:rPr>
          <w:rFonts w:ascii="Courier New" w:cs="Courier New" w:eastAsia="Courier New" w:hAnsi="Courier New"/>
          <w:sz w:val="18"/>
          <w:szCs w:val="18"/>
          <w:color w:val="auto"/>
        </w:rPr>
        <w:t>25,600</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9,385</w:t>
      </w:r>
    </w:p>
    <w:p>
      <w:pPr>
        <w:ind w:left="3980"/>
        <w:spacing w:after="0" w:line="238" w:lineRule="auto"/>
        <w:rPr>
          <w:sz w:val="20"/>
          <w:szCs w:val="20"/>
          <w:color w:val="auto"/>
        </w:rPr>
      </w:pPr>
      <w:r>
        <w:rPr>
          <w:rFonts w:ascii="Courier New" w:cs="Courier New" w:eastAsia="Courier New" w:hAnsi="Courier New"/>
          <w:sz w:val="18"/>
          <w:szCs w:val="18"/>
          <w:color w:val="auto"/>
        </w:rPr>
        <w:t>91,379</w:t>
      </w:r>
    </w:p>
    <w:p>
      <w:pPr>
        <w:ind w:left="1960"/>
        <w:spacing w:after="0"/>
        <w:rPr>
          <w:sz w:val="20"/>
          <w:szCs w:val="20"/>
          <w:color w:val="auto"/>
        </w:rPr>
      </w:pPr>
      <w:r>
        <w:rPr>
          <w:rFonts w:ascii="Courier New" w:cs="Courier New" w:eastAsia="Courier New" w:hAnsi="Courier New"/>
          <w:sz w:val="18"/>
          <w:szCs w:val="18"/>
          <w:color w:val="auto"/>
        </w:rPr>
        <w:t>127,457</w:t>
      </w:r>
    </w:p>
    <w:p>
      <w:pPr>
        <w:ind w:left="4280"/>
        <w:spacing w:after="0" w:line="237" w:lineRule="auto"/>
        <w:rPr>
          <w:sz w:val="20"/>
          <w:szCs w:val="20"/>
          <w:color w:val="auto"/>
        </w:rPr>
      </w:pPr>
      <w:r>
        <w:rPr>
          <w:rFonts w:ascii="Courier New" w:cs="Courier New" w:eastAsia="Courier New" w:hAnsi="Courier New"/>
          <w:sz w:val="18"/>
          <w:szCs w:val="18"/>
          <w:color w:val="auto"/>
        </w:rPr>
        <w:t>34,762</w:t>
      </w:r>
    </w:p>
    <w:p>
      <w:pPr>
        <w:ind w:left="3340"/>
        <w:spacing w:after="0"/>
        <w:rPr>
          <w:sz w:val="20"/>
          <w:szCs w:val="20"/>
          <w:color w:val="auto"/>
        </w:rPr>
      </w:pPr>
      <w:r>
        <w:rPr>
          <w:rFonts w:ascii="Courier New" w:cs="Courier New" w:eastAsia="Courier New" w:hAnsi="Courier New"/>
          <w:sz w:val="18"/>
          <w:szCs w:val="18"/>
          <w:color w:val="auto"/>
        </w:rPr>
        <w:t>34,762</w:t>
      </w:r>
    </w:p>
    <w:p>
      <w:pPr>
        <w:ind w:left="4500"/>
        <w:spacing w:after="0" w:line="237" w:lineRule="auto"/>
        <w:rPr>
          <w:sz w:val="20"/>
          <w:szCs w:val="20"/>
          <w:color w:val="auto"/>
        </w:rPr>
      </w:pPr>
      <w:r>
        <w:rPr>
          <w:rFonts w:ascii="Courier New" w:cs="Courier New" w:eastAsia="Courier New" w:hAnsi="Courier New"/>
          <w:sz w:val="18"/>
          <w:szCs w:val="18"/>
          <w:color w:val="auto"/>
        </w:rPr>
        <w:t>19,908</w:t>
      </w:r>
    </w:p>
    <w:p>
      <w:pPr>
        <w:ind w:left="3660"/>
        <w:spacing w:after="0"/>
        <w:rPr>
          <w:sz w:val="20"/>
          <w:szCs w:val="20"/>
          <w:color w:val="auto"/>
        </w:rPr>
      </w:pPr>
      <w:r>
        <w:rPr>
          <w:rFonts w:ascii="Courier New" w:cs="Courier New" w:eastAsia="Courier New" w:hAnsi="Courier New"/>
          <w:sz w:val="18"/>
          <w:szCs w:val="18"/>
          <w:color w:val="auto"/>
        </w:rPr>
        <w:t>19,908</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line="238" w:lineRule="auto"/>
        <w:rPr>
          <w:sz w:val="20"/>
          <w:szCs w:val="20"/>
          <w:color w:val="auto"/>
        </w:rPr>
      </w:pPr>
      <w:r>
        <w:rPr>
          <w:rFonts w:ascii="Courier New" w:cs="Courier New" w:eastAsia="Courier New" w:hAnsi="Courier New"/>
          <w:sz w:val="18"/>
          <w:szCs w:val="18"/>
          <w:color w:val="auto"/>
        </w:rPr>
        <w:t>7,514</w:t>
      </w:r>
    </w:p>
    <w:p>
      <w:pPr>
        <w:ind w:left="3860"/>
        <w:spacing w:after="0"/>
        <w:rPr>
          <w:sz w:val="20"/>
          <w:szCs w:val="20"/>
          <w:color w:val="auto"/>
        </w:rPr>
      </w:pPr>
      <w:r>
        <w:rPr>
          <w:rFonts w:ascii="Courier New" w:cs="Courier New" w:eastAsia="Courier New" w:hAnsi="Courier New"/>
          <w:sz w:val="18"/>
          <w:szCs w:val="18"/>
          <w:color w:val="auto"/>
        </w:rPr>
        <w:t>2,800</w:t>
      </w:r>
    </w:p>
    <w:p>
      <w:pPr>
        <w:ind w:left="3120"/>
        <w:spacing w:after="0" w:line="237" w:lineRule="auto"/>
        <w:rPr>
          <w:sz w:val="20"/>
          <w:szCs w:val="20"/>
          <w:color w:val="auto"/>
        </w:rPr>
      </w:pPr>
      <w:r>
        <w:rPr>
          <w:rFonts w:ascii="Courier New" w:cs="Courier New" w:eastAsia="Courier New" w:hAnsi="Courier New"/>
          <w:sz w:val="18"/>
          <w:szCs w:val="18"/>
          <w:color w:val="auto"/>
        </w:rPr>
        <w:t>4,714</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4,714</w:t>
      </w:r>
    </w:p>
    <w:p>
      <w:pPr>
        <w:ind w:left="3860"/>
        <w:spacing w:after="0" w:line="238" w:lineRule="auto"/>
        <w:rPr>
          <w:sz w:val="20"/>
          <w:szCs w:val="20"/>
          <w:color w:val="auto"/>
        </w:rPr>
      </w:pPr>
      <w:r>
        <w:rPr>
          <w:rFonts w:ascii="Courier New" w:cs="Courier New" w:eastAsia="Courier New" w:hAnsi="Courier New"/>
          <w:sz w:val="18"/>
          <w:szCs w:val="18"/>
          <w:color w:val="auto"/>
        </w:rPr>
        <w:t>0.48</w:t>
      </w:r>
    </w:p>
    <w:p>
      <w:pPr>
        <w:ind w:left="3860"/>
        <w:spacing w:after="0"/>
        <w:rPr>
          <w:sz w:val="20"/>
          <w:szCs w:val="20"/>
          <w:color w:val="auto"/>
        </w:rPr>
      </w:pPr>
      <w:r>
        <w:rPr>
          <w:rFonts w:ascii="Courier New" w:cs="Courier New" w:eastAsia="Courier New" w:hAnsi="Courier New"/>
          <w:sz w:val="18"/>
          <w:szCs w:val="18"/>
          <w:color w:val="auto"/>
        </w:rPr>
        <w:t>0.00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2019-12-12T06:03:32Z</dcterms:created>
  <dcterms:modified xsi:type="dcterms:W3CDTF">2019-12-12T06:03:32Z</dcterms:modified>
</cp:coreProperties>
</file>