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Washington, D.C. 20549</w:t>
      </w:r>
    </w:p>
    <w:p>
      <w:pPr>
        <w:spacing w:after="0" w:line="192" w:lineRule="exact"/>
        <w:rPr>
          <w:sz w:val="24"/>
          <w:szCs w:val="24"/>
          <w:color w:val="auto"/>
        </w:rPr>
      </w:pPr>
    </w:p>
    <w:p>
      <w:pPr>
        <w:jc w:val="center"/>
        <w:ind w:right="-179"/>
        <w:spacing w:after="0"/>
        <w:rPr>
          <w:sz w:val="20"/>
          <w:szCs w:val="20"/>
          <w:color w:val="auto"/>
        </w:rPr>
      </w:pPr>
      <w:r>
        <w:rPr>
          <w:rFonts w:ascii="Arial" w:cs="Arial" w:eastAsia="Arial" w:hAnsi="Arial"/>
          <w:sz w:val="32"/>
          <w:szCs w:val="32"/>
          <w:color w:val="auto"/>
        </w:rPr>
        <w:t>FORM 8-K</w:t>
      </w:r>
    </w:p>
    <w:p>
      <w:pPr>
        <w:spacing w:after="0" w:line="23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Date of Report (Date of Earliest Event Reported):</w:t>
            </w:r>
          </w:p>
        </w:tc>
        <w:tc>
          <w:tcPr>
            <w:tcW w:w="3340" w:type="dxa"/>
            <w:vAlign w:val="bottom"/>
          </w:tcPr>
          <w:p>
            <w:pPr>
              <w:ind w:left="2340"/>
              <w:spacing w:after="0"/>
              <w:rPr>
                <w:sz w:val="20"/>
                <w:szCs w:val="20"/>
                <w:color w:val="auto"/>
              </w:rPr>
            </w:pPr>
            <w:r>
              <w:rPr>
                <w:rFonts w:ascii="Arial" w:cs="Arial" w:eastAsia="Arial" w:hAnsi="Arial"/>
                <w:sz w:val="18"/>
                <w:szCs w:val="18"/>
                <w:color w:val="auto"/>
                <w:w w:val="89"/>
              </w:rPr>
              <w:t>May 10, 2021</w:t>
            </w:r>
          </w:p>
        </w:tc>
      </w:tr>
    </w:tbl>
    <w:p>
      <w:pPr>
        <w:spacing w:after="0" w:line="185" w:lineRule="exact"/>
        <w:rPr>
          <w:sz w:val="24"/>
          <w:szCs w:val="24"/>
          <w:color w:val="auto"/>
        </w:rPr>
      </w:pPr>
    </w:p>
    <w:p>
      <w:pPr>
        <w:jc w:val="center"/>
        <w:ind w:right="-179"/>
        <w:spacing w:after="0"/>
        <w:rPr>
          <w:sz w:val="20"/>
          <w:szCs w:val="20"/>
          <w:color w:val="auto"/>
        </w:rPr>
      </w:pPr>
      <w:r>
        <w:rPr>
          <w:rFonts w:ascii="Arial" w:cs="Arial" w:eastAsia="Arial" w:hAnsi="Arial"/>
          <w:sz w:val="43"/>
          <w:szCs w:val="43"/>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194310</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tbl>
      <w:tblPr>
        <w:tblLayout w:type="fixed"/>
        <w:tblInd w:w="22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4440" w:type="dxa"/>
            <w:vAlign w:val="bottom"/>
          </w:tcPr>
          <w:p>
            <w:pPr>
              <w:jc w:val="center"/>
              <w:ind w:right="390"/>
              <w:spacing w:after="0"/>
              <w:rPr>
                <w:sz w:val="20"/>
                <w:szCs w:val="20"/>
                <w:color w:val="auto"/>
              </w:rPr>
            </w:pPr>
            <w:r>
              <w:rPr>
                <w:rFonts w:ascii="Arial" w:cs="Arial" w:eastAsia="Arial" w:hAnsi="Arial"/>
                <w:sz w:val="18"/>
                <w:szCs w:val="18"/>
                <w:color w:val="auto"/>
                <w:w w:val="90"/>
              </w:rPr>
              <w:t>(Exact name of registrant as specified in its charter)</w:t>
            </w:r>
          </w:p>
        </w:tc>
        <w:tc>
          <w:tcPr>
            <w:tcW w:w="1960" w:type="dxa"/>
            <w:vAlign w:val="bottom"/>
          </w:tcPr>
          <w:p>
            <w:pPr>
              <w:spacing w:after="0"/>
              <w:rPr>
                <w:sz w:val="20"/>
                <w:szCs w:val="20"/>
                <w:color w:val="auto"/>
              </w:rPr>
            </w:pPr>
          </w:p>
        </w:tc>
      </w:tr>
      <w:tr>
        <w:trPr>
          <w:trHeight w:val="418"/>
        </w:trPr>
        <w:tc>
          <w:tcPr>
            <w:tcW w:w="3420" w:type="dxa"/>
            <w:vAlign w:val="bottom"/>
          </w:tcPr>
          <w:p>
            <w:pPr>
              <w:jc w:val="center"/>
              <w:ind w:right="10"/>
              <w:spacing w:after="0"/>
              <w:rPr>
                <w:sz w:val="20"/>
                <w:szCs w:val="20"/>
                <w:color w:val="auto"/>
              </w:rPr>
            </w:pPr>
            <w:r>
              <w:rPr>
                <w:rFonts w:ascii="Arial" w:cs="Arial" w:eastAsia="Arial" w:hAnsi="Arial"/>
                <w:sz w:val="18"/>
                <w:szCs w:val="18"/>
                <w:color w:val="auto"/>
                <w:w w:val="89"/>
              </w:rPr>
              <w:t>Delaware</w:t>
            </w:r>
          </w:p>
        </w:tc>
        <w:tc>
          <w:tcPr>
            <w:tcW w:w="4440" w:type="dxa"/>
            <w:vAlign w:val="bottom"/>
          </w:tcPr>
          <w:p>
            <w:pPr>
              <w:jc w:val="right"/>
              <w:ind w:right="1990"/>
              <w:spacing w:after="0"/>
              <w:rPr>
                <w:sz w:val="20"/>
                <w:szCs w:val="20"/>
                <w:color w:val="auto"/>
              </w:rPr>
            </w:pPr>
            <w:r>
              <w:rPr>
                <w:rFonts w:ascii="Arial" w:cs="Arial" w:eastAsia="Arial" w:hAnsi="Arial"/>
                <w:sz w:val="18"/>
                <w:szCs w:val="18"/>
                <w:color w:val="auto"/>
              </w:rPr>
              <w:t>001-04298</w:t>
            </w:r>
          </w:p>
        </w:tc>
        <w:tc>
          <w:tcPr>
            <w:tcW w:w="1960" w:type="dxa"/>
            <w:vAlign w:val="bottom"/>
          </w:tcPr>
          <w:p>
            <w:pPr>
              <w:jc w:val="center"/>
              <w:ind w:left="530"/>
              <w:spacing w:after="0"/>
              <w:rPr>
                <w:sz w:val="20"/>
                <w:szCs w:val="20"/>
                <w:color w:val="auto"/>
              </w:rPr>
            </w:pPr>
            <w:r>
              <w:rPr>
                <w:rFonts w:ascii="Arial" w:cs="Arial" w:eastAsia="Arial" w:hAnsi="Arial"/>
                <w:sz w:val="18"/>
                <w:szCs w:val="18"/>
                <w:color w:val="auto"/>
                <w:w w:val="89"/>
              </w:rPr>
              <w:t>95-1934119</w:t>
            </w:r>
          </w:p>
        </w:tc>
      </w:tr>
      <w:tr>
        <w:trPr>
          <w:trHeight w:val="216"/>
        </w:trPr>
        <w:tc>
          <w:tcPr>
            <w:tcW w:w="3420" w:type="dxa"/>
            <w:vAlign w:val="bottom"/>
          </w:tcPr>
          <w:p>
            <w:pPr>
              <w:jc w:val="right"/>
              <w:ind w:right="730"/>
              <w:spacing w:after="0"/>
              <w:rPr>
                <w:sz w:val="20"/>
                <w:szCs w:val="20"/>
                <w:color w:val="auto"/>
              </w:rPr>
            </w:pPr>
            <w:r>
              <w:rPr>
                <w:rFonts w:ascii="Arial" w:cs="Arial" w:eastAsia="Arial" w:hAnsi="Arial"/>
                <w:sz w:val="18"/>
                <w:szCs w:val="18"/>
                <w:color w:val="auto"/>
              </w:rPr>
              <w:t>_____________________</w:t>
            </w:r>
          </w:p>
        </w:tc>
        <w:tc>
          <w:tcPr>
            <w:tcW w:w="4440" w:type="dxa"/>
            <w:vAlign w:val="bottom"/>
          </w:tcPr>
          <w:p>
            <w:pPr>
              <w:jc w:val="right"/>
              <w:ind w:right="1790"/>
              <w:spacing w:after="0"/>
              <w:rPr>
                <w:sz w:val="20"/>
                <w:szCs w:val="20"/>
                <w:color w:val="auto"/>
              </w:rPr>
            </w:pPr>
            <w:r>
              <w:rPr>
                <w:rFonts w:ascii="Arial" w:cs="Arial" w:eastAsia="Arial" w:hAnsi="Arial"/>
                <w:sz w:val="18"/>
                <w:szCs w:val="18"/>
                <w:color w:val="auto"/>
              </w:rPr>
              <w:t>_____________</w:t>
            </w:r>
          </w:p>
        </w:tc>
        <w:tc>
          <w:tcPr>
            <w:tcW w:w="1960" w:type="dxa"/>
            <w:vAlign w:val="bottom"/>
          </w:tcPr>
          <w:p>
            <w:pPr>
              <w:jc w:val="center"/>
              <w:ind w:left="530"/>
              <w:spacing w:after="0"/>
              <w:rPr>
                <w:sz w:val="20"/>
                <w:szCs w:val="20"/>
                <w:color w:val="auto"/>
              </w:rPr>
            </w:pPr>
            <w:r>
              <w:rPr>
                <w:rFonts w:ascii="Arial" w:cs="Arial" w:eastAsia="Arial" w:hAnsi="Arial"/>
                <w:sz w:val="18"/>
                <w:szCs w:val="18"/>
                <w:color w:val="auto"/>
                <w:w w:val="89"/>
              </w:rPr>
              <w:t>______________</w:t>
            </w:r>
          </w:p>
        </w:tc>
      </w:tr>
      <w:tr>
        <w:trPr>
          <w:trHeight w:val="216"/>
        </w:trPr>
        <w:tc>
          <w:tcPr>
            <w:tcW w:w="3420" w:type="dxa"/>
            <w:vAlign w:val="bottom"/>
          </w:tcPr>
          <w:p>
            <w:pPr>
              <w:jc w:val="center"/>
              <w:ind w:right="10"/>
              <w:spacing w:after="0"/>
              <w:rPr>
                <w:sz w:val="20"/>
                <w:szCs w:val="20"/>
                <w:color w:val="auto"/>
              </w:rPr>
            </w:pPr>
            <w:r>
              <w:rPr>
                <w:rFonts w:ascii="Arial" w:cs="Arial" w:eastAsia="Arial" w:hAnsi="Arial"/>
                <w:sz w:val="18"/>
                <w:szCs w:val="18"/>
                <w:color w:val="auto"/>
                <w:w w:val="91"/>
              </w:rPr>
              <w:t>(State or other jurisdiction</w:t>
            </w:r>
          </w:p>
        </w:tc>
        <w:tc>
          <w:tcPr>
            <w:tcW w:w="4440" w:type="dxa"/>
            <w:vAlign w:val="bottom"/>
          </w:tcPr>
          <w:p>
            <w:pPr>
              <w:jc w:val="center"/>
              <w:ind w:right="390"/>
              <w:spacing w:after="0"/>
              <w:rPr>
                <w:sz w:val="20"/>
                <w:szCs w:val="20"/>
                <w:color w:val="auto"/>
              </w:rPr>
            </w:pPr>
            <w:r>
              <w:rPr>
                <w:rFonts w:ascii="Arial" w:cs="Arial" w:eastAsia="Arial" w:hAnsi="Arial"/>
                <w:sz w:val="18"/>
                <w:szCs w:val="18"/>
                <w:color w:val="auto"/>
                <w:w w:val="91"/>
              </w:rPr>
              <w:t>(Commission</w:t>
            </w:r>
          </w:p>
        </w:tc>
        <w:tc>
          <w:tcPr>
            <w:tcW w:w="1960" w:type="dxa"/>
            <w:vAlign w:val="bottom"/>
          </w:tcPr>
          <w:p>
            <w:pPr>
              <w:jc w:val="center"/>
              <w:ind w:left="510"/>
              <w:spacing w:after="0"/>
              <w:rPr>
                <w:sz w:val="20"/>
                <w:szCs w:val="20"/>
                <w:color w:val="auto"/>
              </w:rPr>
            </w:pPr>
            <w:r>
              <w:rPr>
                <w:rFonts w:ascii="Arial" w:cs="Arial" w:eastAsia="Arial" w:hAnsi="Arial"/>
                <w:sz w:val="18"/>
                <w:szCs w:val="18"/>
                <w:color w:val="auto"/>
                <w:w w:val="93"/>
              </w:rPr>
              <w:t>(I.R.S. Employer</w:t>
            </w:r>
          </w:p>
        </w:tc>
      </w:tr>
      <w:tr>
        <w:trPr>
          <w:trHeight w:val="230"/>
        </w:trPr>
        <w:tc>
          <w:tcPr>
            <w:tcW w:w="3420" w:type="dxa"/>
            <w:vAlign w:val="bottom"/>
          </w:tcPr>
          <w:p>
            <w:pPr>
              <w:jc w:val="center"/>
              <w:ind w:right="30"/>
              <w:spacing w:after="0"/>
              <w:rPr>
                <w:sz w:val="20"/>
                <w:szCs w:val="20"/>
                <w:color w:val="auto"/>
              </w:rPr>
            </w:pPr>
            <w:r>
              <w:rPr>
                <w:rFonts w:ascii="Arial" w:cs="Arial" w:eastAsia="Arial" w:hAnsi="Arial"/>
                <w:sz w:val="18"/>
                <w:szCs w:val="18"/>
                <w:color w:val="auto"/>
                <w:w w:val="93"/>
              </w:rPr>
              <w:t>of incorporation)</w:t>
            </w:r>
          </w:p>
        </w:tc>
        <w:tc>
          <w:tcPr>
            <w:tcW w:w="4440" w:type="dxa"/>
            <w:vAlign w:val="bottom"/>
          </w:tcPr>
          <w:p>
            <w:pPr>
              <w:jc w:val="center"/>
              <w:ind w:right="390"/>
              <w:spacing w:after="0"/>
              <w:rPr>
                <w:sz w:val="20"/>
                <w:szCs w:val="20"/>
                <w:color w:val="auto"/>
              </w:rPr>
            </w:pPr>
            <w:r>
              <w:rPr>
                <w:rFonts w:ascii="Arial" w:cs="Arial" w:eastAsia="Arial" w:hAnsi="Arial"/>
                <w:sz w:val="18"/>
                <w:szCs w:val="18"/>
                <w:color w:val="auto"/>
                <w:w w:val="92"/>
              </w:rPr>
              <w:t>File Number)</w:t>
            </w:r>
          </w:p>
        </w:tc>
        <w:tc>
          <w:tcPr>
            <w:tcW w:w="1960" w:type="dxa"/>
            <w:vAlign w:val="bottom"/>
          </w:tcPr>
          <w:p>
            <w:pPr>
              <w:jc w:val="center"/>
              <w:ind w:left="5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420" w:type="dxa"/>
            <w:vAlign w:val="bottom"/>
          </w:tcPr>
          <w:p>
            <w:pPr>
              <w:jc w:val="center"/>
              <w:ind w:right="30"/>
              <w:spacing w:after="0"/>
              <w:rPr>
                <w:sz w:val="20"/>
                <w:szCs w:val="20"/>
                <w:color w:val="auto"/>
              </w:rPr>
            </w:pPr>
            <w:r>
              <w:rPr>
                <w:rFonts w:ascii="Arial" w:cs="Arial" w:eastAsia="Arial" w:hAnsi="Arial"/>
                <w:sz w:val="18"/>
                <w:szCs w:val="18"/>
                <w:color w:val="auto"/>
                <w:w w:val="91"/>
              </w:rPr>
              <w:t>12367 Crosthwaite Circle, Poway,</w:t>
            </w:r>
          </w:p>
        </w:tc>
        <w:tc>
          <w:tcPr>
            <w:tcW w:w="4440" w:type="dxa"/>
            <w:vAlign w:val="bottom"/>
          </w:tcPr>
          <w:p>
            <w:pPr>
              <w:spacing w:after="0"/>
              <w:rPr>
                <w:sz w:val="24"/>
                <w:szCs w:val="24"/>
                <w:color w:val="auto"/>
              </w:rPr>
            </w:pPr>
          </w:p>
        </w:tc>
        <w:tc>
          <w:tcPr>
            <w:tcW w:w="1960" w:type="dxa"/>
            <w:vAlign w:val="bottom"/>
          </w:tcPr>
          <w:p>
            <w:pPr>
              <w:jc w:val="center"/>
              <w:ind w:left="510"/>
              <w:spacing w:after="0"/>
              <w:rPr>
                <w:sz w:val="20"/>
                <w:szCs w:val="20"/>
                <w:color w:val="auto"/>
              </w:rPr>
            </w:pPr>
            <w:r>
              <w:rPr>
                <w:rFonts w:ascii="Arial" w:cs="Arial" w:eastAsia="Arial" w:hAnsi="Arial"/>
                <w:sz w:val="18"/>
                <w:szCs w:val="18"/>
                <w:color w:val="auto"/>
                <w:w w:val="87"/>
              </w:rPr>
              <w:t>92064</w:t>
            </w:r>
          </w:p>
        </w:tc>
      </w:tr>
      <w:tr>
        <w:trPr>
          <w:trHeight w:val="216"/>
        </w:trPr>
        <w:tc>
          <w:tcPr>
            <w:tcW w:w="3420" w:type="dxa"/>
            <w:vAlign w:val="bottom"/>
          </w:tcPr>
          <w:p>
            <w:pPr>
              <w:jc w:val="center"/>
              <w:ind w:right="10"/>
              <w:spacing w:after="0"/>
              <w:rPr>
                <w:sz w:val="20"/>
                <w:szCs w:val="20"/>
                <w:color w:val="auto"/>
              </w:rPr>
            </w:pPr>
            <w:r>
              <w:rPr>
                <w:rFonts w:ascii="Arial" w:cs="Arial" w:eastAsia="Arial" w:hAnsi="Arial"/>
                <w:sz w:val="18"/>
                <w:szCs w:val="18"/>
                <w:color w:val="auto"/>
                <w:w w:val="94"/>
              </w:rPr>
              <w:t>California</w:t>
            </w:r>
          </w:p>
        </w:tc>
        <w:tc>
          <w:tcPr>
            <w:tcW w:w="44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3420" w:type="dxa"/>
            <w:vAlign w:val="bottom"/>
          </w:tcPr>
          <w:p>
            <w:pPr>
              <w:jc w:val="right"/>
              <w:ind w:right="190"/>
              <w:spacing w:after="0"/>
              <w:rPr>
                <w:sz w:val="20"/>
                <w:szCs w:val="20"/>
                <w:color w:val="auto"/>
              </w:rPr>
            </w:pPr>
            <w:r>
              <w:rPr>
                <w:rFonts w:ascii="Arial" w:cs="Arial" w:eastAsia="Arial" w:hAnsi="Arial"/>
                <w:sz w:val="18"/>
                <w:szCs w:val="18"/>
                <w:color w:val="auto"/>
                <w:w w:val="94"/>
              </w:rPr>
              <w:t>_________________________________</w:t>
            </w:r>
          </w:p>
        </w:tc>
        <w:tc>
          <w:tcPr>
            <w:tcW w:w="4440" w:type="dxa"/>
            <w:vAlign w:val="bottom"/>
          </w:tcPr>
          <w:p>
            <w:pPr>
              <w:spacing w:after="0"/>
              <w:rPr>
                <w:sz w:val="18"/>
                <w:szCs w:val="18"/>
                <w:color w:val="auto"/>
              </w:rPr>
            </w:pPr>
          </w:p>
        </w:tc>
        <w:tc>
          <w:tcPr>
            <w:tcW w:w="1960" w:type="dxa"/>
            <w:vAlign w:val="bottom"/>
          </w:tcPr>
          <w:p>
            <w:pPr>
              <w:jc w:val="center"/>
              <w:ind w:left="510"/>
              <w:spacing w:after="0"/>
              <w:rPr>
                <w:sz w:val="20"/>
                <w:szCs w:val="20"/>
                <w:color w:val="auto"/>
              </w:rPr>
            </w:pPr>
            <w:r>
              <w:rPr>
                <w:rFonts w:ascii="Arial" w:cs="Arial" w:eastAsia="Arial" w:hAnsi="Arial"/>
                <w:sz w:val="18"/>
                <w:szCs w:val="18"/>
                <w:color w:val="auto"/>
                <w:w w:val="90"/>
              </w:rPr>
              <w:t>___________</w:t>
            </w:r>
          </w:p>
        </w:tc>
      </w:tr>
      <w:tr>
        <w:trPr>
          <w:trHeight w:val="230"/>
        </w:trPr>
        <w:tc>
          <w:tcPr>
            <w:tcW w:w="3420" w:type="dxa"/>
            <w:vAlign w:val="bottom"/>
          </w:tcPr>
          <w:p>
            <w:pPr>
              <w:jc w:val="center"/>
              <w:ind w:right="10"/>
              <w:spacing w:after="0"/>
              <w:rPr>
                <w:sz w:val="20"/>
                <w:szCs w:val="20"/>
                <w:color w:val="auto"/>
              </w:rPr>
            </w:pPr>
            <w:r>
              <w:rPr>
                <w:rFonts w:ascii="Arial" w:cs="Arial" w:eastAsia="Arial" w:hAnsi="Arial"/>
                <w:sz w:val="18"/>
                <w:szCs w:val="18"/>
                <w:color w:val="auto"/>
                <w:w w:val="92"/>
              </w:rPr>
              <w:t>(Address of principal executive offices)</w:t>
            </w:r>
          </w:p>
        </w:tc>
        <w:tc>
          <w:tcPr>
            <w:tcW w:w="4440" w:type="dxa"/>
            <w:vAlign w:val="bottom"/>
          </w:tcPr>
          <w:p>
            <w:pPr>
              <w:spacing w:after="0"/>
              <w:rPr>
                <w:sz w:val="20"/>
                <w:szCs w:val="20"/>
                <w:color w:val="auto"/>
              </w:rPr>
            </w:pPr>
          </w:p>
        </w:tc>
        <w:tc>
          <w:tcPr>
            <w:tcW w:w="1960" w:type="dxa"/>
            <w:vAlign w:val="bottom"/>
          </w:tcPr>
          <w:p>
            <w:pPr>
              <w:jc w:val="center"/>
              <w:ind w:left="510"/>
              <w:spacing w:after="0"/>
              <w:rPr>
                <w:sz w:val="20"/>
                <w:szCs w:val="20"/>
                <w:color w:val="auto"/>
              </w:rPr>
            </w:pPr>
            <w:r>
              <w:rPr>
                <w:rFonts w:ascii="Arial" w:cs="Arial" w:eastAsia="Arial" w:hAnsi="Arial"/>
                <w:sz w:val="18"/>
                <w:szCs w:val="18"/>
                <w:color w:val="auto"/>
                <w:w w:val="94"/>
              </w:rPr>
              <w:t>(Zip Code)</w:t>
            </w:r>
          </w:p>
        </w:tc>
      </w:tr>
      <w:tr>
        <w:trPr>
          <w:trHeight w:val="418"/>
        </w:trPr>
        <w:tc>
          <w:tcPr>
            <w:tcW w:w="3420" w:type="dxa"/>
            <w:vAlign w:val="bottom"/>
          </w:tcPr>
          <w:p>
            <w:pPr>
              <w:jc w:val="center"/>
              <w:ind w:right="10"/>
              <w:spacing w:after="0"/>
              <w:rPr>
                <w:sz w:val="20"/>
                <w:szCs w:val="20"/>
                <w:color w:val="auto"/>
              </w:rPr>
            </w:pPr>
            <w:r>
              <w:rPr>
                <w:rFonts w:ascii="Arial" w:cs="Arial" w:eastAsia="Arial" w:hAnsi="Arial"/>
                <w:sz w:val="18"/>
                <w:szCs w:val="18"/>
                <w:color w:val="auto"/>
                <w:w w:val="90"/>
              </w:rPr>
              <w:t>Registrant’s telephone number, including area</w:t>
            </w:r>
          </w:p>
        </w:tc>
        <w:tc>
          <w:tcPr>
            <w:tcW w:w="4440" w:type="dxa"/>
            <w:vAlign w:val="bottom"/>
          </w:tcPr>
          <w:p>
            <w:pPr>
              <w:spacing w:after="0"/>
              <w:rPr>
                <w:sz w:val="24"/>
                <w:szCs w:val="24"/>
                <w:color w:val="auto"/>
              </w:rPr>
            </w:pPr>
          </w:p>
        </w:tc>
        <w:tc>
          <w:tcPr>
            <w:tcW w:w="1960" w:type="dxa"/>
            <w:vAlign w:val="bottom"/>
          </w:tcPr>
          <w:p>
            <w:pPr>
              <w:jc w:val="center"/>
              <w:ind w:left="530"/>
              <w:spacing w:after="0"/>
              <w:rPr>
                <w:sz w:val="20"/>
                <w:szCs w:val="20"/>
                <w:color w:val="auto"/>
              </w:rPr>
            </w:pPr>
            <w:r>
              <w:rPr>
                <w:rFonts w:ascii="Arial" w:cs="Arial" w:eastAsia="Arial" w:hAnsi="Arial"/>
                <w:sz w:val="18"/>
                <w:szCs w:val="18"/>
                <w:color w:val="auto"/>
                <w:w w:val="90"/>
              </w:rPr>
              <w:t>858-848-8100</w:t>
            </w:r>
          </w:p>
        </w:tc>
      </w:tr>
      <w:tr>
        <w:trPr>
          <w:trHeight w:val="230"/>
        </w:trPr>
        <w:tc>
          <w:tcPr>
            <w:tcW w:w="3420" w:type="dxa"/>
            <w:vAlign w:val="bottom"/>
          </w:tcPr>
          <w:p>
            <w:pPr>
              <w:jc w:val="center"/>
              <w:ind w:right="10"/>
              <w:spacing w:after="0"/>
              <w:rPr>
                <w:sz w:val="20"/>
                <w:szCs w:val="20"/>
                <w:color w:val="auto"/>
              </w:rPr>
            </w:pPr>
            <w:r>
              <w:rPr>
                <w:rFonts w:ascii="Arial" w:cs="Arial" w:eastAsia="Arial" w:hAnsi="Arial"/>
                <w:sz w:val="18"/>
                <w:szCs w:val="18"/>
                <w:color w:val="auto"/>
                <w:w w:val="90"/>
              </w:rPr>
              <w:t>code:</w:t>
            </w:r>
          </w:p>
        </w:tc>
        <w:tc>
          <w:tcPr>
            <w:tcW w:w="44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32"/>
        </w:trPr>
        <w:tc>
          <w:tcPr>
            <w:tcW w:w="3420" w:type="dxa"/>
            <w:vAlign w:val="bottom"/>
          </w:tcPr>
          <w:p>
            <w:pPr>
              <w:spacing w:after="0"/>
              <w:rPr>
                <w:sz w:val="24"/>
                <w:szCs w:val="24"/>
                <w:color w:val="auto"/>
              </w:rPr>
            </w:pPr>
          </w:p>
        </w:tc>
        <w:tc>
          <w:tcPr>
            <w:tcW w:w="4440" w:type="dxa"/>
            <w:vAlign w:val="bottom"/>
          </w:tcPr>
          <w:p>
            <w:pPr>
              <w:jc w:val="center"/>
              <w:ind w:right="370"/>
              <w:spacing w:after="0"/>
              <w:rPr>
                <w:sz w:val="20"/>
                <w:szCs w:val="20"/>
                <w:color w:val="auto"/>
              </w:rPr>
            </w:pPr>
            <w:r>
              <w:rPr>
                <w:rFonts w:ascii="Arial" w:cs="Arial" w:eastAsia="Arial" w:hAnsi="Arial"/>
                <w:sz w:val="18"/>
                <w:szCs w:val="18"/>
                <w:color w:val="auto"/>
                <w:w w:val="94"/>
              </w:rPr>
              <w:t>Not Applicable</w:t>
            </w:r>
          </w:p>
        </w:tc>
        <w:tc>
          <w:tcPr>
            <w:tcW w:w="19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0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391"/>
        </w:trPr>
        <w:tc>
          <w:tcPr>
            <w:tcW w:w="1240" w:type="dxa"/>
            <w:vAlign w:val="bottom"/>
          </w:tcPr>
          <w:p>
            <w:pPr>
              <w:spacing w:after="0"/>
              <w:rPr>
                <w:sz w:val="24"/>
                <w:szCs w:val="24"/>
                <w:color w:val="auto"/>
              </w:rPr>
            </w:pPr>
          </w:p>
        </w:tc>
        <w:tc>
          <w:tcPr>
            <w:tcW w:w="3380" w:type="dxa"/>
            <w:vAlign w:val="bottom"/>
            <w:gridSpan w:val="2"/>
          </w:tcPr>
          <w:p>
            <w:pPr>
              <w:jc w:val="center"/>
              <w:ind w:right="2020"/>
              <w:spacing w:after="0"/>
              <w:rPr>
                <w:sz w:val="20"/>
                <w:szCs w:val="20"/>
                <w:color w:val="auto"/>
              </w:rPr>
            </w:pPr>
            <w:r>
              <w:rPr>
                <w:rFonts w:ascii="Arial" w:cs="Arial" w:eastAsia="Arial" w:hAnsi="Arial"/>
                <w:sz w:val="18"/>
                <w:szCs w:val="18"/>
                <w:color w:val="auto"/>
                <w:w w:val="90"/>
              </w:rPr>
              <w:t>Title of Each Class</w:t>
            </w:r>
          </w:p>
        </w:tc>
        <w:tc>
          <w:tcPr>
            <w:tcW w:w="2180" w:type="dxa"/>
            <w:vAlign w:val="bottom"/>
            <w:gridSpan w:val="2"/>
          </w:tcPr>
          <w:p>
            <w:pPr>
              <w:jc w:val="center"/>
              <w:ind w:right="820"/>
              <w:spacing w:after="0"/>
              <w:rPr>
                <w:sz w:val="20"/>
                <w:szCs w:val="20"/>
                <w:color w:val="auto"/>
              </w:rPr>
            </w:pPr>
            <w:r>
              <w:rPr>
                <w:rFonts w:ascii="Arial" w:cs="Arial" w:eastAsia="Arial" w:hAnsi="Arial"/>
                <w:sz w:val="18"/>
                <w:szCs w:val="18"/>
                <w:color w:val="auto"/>
                <w:w w:val="92"/>
              </w:rPr>
              <w:t>Trading Symbol(s)</w:t>
            </w:r>
          </w:p>
        </w:tc>
        <w:tc>
          <w:tcPr>
            <w:tcW w:w="3620" w:type="dxa"/>
            <w:vAlign w:val="bottom"/>
            <w:gridSpan w:val="2"/>
          </w:tcPr>
          <w:p>
            <w:pPr>
              <w:jc w:val="center"/>
              <w:ind w:left="710"/>
              <w:spacing w:after="0"/>
              <w:rPr>
                <w:sz w:val="20"/>
                <w:szCs w:val="20"/>
                <w:color w:val="auto"/>
              </w:rPr>
            </w:pPr>
            <w:r>
              <w:rPr>
                <w:rFonts w:ascii="Arial" w:cs="Arial" w:eastAsia="Arial" w:hAnsi="Arial"/>
                <w:sz w:val="18"/>
                <w:szCs w:val="18"/>
                <w:color w:val="auto"/>
                <w:w w:val="90"/>
              </w:rPr>
              <w:t>Name of exchange on which registered</w:t>
            </w:r>
          </w:p>
        </w:tc>
      </w:tr>
      <w:tr>
        <w:trPr>
          <w:trHeight w:val="20"/>
        </w:trPr>
        <w:tc>
          <w:tcPr>
            <w:tcW w:w="1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r>
      <w:tr>
        <w:trPr>
          <w:trHeight w:val="237"/>
        </w:trPr>
        <w:tc>
          <w:tcPr>
            <w:tcW w:w="4620" w:type="dxa"/>
            <w:vAlign w:val="bottom"/>
            <w:gridSpan w:val="3"/>
          </w:tcPr>
          <w:p>
            <w:pPr>
              <w:jc w:val="center"/>
              <w:ind w:right="780"/>
              <w:spacing w:after="0"/>
              <w:rPr>
                <w:sz w:val="20"/>
                <w:szCs w:val="20"/>
                <w:color w:val="auto"/>
              </w:rPr>
            </w:pPr>
            <w:r>
              <w:rPr>
                <w:rFonts w:ascii="Arial" w:cs="Arial" w:eastAsia="Arial" w:hAnsi="Arial"/>
                <w:sz w:val="18"/>
                <w:szCs w:val="18"/>
                <w:color w:val="auto"/>
                <w:w w:val="90"/>
              </w:rPr>
              <w:t>Common Stock, $1.00 par value</w:t>
            </w:r>
          </w:p>
        </w:tc>
        <w:tc>
          <w:tcPr>
            <w:tcW w:w="2180" w:type="dxa"/>
            <w:vAlign w:val="bottom"/>
            <w:gridSpan w:val="2"/>
          </w:tcPr>
          <w:p>
            <w:pPr>
              <w:jc w:val="center"/>
              <w:ind w:right="800"/>
              <w:spacing w:after="0"/>
              <w:rPr>
                <w:sz w:val="20"/>
                <w:szCs w:val="20"/>
                <w:color w:val="auto"/>
              </w:rPr>
            </w:pPr>
            <w:r>
              <w:rPr>
                <w:rFonts w:ascii="Arial" w:cs="Arial" w:eastAsia="Arial" w:hAnsi="Arial"/>
                <w:sz w:val="18"/>
                <w:szCs w:val="18"/>
                <w:color w:val="auto"/>
                <w:w w:val="94"/>
              </w:rPr>
              <w:t>COHU</w:t>
            </w:r>
          </w:p>
        </w:tc>
        <w:tc>
          <w:tcPr>
            <w:tcW w:w="80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665"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On May 10, 2021, Cohu, Inc. (“Cohu”) issued a press release announcing the entering into of a Share and Asset Purchase Agreement (the “Purchase Agreement”), dated May 10, 2021, by and among Cohu and certain direct and indirect subsidiaries of Cohu and Mycronic AB and certain of its direct and indirect subsidiaries (“Mycronic”) pursuant to which Cohu has agreed to sell its Printed Circuit Board Test Group business to Mycronic. A copy of the press release is attached hereto as Exhibit 99.1 and is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r>
              <w:rPr>
                <w:rFonts w:ascii="Arial" w:cs="Arial" w:eastAsia="Arial" w:hAnsi="Arial"/>
                <w:sz w:val="18"/>
                <w:szCs w:val="18"/>
                <w:b w:val="1"/>
                <w:bCs w:val="1"/>
                <w:color w:val="auto"/>
              </w:rPr>
              <w:t>(d) Exhibits.</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6420" w:type="dxa"/>
            <w:vAlign w:val="bottom"/>
          </w:tcPr>
          <w:p>
            <w:pPr>
              <w:spacing w:after="0"/>
              <w:rPr>
                <w:sz w:val="20"/>
                <w:szCs w:val="20"/>
                <w:color w:val="auto"/>
              </w:rPr>
            </w:pPr>
          </w:p>
        </w:tc>
      </w:tr>
      <w:tr>
        <w:trPr>
          <w:trHeight w:val="414"/>
        </w:trPr>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420" w:type="dxa"/>
            <w:vAlign w:val="bottom"/>
          </w:tcPr>
          <w:p>
            <w:pPr>
              <w:spacing w:after="0"/>
              <w:rPr>
                <w:sz w:val="24"/>
                <w:szCs w:val="24"/>
                <w:color w:val="auto"/>
              </w:rPr>
            </w:pPr>
          </w:p>
        </w:tc>
      </w:tr>
      <w:tr>
        <w:trPr>
          <w:trHeight w:val="234"/>
        </w:trPr>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6420" w:type="dxa"/>
            <w:vAlign w:val="bottom"/>
            <w:tcBorders>
              <w:bottom w:val="single" w:sz="8" w:color="auto"/>
            </w:tcBorders>
          </w:tcPr>
          <w:p>
            <w:pPr>
              <w:ind w:left="152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860" w:type="dxa"/>
            <w:vAlign w:val="bottom"/>
          </w:tcPr>
          <w:p>
            <w:pPr>
              <w:jc w:val="right"/>
              <w:ind w:right="670"/>
              <w:spacing w:after="0" w:line="169" w:lineRule="exact"/>
              <w:rPr>
                <w:sz w:val="20"/>
                <w:szCs w:val="20"/>
                <w:color w:val="auto"/>
              </w:rPr>
            </w:pPr>
            <w:r>
              <w:rPr>
                <w:rFonts w:ascii="Arial" w:cs="Arial" w:eastAsia="Arial" w:hAnsi="Arial"/>
                <w:sz w:val="18"/>
                <w:szCs w:val="18"/>
                <w:color w:val="auto"/>
              </w:rPr>
              <w:t>99.1</w:t>
            </w:r>
          </w:p>
        </w:tc>
        <w:tc>
          <w:tcPr>
            <w:tcW w:w="4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460" w:type="dxa"/>
            <w:vAlign w:val="bottom"/>
            <w:tcBorders>
              <w:bottom w:val="single" w:sz="8" w:color="0000EE"/>
            </w:tcBorders>
          </w:tcPr>
          <w:p>
            <w:pPr>
              <w:spacing w:after="0" w:line="169"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Press Release dated May 10, 2021</w:t>
              </w:r>
            </w:hyperlink>
          </w:p>
        </w:tc>
        <w:tc>
          <w:tcPr>
            <w:tcW w:w="6420" w:type="dxa"/>
            <w:vAlign w:val="bottom"/>
          </w:tcPr>
          <w:p>
            <w:pPr>
              <w:spacing w:after="0"/>
              <w:rPr>
                <w:sz w:val="14"/>
                <w:szCs w:val="14"/>
                <w:color w:val="auto"/>
              </w:rPr>
            </w:pPr>
          </w:p>
        </w:tc>
      </w:tr>
      <w:tr>
        <w:trPr>
          <w:trHeight w:val="237"/>
        </w:trPr>
        <w:tc>
          <w:tcPr>
            <w:tcW w:w="1860" w:type="dxa"/>
            <w:vAlign w:val="bottom"/>
          </w:tcPr>
          <w:p>
            <w:pPr>
              <w:jc w:val="right"/>
              <w:ind w:right="710"/>
              <w:spacing w:after="0"/>
              <w:rPr>
                <w:sz w:val="20"/>
                <w:szCs w:val="20"/>
                <w:color w:val="auto"/>
              </w:rPr>
            </w:pPr>
            <w:r>
              <w:rPr>
                <w:rFonts w:ascii="Arial" w:cs="Arial" w:eastAsia="Arial" w:hAnsi="Arial"/>
                <w:sz w:val="18"/>
                <w:szCs w:val="18"/>
                <w:color w:val="auto"/>
              </w:rPr>
              <w:t>104</w:t>
            </w:r>
          </w:p>
        </w:tc>
        <w:tc>
          <w:tcPr>
            <w:tcW w:w="480" w:type="dxa"/>
            <w:vAlign w:val="bottom"/>
          </w:tcPr>
          <w:p>
            <w:pPr>
              <w:spacing w:after="0"/>
              <w:rPr>
                <w:sz w:val="20"/>
                <w:szCs w:val="20"/>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74"/>
        </w:trPr>
        <w:tc>
          <w:tcPr>
            <w:tcW w:w="18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spacing w:after="0"/>
        <w:tabs>
          <w:tab w:leader="none" w:pos="5560" w:val="left"/>
          <w:tab w:leader="none" w:pos="6400" w:val="left"/>
        </w:tabs>
        <w:rPr>
          <w:sz w:val="20"/>
          <w:szCs w:val="20"/>
          <w:color w:val="auto"/>
        </w:rPr>
      </w:pPr>
      <w:r>
        <w:rPr>
          <w:rFonts w:ascii="Arial" w:cs="Arial" w:eastAsia="Arial" w:hAnsi="Arial"/>
          <w:sz w:val="18"/>
          <w:szCs w:val="18"/>
          <w:i w:val="1"/>
          <w:iCs w:val="1"/>
          <w:color w:val="auto"/>
        </w:rPr>
        <w:t>May 10, 2021</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14605</wp:posOffset>
            </wp:positionV>
            <wp:extent cx="24688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19"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Name: Jeffrey D. Jones</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Title: VP Finance and Chief Financial Officer</w:t>
      </w:r>
    </w:p>
    <w:p>
      <w:pPr>
        <w:sectPr>
          <w:pgSz w:w="11900" w:h="16838" w:orient="portrait"/>
          <w:cols w:equalWidth="0" w:num="1">
            <w:col w:w="11200"/>
          </w:cols>
          <w:pgMar w:left="320" w:top="580"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154305</wp:posOffset>
            </wp:positionV>
            <wp:extent cx="3197225" cy="1491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97225"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Announces Divestment of its Printed Circuit Board Test Business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POWAY, Calif.--(BUSINESS WIRE)--May 10, 2021-- Cohu, Inc. (NASDAQ: COHU), a global leader in back-end semiconductor equipment and services,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today announced that it has entered into a definitive agreement with Mycronic AB (MYCR.ST) (“Mycronic”), a Swedish high-tech company engaged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 development, manufacture and marketing of production equipment, under which Mycronic will acquire atg Luther &amp; Maelzer GmbH and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affiliated entities and assets related to Cohu’s Printed Circuit Board Test Group (“PTG”) business. The purchase price of approximately $125 million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paid in cash at close, subject to adjustment for certain closing accounts. Cohu intends to use the expected net cash proceeds of approximately $95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million, after estimated transaction costs and taxes, to repay outstanding principal on its term loan facility. No regulatory approvals are expected to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required and the transaction is expected to be completed by the end of June 2021, subject to customary closing conditions.</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PTG business reported sales for the last twelve months, as of March 27, 2021, of $52.9 million. Cohu does not expect to update its guidance for the second quarter of 2021 ending June 26, 2021.</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Luis A. Müller, Cohu’s President and Chief Executive Officer, stated: “PTG has been a valued part of our business since joining Cohu with the Xcerra acquisition in 2018, and I want to thank all employees for their contributions to the company. Combining forces with Mycronic creates additional scale in the PCB market segment and greater opportunities for PTG’s success in the future, while enabling Cohu to focus on semiconductor equipment and services businesses.”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Certain statements contained in this release may be considered forward-looking statements within the meaning of the U.S. Private Securities Litigation Reform Act of 1995, including statements regarding the divestment of PTG, net cash proceeds, and expected closing date.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the satisfaction of closing conditions or other covenants, counter-party performance, unforeseen delays, unknown regulatory matters, tax liabilities or other factors beyond our knowledge or control. These and other risks and uncertainties are discussed more fully in Cohu’s filings with the SEC, including the most recently filed Form 10-K and Form 10-Q, and the other filings made by Cohu with the SEC from time to time, which are available via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Except as required by applicable law, Cohu does not undertake any obligation to revise or update any forward-looking statement, or to make any other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Cohu:</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Cohu (NASDAQ: COHU) is a global leader in back-end semiconductor equipment and services, delivering leading-edge solutions for the manufacturing of semiconductors and printed circuit boards. Additional information can be found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 -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858-848-8106</w:t>
      </w:r>
    </w:p>
    <w:sectPr>
      <w:pgSz w:w="11900" w:h="16838" w:orient="portrait"/>
      <w:cols w:equalWidth="0" w:num="1">
        <w:col w:w="11220"/>
      </w:cols>
      <w:pgMar w:left="320" w:top="58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2021-05-10T05:33:59Z</dcterms:created>
  <dcterms:modified xsi:type="dcterms:W3CDTF">2021-05-10T05:33:59Z</dcterms:modified>
</cp:coreProperties>
</file>