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Registration No.____________________</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99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COHU,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120"/>
        <w:spacing w:after="0" w:line="238" w:lineRule="auto"/>
        <w:rPr>
          <w:sz w:val="20"/>
          <w:szCs w:val="20"/>
          <w:color w:val="auto"/>
        </w:rPr>
      </w:pPr>
      <w:r>
        <w:rPr>
          <w:rFonts w:ascii="Courier New" w:cs="Courier New" w:eastAsia="Courier New" w:hAnsi="Courier New"/>
          <w:sz w:val="18"/>
          <w:szCs w:val="18"/>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4440" w:space="720"/>
            <w:col w:w="5059"/>
          </w:cols>
          <w:pgMar w:left="240" w:top="244" w:right="1440" w:bottom="1440" w:gutter="0" w:footer="0" w:header="0"/>
          <w:type w:val="continuous"/>
        </w:sect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5755 KEARNY VILLA ROAD</w:t>
      </w:r>
    </w:p>
    <w:p>
      <w:pPr>
        <w:ind w:left="31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SAN DIEGO, CA</w:t>
        <w:tab/>
        <w:t>92123</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COHU,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1994 STOCK OPTION PLAN</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CHARLES A. SCHWAN</w:t>
      </w:r>
    </w:p>
    <w:p>
      <w:pPr>
        <w:ind w:left="2320"/>
        <w:spacing w:after="0" w:line="238" w:lineRule="auto"/>
        <w:rPr>
          <w:sz w:val="20"/>
          <w:szCs w:val="20"/>
          <w:color w:val="auto"/>
        </w:rPr>
      </w:pPr>
      <w:r>
        <w:rPr>
          <w:rFonts w:ascii="Courier New" w:cs="Courier New" w:eastAsia="Courier New" w:hAnsi="Courier New"/>
          <w:sz w:val="18"/>
          <w:szCs w:val="18"/>
          <w:color w:val="auto"/>
        </w:rPr>
        <w:t>VICE PRESIDENT - FINANCE, SECRETARY</w:t>
      </w:r>
    </w:p>
    <w:p>
      <w:pPr>
        <w:ind w:left="3580"/>
        <w:spacing w:after="0"/>
        <w:rPr>
          <w:sz w:val="20"/>
          <w:szCs w:val="20"/>
          <w:color w:val="auto"/>
        </w:rPr>
      </w:pPr>
      <w:r>
        <w:rPr>
          <w:rFonts w:ascii="Courier New" w:cs="Courier New" w:eastAsia="Courier New" w:hAnsi="Courier New"/>
          <w:sz w:val="18"/>
          <w:szCs w:val="18"/>
          <w:color w:val="auto"/>
        </w:rPr>
        <w:t>COHU, INC.</w:t>
      </w:r>
    </w:p>
    <w:p>
      <w:pPr>
        <w:ind w:left="2960"/>
        <w:spacing w:after="0" w:line="237" w:lineRule="auto"/>
        <w:rPr>
          <w:sz w:val="20"/>
          <w:szCs w:val="20"/>
          <w:color w:val="auto"/>
        </w:rPr>
      </w:pPr>
      <w:r>
        <w:rPr>
          <w:rFonts w:ascii="Courier New" w:cs="Courier New" w:eastAsia="Courier New" w:hAnsi="Courier New"/>
          <w:sz w:val="18"/>
          <w:szCs w:val="18"/>
          <w:color w:val="auto"/>
        </w:rPr>
        <w:t>5755 KEARNY VILLA ROAD</w:t>
      </w:r>
    </w:p>
    <w:p>
      <w:pPr>
        <w:ind w:left="3160"/>
        <w:spacing w:after="0" w:line="238" w:lineRule="auto"/>
        <w:rPr>
          <w:sz w:val="20"/>
          <w:szCs w:val="20"/>
          <w:color w:val="auto"/>
        </w:rPr>
      </w:pPr>
      <w:r>
        <w:rPr>
          <w:rFonts w:ascii="Courier New" w:cs="Courier New" w:eastAsia="Courier New" w:hAnsi="Courier New"/>
          <w:sz w:val="18"/>
          <w:szCs w:val="18"/>
          <w:color w:val="auto"/>
        </w:rPr>
        <w:t>SAN DIEGO, CA 92123</w:t>
      </w:r>
    </w:p>
    <w:p>
      <w:pPr>
        <w:ind w:left="2120"/>
        <w:spacing w:after="0"/>
        <w:rPr>
          <w:sz w:val="20"/>
          <w:szCs w:val="20"/>
          <w:color w:val="auto"/>
        </w:rPr>
      </w:pPr>
      <w:r>
        <w:rPr>
          <w:rFonts w:ascii="Courier New" w:cs="Courier New" w:eastAsia="Courier New" w:hAnsi="Courier New"/>
          <w:sz w:val="18"/>
          <w:szCs w:val="18"/>
          <w:color w:val="auto"/>
        </w:rPr>
        <w:t>--------------------------------------</w:t>
      </w:r>
    </w:p>
    <w:p>
      <w:pPr>
        <w:ind w:left="21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Telephone number, including area code, of agent for service:</w:t>
      </w:r>
      <w:r>
        <w:rPr>
          <w:sz w:val="20"/>
          <w:szCs w:val="20"/>
          <w:color w:val="auto"/>
        </w:rPr>
        <w:tab/>
      </w:r>
      <w:r>
        <w:rPr>
          <w:rFonts w:ascii="Courier New" w:cs="Courier New" w:eastAsia="Courier New" w:hAnsi="Courier New"/>
          <w:sz w:val="16"/>
          <w:szCs w:val="16"/>
          <w:color w:val="auto"/>
        </w:rPr>
        <w:t>619/235-5000</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registration statement, including all exhibits and attachments, contains 14 pages. The exhibit index may be found on page 9 of the consecutively numbered pages of the registration statement.</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registration statement shall hereafter become effective in accordance with Rule 462 promulgated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60" w:type="dxa"/>
            <w:vAlign w:val="bottom"/>
          </w:tcPr>
          <w:p>
            <w:pPr>
              <w:ind w:left="780"/>
              <w:spacing w:after="0"/>
              <w:rPr>
                <w:sz w:val="20"/>
                <w:szCs w:val="20"/>
                <w:color w:val="auto"/>
              </w:rPr>
            </w:pPr>
            <w:r>
              <w:rPr>
                <w:rFonts w:ascii="Courier New" w:cs="Courier New" w:eastAsia="Courier New" w:hAnsi="Courier New"/>
                <w:sz w:val="18"/>
                <w:szCs w:val="18"/>
                <w:color w:val="auto"/>
              </w:rPr>
              <w:t>Proposed</w:t>
            </w:r>
          </w:p>
        </w:tc>
        <w:tc>
          <w:tcPr>
            <w:tcW w:w="2280" w:type="dxa"/>
            <w:vAlign w:val="bottom"/>
          </w:tcPr>
          <w:p>
            <w:pPr>
              <w:ind w:left="740"/>
              <w:spacing w:after="0"/>
              <w:rPr>
                <w:sz w:val="20"/>
                <w:szCs w:val="20"/>
                <w:color w:val="auto"/>
              </w:rPr>
            </w:pPr>
            <w:r>
              <w:rPr>
                <w:rFonts w:ascii="Courier New" w:cs="Courier New" w:eastAsia="Courier New" w:hAnsi="Courier New"/>
                <w:sz w:val="18"/>
                <w:szCs w:val="18"/>
                <w:color w:val="auto"/>
              </w:rPr>
              <w:t>Proposed</w:t>
            </w:r>
          </w:p>
        </w:tc>
        <w:tc>
          <w:tcPr>
            <w:tcW w:w="18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2700" w:type="dxa"/>
            <w:vAlign w:val="bottom"/>
          </w:tcPr>
          <w:p>
            <w:pPr>
              <w:spacing w:after="0"/>
              <w:rPr>
                <w:sz w:val="17"/>
                <w:szCs w:val="17"/>
                <w:color w:val="auto"/>
              </w:rPr>
            </w:pP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maximum</w:t>
            </w:r>
          </w:p>
        </w:tc>
        <w:tc>
          <w:tcPr>
            <w:tcW w:w="2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maximum</w:t>
            </w:r>
          </w:p>
        </w:tc>
        <w:tc>
          <w:tcPr>
            <w:tcW w:w="18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7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Amount</w:t>
            </w: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offering</w:t>
            </w:r>
          </w:p>
        </w:tc>
        <w:tc>
          <w:tcPr>
            <w:tcW w:w="2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aggregate</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7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to be</w:t>
            </w: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price per</w:t>
            </w:r>
          </w:p>
        </w:tc>
        <w:tc>
          <w:tcPr>
            <w:tcW w:w="2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offering</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7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registered</w:t>
            </w:r>
          </w:p>
        </w:tc>
        <w:tc>
          <w:tcPr>
            <w:tcW w:w="24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share(1)</w:t>
            </w:r>
          </w:p>
        </w:tc>
        <w:tc>
          <w:tcPr>
            <w:tcW w:w="2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price(1)</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1994 Stock Option Plan</w:t>
            </w:r>
          </w:p>
        </w:tc>
        <w:tc>
          <w:tcPr>
            <w:tcW w:w="1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94,000</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$22.63</w:t>
            </w:r>
          </w:p>
        </w:tc>
        <w:tc>
          <w:tcPr>
            <w:tcW w:w="2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$2,127,220</w:t>
            </w:r>
          </w:p>
        </w:tc>
        <w:tc>
          <w:tcPr>
            <w:tcW w:w="152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 $1.00</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325,000</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$8.06</w:t>
            </w:r>
          </w:p>
        </w:tc>
        <w:tc>
          <w:tcPr>
            <w:tcW w:w="2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$2,619,500</w:t>
            </w:r>
          </w:p>
        </w:tc>
        <w:tc>
          <w:tcPr>
            <w:tcW w:w="15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6,000</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$9.69</w:t>
            </w:r>
          </w:p>
        </w:tc>
        <w:tc>
          <w:tcPr>
            <w:tcW w:w="2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$58,140</w:t>
            </w:r>
          </w:p>
        </w:tc>
        <w:tc>
          <w:tcPr>
            <w:tcW w:w="15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15,000</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$19.50</w:t>
            </w:r>
          </w:p>
        </w:tc>
        <w:tc>
          <w:tcPr>
            <w:tcW w:w="2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$292,500</w:t>
            </w:r>
          </w:p>
        </w:tc>
        <w:tc>
          <w:tcPr>
            <w:tcW w:w="152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8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440,000</w:t>
            </w:r>
          </w:p>
        </w:tc>
        <w:tc>
          <w:tcPr>
            <w:tcW w:w="2360" w:type="dxa"/>
            <w:vAlign w:val="bottom"/>
          </w:tcPr>
          <w:p>
            <w:pPr>
              <w:spacing w:after="0"/>
              <w:rPr>
                <w:sz w:val="24"/>
                <w:szCs w:val="24"/>
                <w:color w:val="auto"/>
              </w:rPr>
            </w:pPr>
          </w:p>
        </w:tc>
        <w:tc>
          <w:tcPr>
            <w:tcW w:w="2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$5,097,360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$1,757.71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spacing w:after="0" w:line="207" w:lineRule="exact"/>
        <w:rPr>
          <w:sz w:val="20"/>
          <w:szCs w:val="20"/>
          <w:color w:val="auto"/>
        </w:rPr>
      </w:pPr>
    </w:p>
    <w:p>
      <w:pPr>
        <w:ind w:left="640" w:right="3600" w:hanging="632"/>
        <w:spacing w:after="0" w:line="268" w:lineRule="auto"/>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Rule 457 solely for purposes of calculating the registration fee and subject to the minimum registration fee of $100 pursuant to Section 6(b) of the Securities Act of 1993, as amended.</w:t>
      </w:r>
    </w:p>
    <w:p>
      <w:pPr>
        <w:ind w:left="640" w:right="3160"/>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to shares subject to outstanding but unexercised options, the price is computed on the basis of the exercise price. As to the remaining shares, the price is based upon the average of the high and low prices of the Common Stock on June 26, 1995, as reported on the National Association of Securities Dealers Automated Quotations system.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1500"/>
          </w:cols>
          <w:pgMar w:left="240" w:top="312" w:right="15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879"/>
        <w:spacing w:after="0" w:line="238" w:lineRule="auto"/>
        <w:rPr>
          <w:sz w:val="20"/>
          <w:szCs w:val="20"/>
          <w:color w:val="auto"/>
        </w:rPr>
      </w:pPr>
      <w:r>
        <w:rPr>
          <w:rFonts w:ascii="Courier New" w:cs="Courier New" w:eastAsia="Courier New" w:hAnsi="Courier New"/>
          <w:sz w:val="18"/>
          <w:szCs w:val="18"/>
          <w:color w:val="auto"/>
        </w:rPr>
        <w:t>PART II</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1791"/>
        <w:spacing w:after="0" w:line="235" w:lineRule="auto"/>
        <w:rPr>
          <w:sz w:val="20"/>
          <w:szCs w:val="20"/>
          <w:color w:val="auto"/>
        </w:rPr>
      </w:pPr>
      <w:r>
        <w:rPr>
          <w:rFonts w:ascii="Courier New" w:cs="Courier New" w:eastAsia="Courier New" w:hAnsi="Courier New"/>
          <w:sz w:val="18"/>
          <w:szCs w:val="18"/>
          <w:color w:val="auto"/>
        </w:rPr>
        <w:t>Cohu, Inc. (the "Company") hereby incorporates by reference in this registration statement the following documents:</w:t>
      </w:r>
    </w:p>
    <w:p>
      <w:pPr>
        <w:spacing w:after="0" w:line="208" w:lineRule="exact"/>
        <w:rPr>
          <w:sz w:val="20"/>
          <w:szCs w:val="20"/>
          <w:color w:val="auto"/>
        </w:rPr>
      </w:pPr>
    </w:p>
    <w:p>
      <w:pPr>
        <w:jc w:val="both"/>
        <w:ind w:right="1999" w:firstLine="1799"/>
        <w:spacing w:after="0" w:line="237" w:lineRule="auto"/>
        <w:tabs>
          <w:tab w:leader="none" w:pos="295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filed pursuant to Sections 13(a) or 15(d) of the Securities Exchange Act of 1934, as amended (the "Exchange Act"), containing audited financial statements for the Company's latest fiscal year ended December 31, 1994.</w:t>
      </w:r>
    </w:p>
    <w:p>
      <w:pPr>
        <w:spacing w:after="0" w:line="207" w:lineRule="exact"/>
        <w:rPr>
          <w:rFonts w:ascii="Courier New" w:cs="Courier New" w:eastAsia="Courier New" w:hAnsi="Courier New"/>
          <w:sz w:val="18"/>
          <w:szCs w:val="18"/>
          <w:color w:val="auto"/>
        </w:rPr>
      </w:pPr>
    </w:p>
    <w:p>
      <w:pPr>
        <w:ind w:right="2099" w:firstLine="1799"/>
        <w:spacing w:after="0" w:line="236" w:lineRule="auto"/>
        <w:tabs>
          <w:tab w:leader="none" w:pos="295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document referred to in (a) above.</w:t>
      </w:r>
    </w:p>
    <w:p>
      <w:pPr>
        <w:spacing w:after="0" w:line="203" w:lineRule="exact"/>
        <w:rPr>
          <w:rFonts w:ascii="Courier New" w:cs="Courier New" w:eastAsia="Courier New" w:hAnsi="Courier New"/>
          <w:sz w:val="18"/>
          <w:szCs w:val="18"/>
          <w:color w:val="auto"/>
        </w:rPr>
      </w:pPr>
    </w:p>
    <w:p>
      <w:pPr>
        <w:ind w:left="2960" w:hanging="1161"/>
        <w:spacing w:after="0"/>
        <w:tabs>
          <w:tab w:leader="none" w:pos="2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contained in the Company's Registration Statement on Form 10 filed under the Exchange Act, including any amendment or report filed for the purpose of updating such description.</w:t>
      </w:r>
    </w:p>
    <w:p>
      <w:pPr>
        <w:spacing w:after="0" w:line="20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7" w:lineRule="exact"/>
        <w:rPr>
          <w:sz w:val="20"/>
          <w:szCs w:val="20"/>
          <w:color w:val="auto"/>
        </w:rPr>
      </w:pPr>
    </w:p>
    <w:p>
      <w:pPr>
        <w:ind w:right="2419" w:firstLine="1791"/>
        <w:spacing w:after="0" w:line="235" w:lineRule="auto"/>
        <w:rPr>
          <w:sz w:val="20"/>
          <w:szCs w:val="20"/>
          <w:color w:val="auto"/>
        </w:rPr>
      </w:pPr>
      <w:r>
        <w:rPr>
          <w:rFonts w:ascii="Courier New" w:cs="Courier New" w:eastAsia="Courier New" w:hAnsi="Courier New"/>
          <w:sz w:val="18"/>
          <w:szCs w:val="18"/>
          <w:color w:val="auto"/>
        </w:rPr>
        <w:t>The class of securities to be offered is registered under Section 12 of the Exchange Act.</w:t>
      </w:r>
    </w:p>
    <w:p>
      <w:pPr>
        <w:spacing w:after="0" w:line="203" w:lineRule="exact"/>
        <w:rPr>
          <w:sz w:val="20"/>
          <w:szCs w:val="20"/>
          <w:color w:val="auto"/>
        </w:rPr>
      </w:pPr>
    </w:p>
    <w:p>
      <w:pPr>
        <w:jc w:val="center"/>
        <w:ind w:right="5259"/>
        <w:spacing w:after="0"/>
        <w:tabs>
          <w:tab w:leader="none" w:pos="2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099" w:firstLine="1791"/>
        <w:spacing w:after="0" w:line="237" w:lineRule="auto"/>
        <w:rPr>
          <w:sz w:val="20"/>
          <w:szCs w:val="20"/>
          <w:color w:val="auto"/>
        </w:rPr>
      </w:pPr>
      <w:r>
        <w:rPr>
          <w:rFonts w:ascii="Courier New" w:cs="Courier New" w:eastAsia="Courier New" w:hAnsi="Courier New"/>
          <w:sz w:val="18"/>
          <w:szCs w:val="18"/>
          <w:color w:val="auto"/>
        </w:rPr>
        <w:t>The bylaws of the Company provide that any person who was or is made a party to, or is threatened to be made a party to or is involved in, any action, suit or proceeding, whether civil, criminal, administrative or investigative, by reason of the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that such person is or was a director, officer or employee of the Company or is or was serving at the request of the Company as a director, officer, or employee of another corporation or of a partnership, joint venture, trust or other enterprise, including service with respect to employee benefit plans, shall be indemnified and held harmless by the Company to the fullest extent authorized by the Delaware General Corporation Law and may be indemnified and held harmless by the Company to the fullest extent authorized by the Delaware General Corporation Law against all expenses, liability and loss (including attorneys' fees, judgments, fines, ERISA excise taxes or penalties, amounts paid or to be paid in settlement and amounts expended in seeking indemnification) reasonably incurred or suffered by such person in connection therewith. Such indemnification shall continue as to a person who has ceased to be a director, officer or employee and inure to the benefits of his or her heirs, executors and administrators.</w:t>
      </w:r>
    </w:p>
    <w:p>
      <w:pPr>
        <w:spacing w:after="0" w:line="208"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The Board of Directors is authorized to, and has entered into contracts with its directors and executive officers, and may in the future continue to do so, to provide for indemnification rights equivalent to, or if the Board of Directors approves, greater than those provided for in the corporate bylaws.</w:t>
      </w:r>
    </w:p>
    <w:p>
      <w:pPr>
        <w:spacing w:after="0" w:line="209"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Section 145 of the Delaware General Corporation Law provides that the Company may indemnify its agents, including directors, officers, and employees, against expenses (including attorneys' fees), judgements, fines, and amounts paid in settlement actually and reasonably incurred by them in connection with any proceeding other than an action by or in the right of the Company, provided such agent acted in good faith and in a manner which he or she reasonably believed to be in or not opposed to the best interests of the Company, and in the case of a criminal proceedings, had no reasonable cause to believe the conduct was unlawful. In actions by or in the right of the company, the Company may indemnify an agent for expenses actually and reasonably incurred in connection with the defense or settlement of such action if that agent acted in good faith in a manner he or she reasonably believed to be in or not opposed to the best interest of the Company. However, no indemnification shall be made for any action for which the agent was adjudged to be liable to the Company or for amounts paid in settlement to the Company unless a court determines that the agent is entitled to indemnity. To the extent that a director, officer, employee or agent of the Company has been successful on the merits or otherwise in defense of any action, suit or proceeding or in defense of any claim, issue or matter therein, he or she shall be indemnified by the Company against expenses, including attorneys' fees, actually and reasonably incurred by him or her in connection with such defense.</w:t>
      </w:r>
    </w:p>
    <w:p>
      <w:pPr>
        <w:spacing w:after="0" w:line="200" w:lineRule="exact"/>
        <w:rPr>
          <w:sz w:val="20"/>
          <w:szCs w:val="20"/>
          <w:color w:val="auto"/>
        </w:rPr>
      </w:pPr>
    </w:p>
    <w:p>
      <w:pPr>
        <w:spacing w:after="0" w:line="3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2" w:lineRule="exact"/>
        <w:rPr>
          <w:sz w:val="20"/>
          <w:szCs w:val="20"/>
          <w:color w:val="auto"/>
        </w:rPr>
      </w:pPr>
    </w:p>
    <w:p>
      <w:pPr>
        <w:ind w:left="2960" w:hanging="1161"/>
        <w:spacing w:after="0"/>
        <w:tabs>
          <w:tab w:leader="none" w:pos="2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2960" w:hanging="1161"/>
        <w:spacing w:after="0"/>
        <w:tabs>
          <w:tab w:leader="none" w:pos="2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being made, a post-effective amendment to this registration statement:</w:t>
      </w:r>
    </w:p>
    <w:p>
      <w:pPr>
        <w:spacing w:after="0" w:line="207" w:lineRule="exact"/>
        <w:rPr>
          <w:rFonts w:ascii="Courier New" w:cs="Courier New" w:eastAsia="Courier New" w:hAnsi="Courier New"/>
          <w:sz w:val="16"/>
          <w:szCs w:val="16"/>
          <w:color w:val="auto"/>
        </w:rPr>
      </w:pPr>
    </w:p>
    <w:p>
      <w:pPr>
        <w:ind w:right="1879" w:firstLine="2958"/>
        <w:spacing w:after="0" w:line="235" w:lineRule="auto"/>
        <w:tabs>
          <w:tab w:leader="none" w:pos="358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2" w:lineRule="exact"/>
        <w:rPr>
          <w:rFonts w:ascii="Courier New" w:cs="Courier New" w:eastAsia="Courier New" w:hAnsi="Courier New"/>
          <w:sz w:val="18"/>
          <w:szCs w:val="18"/>
          <w:color w:val="auto"/>
        </w:rPr>
      </w:pPr>
    </w:p>
    <w:p>
      <w:pPr>
        <w:ind w:left="3580" w:hanging="622"/>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1" w:lineRule="exact"/>
        <w:rPr>
          <w:rFonts w:ascii="Courier New" w:cs="Courier New" w:eastAsia="Courier New" w:hAnsi="Courier New"/>
          <w:sz w:val="18"/>
          <w:szCs w:val="18"/>
          <w:color w:val="auto"/>
        </w:rPr>
      </w:pPr>
    </w:p>
    <w:p>
      <w:pPr>
        <w:ind w:left="3580" w:hanging="622"/>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w:t>
      </w:r>
    </w:p>
    <w:p>
      <w:pPr>
        <w:spacing w:after="0" w:line="4"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with respect to the plan of distribution not previously disclosed in the registration statement or any material change to such information in the registration statement;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(a)(1)(i) and (a)(l)(ii)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left="2960" w:hanging="1161"/>
        <w:spacing w:after="0"/>
        <w:tabs>
          <w:tab w:leader="none" w:pos="2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6"/>
          <w:szCs w:val="16"/>
          <w:color w:val="auto"/>
        </w:rPr>
      </w:pPr>
    </w:p>
    <w:p>
      <w:pPr>
        <w:ind w:left="2960" w:hanging="1161"/>
        <w:spacing w:after="0"/>
        <w:tabs>
          <w:tab w:leader="none" w:pos="2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post-effective amendment any of the securities being registered which remain unsold at the termination of the offering.</w:t>
      </w:r>
    </w:p>
    <w:p>
      <w:pPr>
        <w:spacing w:after="0" w:line="203"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Filing incorporating subsequent Exchange Act documents by</w:t>
      </w:r>
    </w:p>
    <w:p>
      <w:pPr>
        <w:spacing w:after="0" w:line="238" w:lineRule="auto"/>
        <w:rPr>
          <w:sz w:val="20"/>
          <w:szCs w:val="20"/>
          <w:color w:val="auto"/>
        </w:rPr>
      </w:pPr>
      <w:r>
        <w:rPr>
          <w:rFonts w:ascii="Courier New" w:cs="Courier New" w:eastAsia="Courier New" w:hAnsi="Courier New"/>
          <w:sz w:val="18"/>
          <w:szCs w:val="18"/>
          <w:color w:val="auto"/>
        </w:rPr>
        <w:t>reference</w:t>
      </w:r>
    </w:p>
    <w:p>
      <w:pPr>
        <w:spacing w:after="0" w:line="207" w:lineRule="exact"/>
        <w:rPr>
          <w:sz w:val="20"/>
          <w:szCs w:val="20"/>
          <w:color w:val="auto"/>
        </w:rPr>
      </w:pPr>
    </w:p>
    <w:p>
      <w:pPr>
        <w:ind w:right="2199" w:firstLine="1791"/>
        <w:spacing w:after="0" w:line="236"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right="2619" w:firstLine="956"/>
        <w:spacing w:after="0" w:line="235" w:lineRule="auto"/>
        <w:tabs>
          <w:tab w:leader="none" w:pos="17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acceleration of effective date or filing of registration statement on Form S-8</w:t>
      </w:r>
    </w:p>
    <w:p>
      <w:pPr>
        <w:spacing w:after="0" w:line="208" w:lineRule="exact"/>
        <w:rPr>
          <w:sz w:val="20"/>
          <w:szCs w:val="20"/>
          <w:color w:val="auto"/>
        </w:rPr>
      </w:pPr>
    </w:p>
    <w:p>
      <w:pPr>
        <w:ind w:right="1879" w:firstLine="179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87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29, 1995.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tabs>
          <w:tab w:leader="none" w:pos="4720" w:val="left"/>
        </w:tabs>
        <w:rPr>
          <w:sz w:val="20"/>
          <w:szCs w:val="20"/>
          <w:color w:val="auto"/>
        </w:rPr>
      </w:pPr>
      <w:r>
        <w:rPr>
          <w:rFonts w:ascii="Courier New" w:cs="Courier New" w:eastAsia="Courier New" w:hAnsi="Courier New"/>
          <w:sz w:val="18"/>
          <w:szCs w:val="18"/>
          <w:color w:val="auto"/>
        </w:rPr>
        <w:t>By:</w:t>
        <w:tab/>
        <w:t>/s/ CHARLES A. SCHWAN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CHARLES A. SCHWAN</w:t>
      </w:r>
    </w:p>
    <w:p>
      <w:pPr>
        <w:ind w:left="4740"/>
        <w:spacing w:after="0" w:line="238" w:lineRule="auto"/>
        <w:rPr>
          <w:sz w:val="20"/>
          <w:szCs w:val="20"/>
          <w:color w:val="auto"/>
        </w:rPr>
      </w:pPr>
      <w:r>
        <w:rPr>
          <w:rFonts w:ascii="Courier New" w:cs="Courier New" w:eastAsia="Courier New" w:hAnsi="Courier New"/>
          <w:sz w:val="18"/>
          <w:szCs w:val="18"/>
          <w:color w:val="auto"/>
        </w:rPr>
        <w:t>Vice President-Finance and</w:t>
      </w:r>
    </w:p>
    <w:p>
      <w:pPr>
        <w:ind w:left="47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officers and directors of Cohu, Inc. whose signatures appear below, hereby constitute and appoint J.W. Barnes and Charles A. Schwan, and each of them, their true and lawful attorneys and agents, with full power of substitution, each with power to act alone, to sign and execute on behalf of the undersigned any amendment or amendments to this registration statement on Form S-8, and each of the undersigned does hereby ratify and confirm all that each of said attorney and agent, or their or his substitutes, shall do or cause to be done by virtue hereof.</w:t>
      </w:r>
    </w:p>
    <w:p>
      <w:pPr>
        <w:spacing w:after="0" w:line="212"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indicated on June 29, 1995.</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J.W.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 BARNES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1159"/>
        <w:spacing w:after="0" w:line="235" w:lineRule="auto"/>
        <w:rPr>
          <w:sz w:val="20"/>
          <w:szCs w:val="20"/>
          <w:color w:val="auto"/>
        </w:rPr>
      </w:pPr>
      <w:r>
        <w:rPr>
          <w:rFonts w:ascii="Courier New" w:cs="Courier New" w:eastAsia="Courier New" w:hAnsi="Courier New"/>
          <w:sz w:val="18"/>
          <w:szCs w:val="18"/>
          <w:color w:val="auto"/>
        </w:rPr>
        <w:t>President, Director and Chief Executive Officer (Principal Executive Officer)</w:t>
      </w:r>
    </w:p>
    <w:p>
      <w:pPr>
        <w:spacing w:after="0" w:line="200" w:lineRule="exact"/>
        <w:rPr>
          <w:sz w:val="20"/>
          <w:szCs w:val="20"/>
          <w:color w:val="auto"/>
        </w:rPr>
      </w:pPr>
    </w:p>
    <w:p>
      <w:pPr>
        <w:sectPr>
          <w:pgSz w:w="11900" w:h="16838" w:orient="portrait"/>
          <w:cols w:equalWidth="0" w:num="2">
            <w:col w:w="3480" w:space="640"/>
            <w:col w:w="6099"/>
          </w:cols>
          <w:pgMar w:left="240" w:top="31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18"/>
          <w:szCs w:val="18"/>
          <w:color w:val="auto"/>
        </w:rPr>
        <w:t>Vice President-Finance, Secretary, Chief Accounting Officer and Director (Principal Financial and Accounting Officer)</w:t>
      </w:r>
    </w:p>
    <w:p>
      <w:pPr>
        <w:spacing w:after="0" w:line="1"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WILLIAM S. IVANS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S. IVANS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Chairman of the Board</w:t>
      </w:r>
    </w:p>
    <w:p>
      <w:pPr>
        <w:spacing w:after="0" w:line="216"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GENE E. LEARY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 E. LEARY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W. DAVIS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W. DAVIS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HARRY L. CASARI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HARRY L. CASARI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ind w:left="348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60" w:right="1600"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Certificate of Incorporation of the Company is incorporated by reference to Exhibit 3 to the Company's 1981 Form 10-K filed with the Securities and Exchange Commission on April 2, 1982</w:t>
      </w:r>
    </w:p>
    <w:p>
      <w:pPr>
        <w:spacing w:after="0" w:line="207" w:lineRule="exact"/>
        <w:rPr>
          <w:sz w:val="20"/>
          <w:szCs w:val="20"/>
          <w:color w:val="auto"/>
        </w:rPr>
      </w:pPr>
    </w:p>
    <w:p>
      <w:pPr>
        <w:ind w:left="860" w:right="1600"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The Amendments of the Certificate of Incorporation of the Company are incorporated by reference to Exhibit 4.2 to the Registration Statement on Form S-8 filed with the Securities and Exchange Commission on October 28, 1994 (File No. 33-85742)</w:t>
      </w:r>
    </w:p>
    <w:p>
      <w:pPr>
        <w:spacing w:after="0" w:line="209" w:lineRule="exact"/>
        <w:rPr>
          <w:sz w:val="20"/>
          <w:szCs w:val="20"/>
          <w:color w:val="auto"/>
        </w:rPr>
      </w:pPr>
    </w:p>
    <w:p>
      <w:pPr>
        <w:ind w:left="860" w:right="1700" w:hanging="842"/>
        <w:spacing w:after="0" w:line="275" w:lineRule="auto"/>
        <w:tabs>
          <w:tab w:leader="none" w:pos="8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The Bylaws of the Company, as amended, are incorporated by reference to Exhibit 4.3 to the Registration Statement on Form S-8 filed with the Securities and Exchange Commission on October 28, 1994 (File No. 33-85742)</w:t>
      </w:r>
    </w:p>
    <w:p>
      <w:pPr>
        <w:spacing w:after="0" w:line="17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 legality</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Counsel (included in Exhibit 5)</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Independent Auditors</w:t>
      </w:r>
    </w:p>
    <w:p>
      <w:pPr>
        <w:spacing w:after="0" w:line="207" w:lineRule="exact"/>
        <w:rPr>
          <w:sz w:val="20"/>
          <w:szCs w:val="20"/>
          <w:color w:val="auto"/>
        </w:rPr>
      </w:pPr>
    </w:p>
    <w:p>
      <w:pPr>
        <w:ind w:left="860" w:right="2120" w:hanging="852"/>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in signature pages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660" w:space="720"/>
            <w:col w:w="1380"/>
          </w:cols>
          <w:pgMar w:left="240" w:top="312" w:right="89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8"/>
          <w:szCs w:val="18"/>
          <w:color w:val="auto"/>
        </w:rPr>
        <w:t>OPINION RE LEGALITY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Gray Cary Ware &amp; Freidenrich</w:t>
      </w:r>
    </w:p>
    <w:p>
      <w:pPr>
        <w:spacing w:after="0"/>
        <w:rPr>
          <w:sz w:val="20"/>
          <w:szCs w:val="20"/>
          <w:color w:val="auto"/>
        </w:rPr>
      </w:pPr>
      <w:r>
        <w:rPr>
          <w:rFonts w:ascii="Courier New" w:cs="Courier New" w:eastAsia="Courier New" w:hAnsi="Courier New"/>
          <w:sz w:val="18"/>
          <w:szCs w:val="18"/>
          <w:color w:val="auto"/>
        </w:rPr>
        <w:t>ATTORNEYS AT LAW</w:t>
      </w:r>
    </w:p>
    <w:p>
      <w:pPr>
        <w:spacing w:after="0" w:line="237" w:lineRule="auto"/>
        <w:rPr>
          <w:sz w:val="20"/>
          <w:szCs w:val="20"/>
          <w:color w:val="auto"/>
        </w:rPr>
      </w:pPr>
      <w:r>
        <w:rPr>
          <w:rFonts w:ascii="Courier New" w:cs="Courier New" w:eastAsia="Courier New" w:hAnsi="Courier New"/>
          <w:sz w:val="18"/>
          <w:szCs w:val="18"/>
          <w:color w:val="auto"/>
        </w:rPr>
        <w:t>400 HAMILTON AVENUE</w:t>
      </w:r>
    </w:p>
    <w:p>
      <w:pPr>
        <w:spacing w:after="0" w:line="238" w:lineRule="auto"/>
        <w:rPr>
          <w:sz w:val="20"/>
          <w:szCs w:val="20"/>
          <w:color w:val="auto"/>
        </w:rPr>
      </w:pPr>
      <w:r>
        <w:rPr>
          <w:rFonts w:ascii="Courier New" w:cs="Courier New" w:eastAsia="Courier New" w:hAnsi="Courier New"/>
          <w:sz w:val="18"/>
          <w:szCs w:val="18"/>
          <w:color w:val="auto"/>
        </w:rPr>
        <w:t>PALO ALTO, CA 94301-1825</w:t>
      </w:r>
    </w:p>
    <w:p>
      <w:pPr>
        <w:spacing w:after="0"/>
        <w:rPr>
          <w:sz w:val="20"/>
          <w:szCs w:val="20"/>
          <w:color w:val="auto"/>
        </w:rPr>
      </w:pPr>
      <w:r>
        <w:rPr>
          <w:rFonts w:ascii="Courier New" w:cs="Courier New" w:eastAsia="Courier New" w:hAnsi="Courier New"/>
          <w:sz w:val="18"/>
          <w:szCs w:val="18"/>
          <w:color w:val="auto"/>
        </w:rPr>
        <w:t>TEL (415) 328-6561</w:t>
      </w:r>
    </w:p>
    <w:p>
      <w:pPr>
        <w:spacing w:after="0" w:line="237" w:lineRule="auto"/>
        <w:rPr>
          <w:sz w:val="20"/>
          <w:szCs w:val="20"/>
          <w:color w:val="auto"/>
        </w:rPr>
      </w:pPr>
      <w:r>
        <w:rPr>
          <w:rFonts w:ascii="Courier New" w:cs="Courier New" w:eastAsia="Courier New" w:hAnsi="Courier New"/>
          <w:sz w:val="18"/>
          <w:szCs w:val="18"/>
          <w:color w:val="auto"/>
        </w:rPr>
        <w:t>FAX (415) 327-3699</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OUR FILE NO.</w:t>
      </w:r>
    </w:p>
    <w:p>
      <w:pPr>
        <w:jc w:val="right"/>
        <w:ind w:right="1779"/>
        <w:spacing w:after="0" w:line="238" w:lineRule="auto"/>
        <w:rPr>
          <w:sz w:val="20"/>
          <w:szCs w:val="20"/>
          <w:color w:val="auto"/>
        </w:rPr>
      </w:pPr>
      <w:r>
        <w:rPr>
          <w:rFonts w:ascii="Courier New" w:cs="Courier New" w:eastAsia="Courier New" w:hAnsi="Courier New"/>
          <w:sz w:val="18"/>
          <w:szCs w:val="18"/>
          <w:color w:val="auto"/>
        </w:rPr>
        <w:t>8203-92001</w:t>
      </w:r>
    </w:p>
    <w:p>
      <w:pPr>
        <w:ind w:left="3480"/>
        <w:spacing w:after="0"/>
        <w:rPr>
          <w:sz w:val="20"/>
          <w:szCs w:val="20"/>
          <w:color w:val="auto"/>
        </w:rPr>
      </w:pPr>
      <w:r>
        <w:rPr>
          <w:rFonts w:ascii="Courier New" w:cs="Courier New" w:eastAsia="Courier New" w:hAnsi="Courier New"/>
          <w:sz w:val="18"/>
          <w:szCs w:val="18"/>
          <w:color w:val="auto"/>
        </w:rPr>
        <w:t>June 29,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COHU, INC.</w:t>
      </w:r>
    </w:p>
    <w:p>
      <w:pPr>
        <w:spacing w:after="0" w:line="4" w:lineRule="exact"/>
        <w:rPr>
          <w:sz w:val="20"/>
          <w:szCs w:val="20"/>
          <w:color w:val="auto"/>
        </w:rPr>
      </w:pPr>
    </w:p>
    <w:p>
      <w:pPr>
        <w:ind w:left="1800" w:right="2839"/>
        <w:spacing w:after="0" w:line="235" w:lineRule="auto"/>
        <w:rPr>
          <w:sz w:val="20"/>
          <w:szCs w:val="20"/>
          <w:color w:val="auto"/>
        </w:rPr>
      </w:pPr>
      <w:r>
        <w:rPr>
          <w:rFonts w:ascii="Courier New" w:cs="Courier New" w:eastAsia="Courier New" w:hAnsi="Courier New"/>
          <w:sz w:val="18"/>
          <w:szCs w:val="18"/>
          <w:color w:val="auto"/>
        </w:rPr>
        <w:t>REGISTRATION STATEMENT ON FORM S-8 REGISTERING SHARES ISSUABLE UNDER THE 1994 STOCK OPTION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099" w:firstLine="1791"/>
        <w:spacing w:after="0" w:line="237" w:lineRule="auto"/>
        <w:rPr>
          <w:sz w:val="20"/>
          <w:szCs w:val="20"/>
          <w:color w:val="auto"/>
        </w:rPr>
      </w:pPr>
      <w:r>
        <w:rPr>
          <w:rFonts w:ascii="Courier New" w:cs="Courier New" w:eastAsia="Courier New" w:hAnsi="Courier New"/>
          <w:sz w:val="18"/>
          <w:szCs w:val="18"/>
          <w:color w:val="auto"/>
        </w:rPr>
        <w:t>As legal counsel for Cohu, Inc., a Delaware corporation (the "Company"), we are rendering this opinion in connection with the registration under the Securities Act of 1933, as amended, of up to 440,000 shares of the Common Stock, $1.00 par value, of the Company which may be issued pursuant to the exercise of options granted under the Cohu, Inc. 1994 Stock Option Plan (the "Plan").</w:t>
      </w:r>
    </w:p>
    <w:p>
      <w:pPr>
        <w:spacing w:after="0" w:line="210" w:lineRule="exact"/>
        <w:rPr>
          <w:sz w:val="20"/>
          <w:szCs w:val="20"/>
          <w:color w:val="auto"/>
        </w:rPr>
      </w:pPr>
    </w:p>
    <w:p>
      <w:pPr>
        <w:ind w:right="1879" w:firstLine="1791"/>
        <w:spacing w:after="0" w:line="273" w:lineRule="auto"/>
        <w:rPr>
          <w:sz w:val="20"/>
          <w:szCs w:val="20"/>
          <w:color w:val="auto"/>
        </w:rPr>
      </w:pPr>
      <w:r>
        <w:rPr>
          <w:rFonts w:ascii="Courier New" w:cs="Courier New" w:eastAsia="Courier New" w:hAnsi="Courier New"/>
          <w:sz w:val="16"/>
          <w:szCs w:val="16"/>
          <w:color w:val="auto"/>
        </w:rPr>
        <w:t>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w:t>
      </w:r>
    </w:p>
    <w:p>
      <w:pPr>
        <w:spacing w:after="0" w:line="185"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We are admitted to practice only in the State of California and we express no opinion concerning any law other than the law of the State of California, the corporation laws of the State of Delaware and the federal law of the United States.</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California.</w:t>
      </w:r>
    </w:p>
    <w:p>
      <w:pPr>
        <w:spacing w:after="0" w:line="20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Based on such examination, we are of the opinion that the 440,000 shares of Common Stock which may be issued upon exercise of options granted under the Plans are duly authorized shares of the Company's Common Stock, and, when issued against payment of the purchase price therefor in accordance with the provisions of the Plans, will be validly issued, fully paid and non-assessable.</w:t>
      </w:r>
    </w:p>
    <w:p>
      <w:pPr>
        <w:spacing w:after="0" w:line="210" w:lineRule="exact"/>
        <w:rPr>
          <w:sz w:val="20"/>
          <w:szCs w:val="20"/>
          <w:color w:val="auto"/>
        </w:rPr>
      </w:pPr>
    </w:p>
    <w:p>
      <w:pPr>
        <w:ind w:right="1999" w:firstLine="1791"/>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referred to above and the use of our name wherever it appears in said Registration Statement.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Respectfully submitted,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GRAY CARY WARE &amp; FREIDENRICH</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GRAY CARY WARE &amp; FREIDENRICH</w:t>
      </w:r>
    </w:p>
    <w:p>
      <w:pPr>
        <w:ind w:left="4120"/>
        <w:spacing w:after="0" w:line="238" w:lineRule="auto"/>
        <w:rPr>
          <w:sz w:val="20"/>
          <w:szCs w:val="20"/>
          <w:color w:val="auto"/>
        </w:rPr>
      </w:pPr>
      <w:r>
        <w:rPr>
          <w:rFonts w:ascii="Courier New" w:cs="Courier New" w:eastAsia="Courier New" w:hAnsi="Courier New"/>
          <w:sz w:val="18"/>
          <w:szCs w:val="18"/>
          <w:color w:val="auto"/>
        </w:rPr>
        <w:t>A Professional Corporation</w:t>
      </w:r>
    </w:p>
    <w:p>
      <w:pPr>
        <w:sectPr>
          <w:pgSz w:w="11900" w:h="16838" w:orient="portrait"/>
          <w:cols w:equalWidth="0" w:num="1">
            <w:col w:w="10219"/>
          </w:cols>
          <w:pgMar w:left="240" w:top="31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13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Cohu, Inc. 1994 Stock Option Plan of our report dated February 10, 1995, with respect to the consolidated financial statements of Cohu, Inc. incorporated by reference in its Annual Report (Form 10-K) for the year ended December 31, 1994, filed with the Securities and Exchange Commission.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180"/>
        <w:spacing w:after="0" w:line="290" w:lineRule="auto"/>
        <w:rPr>
          <w:sz w:val="20"/>
          <w:szCs w:val="20"/>
          <w:color w:val="auto"/>
        </w:rPr>
      </w:pPr>
      <w:r>
        <w:rPr>
          <w:rFonts w:ascii="Courier New" w:cs="Courier New" w:eastAsia="Courier New" w:hAnsi="Courier New"/>
          <w:sz w:val="16"/>
          <w:szCs w:val="16"/>
          <w:color w:val="auto"/>
        </w:rPr>
        <w:t>San Diego, California June 29, 1995</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ERNST &amp; YOUNG LLP</w:t>
      </w:r>
    </w:p>
    <w:sectPr>
      <w:pgSz w:w="11900" w:h="16838" w:orient="portrait"/>
      <w:cols w:equalWidth="0" w:num="2">
        <w:col w:w="3400" w:space="720"/>
        <w:col w:w="609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Roman"/>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lowerLetter"/>
      <w:start w:val="8"/>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2019-12-20T01:37:27Z</dcterms:created>
  <dcterms:modified xsi:type="dcterms:W3CDTF">2019-12-20T01:37:27Z</dcterms:modified>
</cp:coreProperties>
</file>