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UNITED STATES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 C. 20549</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ind w:right="2640" w:firstLine="8"/>
        <w:spacing w:after="0" w:line="256" w:lineRule="auto"/>
        <w:tabs>
          <w:tab w:leader="none" w:pos="12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X ] QUARTERLY REPORT PURSUANT TO SECTION 13 OR 15(d) OF THE SECURITIES EXCHANGE ACT OF 1934</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2003</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212" w:lineRule="exact"/>
        <w:rPr>
          <w:sz w:val="20"/>
          <w:szCs w:val="20"/>
          <w:color w:val="auto"/>
        </w:rPr>
      </w:pPr>
    </w:p>
    <w:p>
      <w:pPr>
        <w:ind w:right="2780" w:firstLine="8"/>
        <w:spacing w:after="0" w:line="256" w:lineRule="auto"/>
        <w:tabs>
          <w:tab w:leader="none" w:pos="1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TRANSITION REPORT PURSUANT TO SECTION 13 OR 15(d) OF THE SECURITIES EXCHANGE ACT OF 1934</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file number 1-4298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20" w:type="dxa"/>
            <w:vAlign w:val="bottom"/>
            <w:gridSpan w:val="4"/>
          </w:tcPr>
          <w:p>
            <w:pPr>
              <w:jc w:val="center"/>
              <w:ind w:right="3640"/>
              <w:spacing w:after="0"/>
              <w:rPr>
                <w:sz w:val="20"/>
                <w:szCs w:val="20"/>
                <w:color w:val="auto"/>
              </w:rPr>
            </w:pPr>
            <w:r>
              <w:rPr>
                <w:rFonts w:ascii="Arial" w:cs="Arial" w:eastAsia="Arial" w:hAnsi="Arial"/>
                <w:sz w:val="43"/>
                <w:szCs w:val="43"/>
                <w:b w:val="1"/>
                <w:bCs w:val="1"/>
                <w:color w:val="auto"/>
              </w:rPr>
              <w:t>COHU, INC.</w:t>
            </w:r>
          </w:p>
        </w:tc>
      </w:tr>
      <w:tr>
        <w:trPr>
          <w:trHeight w:val="194"/>
        </w:trPr>
        <w:tc>
          <w:tcPr>
            <w:tcW w:w="7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4960" w:type="dxa"/>
            <w:vAlign w:val="bottom"/>
            <w:tcBorders>
              <w:bottom w:val="single" w:sz="8" w:color="808080"/>
            </w:tcBorders>
          </w:tcPr>
          <w:p>
            <w:pPr>
              <w:spacing w:after="0"/>
              <w:rPr>
                <w:sz w:val="16"/>
                <w:szCs w:val="16"/>
                <w:color w:val="auto"/>
              </w:rPr>
            </w:pPr>
          </w:p>
        </w:tc>
        <w:tc>
          <w:tcPr>
            <w:tcW w:w="7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16"/>
        </w:trPr>
        <w:tc>
          <w:tcPr>
            <w:tcW w:w="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20" w:type="dxa"/>
            <w:vAlign w:val="bottom"/>
            <w:gridSpan w:val="4"/>
          </w:tcPr>
          <w:p>
            <w:pPr>
              <w:jc w:val="center"/>
              <w:ind w:right="364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720" w:type="dxa"/>
            <w:vAlign w:val="bottom"/>
          </w:tcPr>
          <w:p>
            <w:pPr>
              <w:spacing w:after="0"/>
              <w:rPr>
                <w:sz w:val="24"/>
                <w:szCs w:val="24"/>
                <w:color w:val="auto"/>
              </w:rPr>
            </w:pPr>
          </w:p>
        </w:tc>
        <w:tc>
          <w:tcPr>
            <w:tcW w:w="290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1"/>
              </w:rPr>
              <w:t>Delaware</w:t>
            </w:r>
          </w:p>
        </w:tc>
        <w:tc>
          <w:tcPr>
            <w:tcW w:w="7100" w:type="dxa"/>
            <w:vAlign w:val="bottom"/>
            <w:gridSpan w:val="3"/>
          </w:tcPr>
          <w:p>
            <w:pPr>
              <w:jc w:val="center"/>
              <w:ind w:left="5540"/>
              <w:spacing w:after="0"/>
              <w:rPr>
                <w:sz w:val="20"/>
                <w:szCs w:val="20"/>
                <w:color w:val="auto"/>
              </w:rPr>
            </w:pPr>
            <w:r>
              <w:rPr>
                <w:rFonts w:ascii="Arial" w:cs="Arial" w:eastAsia="Arial" w:hAnsi="Arial"/>
                <w:sz w:val="18"/>
                <w:szCs w:val="18"/>
                <w:b w:val="1"/>
                <w:bCs w:val="1"/>
                <w:color w:val="auto"/>
                <w:w w:val="87"/>
              </w:rPr>
              <w:t>95-1934119</w:t>
            </w:r>
          </w:p>
        </w:tc>
        <w:tc>
          <w:tcPr>
            <w:tcW w:w="720" w:type="dxa"/>
            <w:vAlign w:val="bottom"/>
          </w:tcPr>
          <w:p>
            <w:pPr>
              <w:spacing w:after="0"/>
              <w:rPr>
                <w:sz w:val="24"/>
                <w:szCs w:val="24"/>
                <w:color w:val="auto"/>
              </w:rPr>
            </w:pPr>
          </w:p>
        </w:tc>
      </w:tr>
      <w:tr>
        <w:trPr>
          <w:trHeight w:val="97"/>
        </w:trPr>
        <w:tc>
          <w:tcPr>
            <w:tcW w:w="72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460" w:type="dxa"/>
            <w:vAlign w:val="bottom"/>
            <w:gridSpan w:val="2"/>
          </w:tcPr>
          <w:p>
            <w:pPr>
              <w:spacing w:after="0"/>
              <w:rPr>
                <w:sz w:val="8"/>
                <w:szCs w:val="8"/>
                <w:color w:val="auto"/>
              </w:rPr>
            </w:pPr>
          </w:p>
        </w:tc>
        <w:tc>
          <w:tcPr>
            <w:tcW w:w="49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r>
      <w:tr>
        <w:trPr>
          <w:trHeight w:val="282"/>
        </w:trPr>
        <w:tc>
          <w:tcPr>
            <w:tcW w:w="362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(State or other jurisdiction of</w:t>
            </w:r>
          </w:p>
        </w:tc>
        <w:tc>
          <w:tcPr>
            <w:tcW w:w="4960" w:type="dxa"/>
            <w:vAlign w:val="bottom"/>
          </w:tcPr>
          <w:p>
            <w:pPr>
              <w:spacing w:after="0"/>
              <w:rPr>
                <w:sz w:val="24"/>
                <w:szCs w:val="24"/>
                <w:color w:val="auto"/>
              </w:rPr>
            </w:pPr>
          </w:p>
        </w:tc>
        <w:tc>
          <w:tcPr>
            <w:tcW w:w="286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362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Incorporation or Organization)</w:t>
            </w:r>
          </w:p>
        </w:tc>
        <w:tc>
          <w:tcPr>
            <w:tcW w:w="49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459"/>
        </w:trPr>
        <w:tc>
          <w:tcPr>
            <w:tcW w:w="3620" w:type="dxa"/>
            <w:vAlign w:val="bottom"/>
            <w:gridSpan w:val="4"/>
          </w:tcPr>
          <w:p>
            <w:pPr>
              <w:spacing w:after="0"/>
              <w:rPr>
                <w:sz w:val="20"/>
                <w:szCs w:val="20"/>
                <w:color w:val="auto"/>
              </w:rPr>
            </w:pPr>
            <w:r>
              <w:rPr>
                <w:rFonts w:ascii="Arial" w:cs="Arial" w:eastAsia="Arial" w:hAnsi="Arial"/>
                <w:sz w:val="18"/>
                <w:szCs w:val="18"/>
                <w:b w:val="1"/>
                <w:bCs w:val="1"/>
                <w:color w:val="auto"/>
                <w:w w:val="96"/>
              </w:rPr>
              <w:t>12367 Crosthwaite Circle, Poway, California</w:t>
            </w:r>
          </w:p>
        </w:tc>
        <w:tc>
          <w:tcPr>
            <w:tcW w:w="7100" w:type="dxa"/>
            <w:vAlign w:val="bottom"/>
            <w:gridSpan w:val="3"/>
          </w:tcPr>
          <w:p>
            <w:pPr>
              <w:jc w:val="center"/>
              <w:ind w:left="5540"/>
              <w:spacing w:after="0"/>
              <w:rPr>
                <w:sz w:val="20"/>
                <w:szCs w:val="20"/>
                <w:color w:val="auto"/>
              </w:rPr>
            </w:pPr>
            <w:r>
              <w:rPr>
                <w:rFonts w:ascii="Arial" w:cs="Arial" w:eastAsia="Arial" w:hAnsi="Arial"/>
                <w:sz w:val="18"/>
                <w:szCs w:val="18"/>
                <w:b w:val="1"/>
                <w:bCs w:val="1"/>
                <w:color w:val="auto"/>
                <w:w w:val="87"/>
              </w:rPr>
              <w:t>92064-6817</w:t>
            </w:r>
          </w:p>
        </w:tc>
        <w:tc>
          <w:tcPr>
            <w:tcW w:w="720" w:type="dxa"/>
            <w:vAlign w:val="bottom"/>
          </w:tcPr>
          <w:p>
            <w:pPr>
              <w:spacing w:after="0"/>
              <w:rPr>
                <w:sz w:val="24"/>
                <w:szCs w:val="24"/>
                <w:color w:val="auto"/>
              </w:rPr>
            </w:pPr>
          </w:p>
        </w:tc>
      </w:tr>
      <w:tr>
        <w:trPr>
          <w:trHeight w:val="110"/>
        </w:trPr>
        <w:tc>
          <w:tcPr>
            <w:tcW w:w="3620" w:type="dxa"/>
            <w:vAlign w:val="bottom"/>
            <w:tcBorders>
              <w:bottom w:val="single" w:sz="8" w:color="808080"/>
            </w:tcBorders>
            <w:gridSpan w:val="4"/>
          </w:tcPr>
          <w:p>
            <w:pPr>
              <w:spacing w:after="0"/>
              <w:rPr>
                <w:sz w:val="9"/>
                <w:szCs w:val="9"/>
                <w:color w:val="auto"/>
              </w:rPr>
            </w:pPr>
          </w:p>
        </w:tc>
        <w:tc>
          <w:tcPr>
            <w:tcW w:w="49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2160" w:type="dxa"/>
            <w:vAlign w:val="bottom"/>
            <w:tcBorders>
              <w:bottom w:val="single" w:sz="8" w:color="808080"/>
            </w:tcBorders>
            <w:gridSpan w:val="2"/>
          </w:tcPr>
          <w:p>
            <w:pPr>
              <w:spacing w:after="0"/>
              <w:rPr>
                <w:sz w:val="9"/>
                <w:szCs w:val="9"/>
                <w:color w:val="auto"/>
              </w:rPr>
            </w:pPr>
          </w:p>
        </w:tc>
      </w:tr>
      <w:tr>
        <w:trPr>
          <w:trHeight w:val="316"/>
        </w:trPr>
        <w:tc>
          <w:tcPr>
            <w:tcW w:w="3620" w:type="dxa"/>
            <w:vAlign w:val="bottom"/>
            <w:gridSpan w:val="4"/>
          </w:tcPr>
          <w:p>
            <w:pPr>
              <w:spacing w:after="0"/>
              <w:rPr>
                <w:sz w:val="20"/>
                <w:szCs w:val="20"/>
                <w:color w:val="auto"/>
              </w:rPr>
            </w:pPr>
            <w:r>
              <w:rPr>
                <w:rFonts w:ascii="Arial" w:cs="Arial" w:eastAsia="Arial" w:hAnsi="Arial"/>
                <w:sz w:val="18"/>
                <w:szCs w:val="18"/>
                <w:color w:val="auto"/>
              </w:rPr>
              <w:t>(Address of principal executive office)</w:t>
            </w:r>
          </w:p>
        </w:tc>
        <w:tc>
          <w:tcPr>
            <w:tcW w:w="4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60" w:type="dxa"/>
            <w:vAlign w:val="bottom"/>
            <w:gridSpan w:val="2"/>
          </w:tcPr>
          <w:p>
            <w:pPr>
              <w:jc w:val="center"/>
              <w:ind w:right="740"/>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858-848-8100</w:t>
      </w:r>
    </w:p>
    <w:p>
      <w:pPr>
        <w:spacing w:after="0" w:line="23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2003 the Registrant had 21,212,354 shares of its $1.00 par value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w:t>
        </w:r>
      </w:hyperlink>
    </w:p>
    <w:p>
      <w:pPr>
        <w:spacing w:after="0" w:line="8" w:lineRule="exact"/>
        <w:rPr>
          <w:sz w:val="20"/>
          <w:szCs w:val="20"/>
          <w:color w:val="auto"/>
        </w:rPr>
      </w:pPr>
    </w:p>
    <w:p>
      <w:pPr>
        <w:ind w:left="620" w:right="3180"/>
        <w:spacing w:after="0" w:line="267" w:lineRule="auto"/>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CONDENSED CONSOLIDATED BALANCE SHEETS</w:t>
        </w:r>
      </w:hyperlink>
      <w:r>
        <w:rPr>
          <w:rFonts w:ascii="Arial" w:cs="Arial" w:eastAsia="Arial" w:hAnsi="Arial"/>
          <w:sz w:val="19"/>
          <w:szCs w:val="19"/>
          <w:u w:val="single" w:color="auto"/>
          <w:color w:val="0000EE"/>
        </w:rPr>
        <w:t xml:space="preserve"> </w:t>
      </w:r>
      <w:hyperlink w:anchor="page7">
        <w:r>
          <w:rPr>
            <w:rFonts w:ascii="Arial" w:cs="Arial" w:eastAsia="Arial" w:hAnsi="Arial"/>
            <w:sz w:val="19"/>
            <w:szCs w:val="19"/>
            <w:u w:val="single" w:color="auto"/>
            <w:color w:val="0000EE"/>
          </w:rPr>
          <w:t>CONDENSED CONSOLIDATED STATEMENTS OF INCOME</w:t>
        </w:r>
      </w:hyperlink>
      <w:r>
        <w:rPr>
          <w:rFonts w:ascii="Arial" w:cs="Arial" w:eastAsia="Arial" w:hAnsi="Arial"/>
          <w:sz w:val="19"/>
          <w:szCs w:val="19"/>
          <w:u w:val="single" w:color="auto"/>
          <w:color w:val="0000EE"/>
        </w:rPr>
        <w:t xml:space="preserve"> </w:t>
      </w:r>
      <w:hyperlink w:anchor="page8">
        <w:r>
          <w:rPr>
            <w:rFonts w:ascii="Arial" w:cs="Arial" w:eastAsia="Arial" w:hAnsi="Arial"/>
            <w:sz w:val="19"/>
            <w:szCs w:val="19"/>
            <w:u w:val="single" w:color="auto"/>
            <w:color w:val="0000EE"/>
          </w:rPr>
          <w:t>CONDENSED CONSOLIDATED STATEMENTS OF CASH FLOWS</w:t>
        </w:r>
      </w:hyperlink>
    </w:p>
    <w:p>
      <w:pPr>
        <w:ind w:left="620"/>
        <w:spacing w:after="0" w:line="230" w:lineRule="auto"/>
        <w:rPr>
          <w:rFonts w:ascii="Arial" w:cs="Arial" w:eastAsia="Arial" w:hAnsi="Arial"/>
          <w:sz w:val="22"/>
          <w:szCs w:val="22"/>
          <w:u w:val="single" w:color="auto"/>
          <w:color w:val="0000EE"/>
        </w:rPr>
      </w:pPr>
      <w:hyperlink w:anchor="page9">
        <w:r>
          <w:rPr>
            <w:rFonts w:ascii="Arial" w:cs="Arial" w:eastAsia="Arial" w:hAnsi="Arial"/>
            <w:sz w:val="22"/>
            <w:szCs w:val="22"/>
            <w:u w:val="single" w:color="auto"/>
            <w:color w:val="0000EE"/>
          </w:rPr>
          <w:t>NOTES TO UNAUDITED CONDENSED CONSOLIDATED FINANCIAL STATEMENTS</w:t>
        </w:r>
      </w:hyperlink>
    </w:p>
    <w:p>
      <w:pPr>
        <w:spacing w:after="0" w:line="1" w:lineRule="exact"/>
        <w:rPr>
          <w:rFonts w:ascii="Arial" w:cs="Arial" w:eastAsia="Arial" w:hAnsi="Arial"/>
          <w:sz w:val="19"/>
          <w:szCs w:val="19"/>
          <w:u w:val="single" w:color="auto"/>
          <w:color w:val="0000EE"/>
        </w:rPr>
      </w:pPr>
    </w:p>
    <w:p>
      <w:pPr>
        <w:ind w:left="320"/>
        <w:spacing w:after="0" w:line="230" w:lineRule="auto"/>
        <w:rPr>
          <w:rFonts w:ascii="Arial" w:cs="Arial" w:eastAsia="Arial" w:hAnsi="Arial"/>
          <w:sz w:val="22"/>
          <w:szCs w:val="22"/>
          <w:u w:val="single" w:color="auto"/>
          <w:color w:val="0000EE"/>
        </w:rPr>
      </w:pPr>
      <w:hyperlink w:anchor="page16">
        <w:r>
          <w:rPr>
            <w:rFonts w:ascii="Arial" w:cs="Arial" w:eastAsia="Arial" w:hAnsi="Arial"/>
            <w:sz w:val="22"/>
            <w:szCs w:val="22"/>
            <w:u w:val="single" w:color="auto"/>
            <w:color w:val="0000EE"/>
          </w:rPr>
          <w:t>Item 2. MANAGEMENT’S DISCUSSION AND ANALYSIS OF FINANCIAL CONDITION AND RESULTS</w:t>
        </w:r>
      </w:hyperlink>
      <w:r>
        <w:rPr>
          <w:rFonts w:ascii="Arial" w:cs="Arial" w:eastAsia="Arial" w:hAnsi="Arial"/>
          <w:sz w:val="22"/>
          <w:szCs w:val="22"/>
          <w:u w:val="single" w:color="auto"/>
          <w:color w:val="0000EE"/>
        </w:rPr>
        <w:t xml:space="preserve"> </w:t>
      </w:r>
      <w:hyperlink w:anchor="page16">
        <w:r>
          <w:rPr>
            <w:rFonts w:ascii="Arial" w:cs="Arial" w:eastAsia="Arial" w:hAnsi="Arial"/>
            <w:sz w:val="22"/>
            <w:szCs w:val="22"/>
            <w:u w:val="single" w:color="auto"/>
            <w:color w:val="0000EE"/>
          </w:rPr>
          <w:t>OF OPERATIONS</w:t>
        </w:r>
      </w:hyperlink>
    </w:p>
    <w:p>
      <w:pPr>
        <w:spacing w:after="0" w:line="1" w:lineRule="exact"/>
        <w:rPr>
          <w:sz w:val="20"/>
          <w:szCs w:val="20"/>
          <w:color w:val="auto"/>
        </w:rPr>
      </w:pPr>
    </w:p>
    <w:p>
      <w:pPr>
        <w:ind w:left="320" w:right="4020"/>
        <w:spacing w:after="0" w:line="230"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7">
        <w:r>
          <w:rPr>
            <w:rFonts w:ascii="Arial" w:cs="Arial" w:eastAsia="Arial" w:hAnsi="Arial"/>
            <w:sz w:val="22"/>
            <w:szCs w:val="22"/>
            <w:u w:val="single" w:color="auto"/>
            <w:color w:val="0000EE"/>
          </w:rPr>
          <w:t>Item 4. Controls and procedures</w:t>
        </w:r>
      </w:hyperlink>
    </w:p>
    <w:p>
      <w:pPr>
        <w:spacing w:after="0" w:line="1" w:lineRule="exact"/>
        <w:rPr>
          <w:sz w:val="20"/>
          <w:szCs w:val="20"/>
          <w:color w:val="auto"/>
        </w:rPr>
      </w:pPr>
    </w:p>
    <w:p>
      <w:pPr>
        <w:jc w:val="center"/>
        <w:ind w:right="7120"/>
        <w:spacing w:after="0"/>
        <w:rPr>
          <w:rFonts w:ascii="Arial" w:cs="Arial" w:eastAsia="Arial" w:hAnsi="Arial"/>
          <w:sz w:val="19"/>
          <w:szCs w:val="19"/>
          <w:u w:val="single" w:color="auto"/>
          <w:color w:val="0000EE"/>
        </w:rPr>
      </w:pPr>
      <w:hyperlink w:anchor="page28">
        <w:r>
          <w:rPr>
            <w:rFonts w:ascii="Arial" w:cs="Arial" w:eastAsia="Arial" w:hAnsi="Arial"/>
            <w:sz w:val="19"/>
            <w:szCs w:val="19"/>
            <w:u w:val="single" w:color="auto"/>
            <w:color w:val="0000EE"/>
          </w:rPr>
          <w:t>Part II OTHER INFORMATION</w:t>
        </w:r>
      </w:hyperlink>
    </w:p>
    <w:p>
      <w:pPr>
        <w:spacing w:after="0" w:line="15" w:lineRule="exact"/>
        <w:rPr>
          <w:sz w:val="20"/>
          <w:szCs w:val="20"/>
          <w:color w:val="auto"/>
        </w:rPr>
      </w:pPr>
    </w:p>
    <w:p>
      <w:pPr>
        <w:jc w:val="center"/>
        <w:ind w:right="7080"/>
        <w:spacing w:after="0"/>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1. Legal Proceedings</w:t>
        </w:r>
      </w:hyperlink>
    </w:p>
    <w:p>
      <w:pPr>
        <w:ind w:left="320" w:right="4480"/>
        <w:spacing w:after="0" w:line="230"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28">
        <w:r>
          <w:rPr>
            <w:rFonts w:ascii="Arial" w:cs="Arial" w:eastAsia="Arial" w:hAnsi="Arial"/>
            <w:sz w:val="22"/>
            <w:szCs w:val="22"/>
            <w:u w:val="single" w:color="auto"/>
            <w:color w:val="0000EE"/>
          </w:rPr>
          <w:t>Item 5. Other Information</w:t>
        </w:r>
      </w:hyperlink>
    </w:p>
    <w:p>
      <w:pPr>
        <w:ind w:left="320"/>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Item 6. Exhibits and Reports on Form 8-K.</w:t>
        </w:r>
      </w:hyperlink>
    </w:p>
    <w:p>
      <w:pPr>
        <w:spacing w:after="0" w:line="231" w:lineRule="auto"/>
        <w:rPr>
          <w:rFonts w:ascii="Arial" w:cs="Arial" w:eastAsia="Arial" w:hAnsi="Arial"/>
          <w:sz w:val="22"/>
          <w:szCs w:val="22"/>
          <w:u w:val="single" w:color="auto"/>
          <w:color w:val="0000EE"/>
        </w:rPr>
      </w:pPr>
      <w:hyperlink w:anchor="page2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30">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EXHIBIT 10.1</w:t>
      </w:r>
    </w:p>
    <w:p>
      <w:pPr>
        <w:spacing w:after="0" w:line="231" w:lineRule="auto"/>
        <w:rPr>
          <w:sz w:val="20"/>
          <w:szCs w:val="20"/>
          <w:color w:val="auto"/>
        </w:rPr>
      </w:pPr>
      <w:r>
        <w:rPr>
          <w:rFonts w:ascii="Arial" w:cs="Arial" w:eastAsia="Arial" w:hAnsi="Arial"/>
          <w:sz w:val="22"/>
          <w:szCs w:val="22"/>
          <w:u w:val="single" w:color="auto"/>
          <w:color w:val="0000EE"/>
        </w:rPr>
        <w:t>EXHIBIT 10.2</w:t>
      </w:r>
    </w:p>
    <w:p>
      <w:pPr>
        <w:spacing w:after="0" w:line="231" w:lineRule="auto"/>
        <w:rPr>
          <w:sz w:val="20"/>
          <w:szCs w:val="20"/>
          <w:color w:val="auto"/>
        </w:rPr>
      </w:pPr>
      <w:r>
        <w:rPr>
          <w:rFonts w:ascii="Arial" w:cs="Arial" w:eastAsia="Arial" w:hAnsi="Arial"/>
          <w:sz w:val="22"/>
          <w:szCs w:val="22"/>
          <w:u w:val="single" w:color="auto"/>
          <w:color w:val="0000EE"/>
        </w:rPr>
        <w:t>EXHIBIT 31.1</w:t>
      </w:r>
    </w:p>
    <w:p>
      <w:pPr>
        <w:spacing w:after="0" w:line="230" w:lineRule="auto"/>
        <w:rPr>
          <w:sz w:val="20"/>
          <w:szCs w:val="20"/>
          <w:color w:val="auto"/>
        </w:rPr>
      </w:pPr>
      <w:r>
        <w:rPr>
          <w:rFonts w:ascii="Arial" w:cs="Arial" w:eastAsia="Arial" w:hAnsi="Arial"/>
          <w:sz w:val="22"/>
          <w:szCs w:val="22"/>
          <w:u w:val="single" w:color="auto"/>
          <w:color w:val="0000EE"/>
        </w:rPr>
        <w:t>EXHIBIT 31.2</w:t>
      </w:r>
    </w:p>
    <w:p>
      <w:pPr>
        <w:spacing w:after="0" w:line="231" w:lineRule="auto"/>
        <w:rPr>
          <w:sz w:val="20"/>
          <w:szCs w:val="20"/>
          <w:color w:val="auto"/>
        </w:rPr>
      </w:pPr>
      <w:r>
        <w:rPr>
          <w:rFonts w:ascii="Arial" w:cs="Arial" w:eastAsia="Arial" w:hAnsi="Arial"/>
          <w:sz w:val="22"/>
          <w:szCs w:val="22"/>
          <w:u w:val="single" w:color="auto"/>
          <w:color w:val="0000EE"/>
        </w:rPr>
        <w:t>EXHIBIT 32.1</w:t>
      </w:r>
    </w:p>
    <w:p>
      <w:pPr>
        <w:spacing w:after="0"/>
        <w:rPr>
          <w:sz w:val="20"/>
          <w:szCs w:val="20"/>
          <w:color w:val="auto"/>
        </w:rPr>
      </w:pPr>
      <w:r>
        <w:rPr>
          <w:rFonts w:ascii="Arial" w:cs="Arial" w:eastAsia="Arial" w:hAnsi="Arial"/>
          <w:sz w:val="22"/>
          <w:szCs w:val="22"/>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80"/>
          </w:cols>
          <w:pgMar w:left="820" w:top="111"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2003</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20" w:type="dxa"/>
            <w:vAlign w:val="bottom"/>
          </w:tcPr>
          <w:p>
            <w:pPr>
              <w:spacing w:after="0"/>
              <w:rPr>
                <w:sz w:val="15"/>
                <w:szCs w:val="15"/>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4"/>
              </w:rPr>
              <w:t>Page Number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9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620" w:type="dxa"/>
            <w:vAlign w:val="bottom"/>
            <w:shd w:val="clear" w:color="auto" w:fill="EEEEEE"/>
          </w:tcPr>
          <w:p>
            <w:pPr>
              <w:ind w:left="300"/>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shd w:val="clear" w:color="auto" w:fill="EEEEE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620" w:type="dxa"/>
            <w:vAlign w:val="bottom"/>
          </w:tcPr>
          <w:p>
            <w:pPr>
              <w:ind w:left="30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6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Condensed Consolidated Balance Sheets (unaudited) June 30, 2003 and December 31, 2002</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w w:val="98"/>
              </w:rPr>
              <w:t>Condensed Consolidated Statements of Income (unaudited) Three and Six Months Ended June 30, 2003 and 2002</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96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Condensed Consolidated Statements of Cash Flows (unaudited) Six Months Ended June 30, 2003 and 2002</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20" w:type="dxa"/>
            <w:vAlign w:val="bottom"/>
          </w:tcPr>
          <w:p>
            <w:pPr>
              <w:ind w:left="620"/>
              <w:spacing w:after="0"/>
              <w:rPr>
                <w:sz w:val="20"/>
                <w:szCs w:val="20"/>
                <w:color w:val="auto"/>
              </w:rPr>
            </w:pPr>
            <w:r>
              <w:rPr>
                <w:rFonts w:ascii="Arial" w:cs="Arial" w:eastAsia="Arial" w:hAnsi="Arial"/>
                <w:sz w:val="18"/>
                <w:szCs w:val="18"/>
                <w:color w:val="auto"/>
              </w:rPr>
              <w:t>Notes to Unaudited Condensed Consolidated Financial Statements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6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62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6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620" w:type="dxa"/>
            <w:vAlign w:val="bottom"/>
          </w:tcPr>
          <w:p>
            <w:pPr>
              <w:ind w:left="300"/>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6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Legal Proceedings</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620" w:type="dxa"/>
            <w:vAlign w:val="bottom"/>
          </w:tcPr>
          <w:p>
            <w:pPr>
              <w:ind w:left="300"/>
              <w:spacing w:after="0"/>
              <w:rPr>
                <w:sz w:val="20"/>
                <w:szCs w:val="20"/>
                <w:color w:val="auto"/>
              </w:rPr>
            </w:pPr>
            <w:r>
              <w:rPr>
                <w:rFonts w:ascii="Arial" w:cs="Arial" w:eastAsia="Arial" w:hAnsi="Arial"/>
                <w:sz w:val="18"/>
                <w:szCs w:val="18"/>
                <w:color w:val="auto"/>
              </w:rPr>
              <w:t>Submission of Matters to a Vote of Security Holders</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620" w:type="dxa"/>
            <w:vAlign w:val="bottom"/>
            <w:shd w:val="clear" w:color="auto" w:fill="EEEEEE"/>
          </w:tcPr>
          <w:p>
            <w:pPr>
              <w:ind w:left="300"/>
              <w:spacing w:after="0"/>
              <w:rPr>
                <w:sz w:val="20"/>
                <w:szCs w:val="20"/>
                <w:color w:val="auto"/>
              </w:rPr>
            </w:pPr>
            <w:r>
              <w:rPr>
                <w:rFonts w:ascii="Arial" w:cs="Arial" w:eastAsia="Arial" w:hAnsi="Arial"/>
                <w:sz w:val="18"/>
                <w:szCs w:val="18"/>
                <w:color w:val="auto"/>
              </w:rPr>
              <w:t>Other Information</w:t>
            </w: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9620" w:type="dxa"/>
            <w:vAlign w:val="bottom"/>
          </w:tcPr>
          <w:p>
            <w:pPr>
              <w:ind w:left="300"/>
              <w:spacing w:after="0"/>
              <w:rPr>
                <w:sz w:val="20"/>
                <w:szCs w:val="20"/>
                <w:color w:val="auto"/>
              </w:rPr>
            </w:pPr>
            <w:r>
              <w:rPr>
                <w:rFonts w:ascii="Arial" w:cs="Arial" w:eastAsia="Arial" w:hAnsi="Arial"/>
                <w:sz w:val="18"/>
                <w:szCs w:val="18"/>
                <w:color w:val="auto"/>
              </w:rPr>
              <w:t>Exhibits and Reports on Form 8-K</w:t>
            </w:r>
          </w:p>
        </w:tc>
        <w:tc>
          <w:tcPr>
            <w:tcW w:w="760" w:type="dxa"/>
            <w:vAlign w:val="bottom"/>
          </w:tcPr>
          <w:p>
            <w:pPr>
              <w:jc w:val="right"/>
              <w:ind w:right="17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962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174"/>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9"/>
        </w:trPr>
        <w:tc>
          <w:tcPr>
            <w:tcW w:w="20" w:type="dxa"/>
            <w:vAlign w:val="bottom"/>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9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5"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par value)</w:t>
      </w:r>
    </w:p>
    <w:p>
      <w:pPr>
        <w:spacing w:after="0" w:line="200" w:lineRule="exact"/>
        <w:rPr>
          <w:sz w:val="20"/>
          <w:szCs w:val="20"/>
          <w:color w:val="auto"/>
        </w:rPr>
      </w:pP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126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 2003</w:t>
            </w:r>
          </w:p>
        </w:tc>
        <w:tc>
          <w:tcPr>
            <w:tcW w:w="240" w:type="dxa"/>
            <w:vAlign w:val="bottom"/>
          </w:tcPr>
          <w:p>
            <w:pPr>
              <w:spacing w:after="0"/>
              <w:rPr>
                <w:sz w:val="15"/>
                <w:szCs w:val="15"/>
                <w:color w:val="auto"/>
              </w:rPr>
            </w:pPr>
          </w:p>
        </w:tc>
        <w:tc>
          <w:tcPr>
            <w:tcW w:w="152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11,790</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32,696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99,409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74,488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Accounts receivable, less allowance for doubtful accounts of $1,189 in 2003 and</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60" w:type="dxa"/>
            <w:vAlign w:val="bottom"/>
            <w:shd w:val="clear" w:color="auto" w:fill="EEEEEE"/>
          </w:tcPr>
          <w:p>
            <w:pPr>
              <w:ind w:left="360"/>
              <w:spacing w:after="0"/>
              <w:rPr>
                <w:sz w:val="20"/>
                <w:szCs w:val="20"/>
                <w:color w:val="auto"/>
              </w:rPr>
            </w:pPr>
            <w:r>
              <w:rPr>
                <w:rFonts w:ascii="Arial" w:cs="Arial" w:eastAsia="Arial" w:hAnsi="Arial"/>
                <w:sz w:val="18"/>
                <w:szCs w:val="18"/>
                <w:color w:val="auto"/>
              </w:rPr>
              <w:t>$1,264 in 2002</w:t>
            </w:r>
          </w:p>
        </w:tc>
        <w:tc>
          <w:tcPr>
            <w:tcW w:w="28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18,792</w:t>
            </w:r>
          </w:p>
        </w:tc>
        <w:tc>
          <w:tcPr>
            <w:tcW w:w="3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18,267</w:t>
            </w:r>
          </w:p>
        </w:tc>
        <w:tc>
          <w:tcPr>
            <w:tcW w:w="5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Raw materials and purchased parts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12,849</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13,414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6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6,018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Finished goods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9,609</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4,885</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30,110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24,317</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10,956</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10,956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5,074</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5,574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176,131</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166,298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Note receivable</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9,184</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Property, plant and equipment, at cost:</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Land and land improvements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7,978</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8,942</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Buildings and building improvements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24,879</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24,906</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Machinery and equipment</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23,727</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24,316</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56,584</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58,164</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25,355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24,394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46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31,229</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33,770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8,340</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w w:val="93"/>
              </w:rPr>
              <w:t>Other intangible assets, net of accumulated amortization of $367 in 2003 and $92 in 2002</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1,283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1,558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2,653</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226,166</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221,803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6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6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7,814</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6,387</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Accrued compensation and benefits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5,168</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4,667</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Accrued warranty</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2,909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2,878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Customer advances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619</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3,218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Deferred profit</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6,177</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5,231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2,993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3,378</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60" w:type="dxa"/>
            <w:vAlign w:val="bottom"/>
          </w:tcPr>
          <w:p>
            <w:pPr>
              <w:ind w:left="4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25,680</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25,759</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Accrued retiree medical benefits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1,133</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1,139</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4,811</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4,811</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Preferred stock, $1 par value; 1,000 shares authorized, none issued</w:t>
            </w:r>
          </w:p>
        </w:tc>
        <w:tc>
          <w:tcPr>
            <w:tcW w:w="28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w w:val="97"/>
              </w:rPr>
              <w:t>Common stock, $1 par value; 60,000 shares authorized, 21,212 shares issued and</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360"/>
              <w:spacing w:after="0"/>
              <w:rPr>
                <w:sz w:val="20"/>
                <w:szCs w:val="20"/>
                <w:color w:val="auto"/>
              </w:rPr>
            </w:pPr>
            <w:r>
              <w:rPr>
                <w:rFonts w:ascii="Arial" w:cs="Arial" w:eastAsia="Arial" w:hAnsi="Arial"/>
                <w:sz w:val="18"/>
                <w:szCs w:val="18"/>
                <w:color w:val="auto"/>
              </w:rPr>
              <w:t>outstanding in 2003 and 20,864 shares in 2002</w:t>
            </w: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21,212</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20,864</w:t>
            </w: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Paid in capital</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19,475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15,922</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153,620</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152,978</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330</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6660" w:type="dxa"/>
            <w:vAlign w:val="bottom"/>
          </w:tcPr>
          <w:p>
            <w:pPr>
              <w:ind w:left="460"/>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194,542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190,094</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EEEEEE"/>
          </w:tcPr>
          <w:p>
            <w:pPr>
              <w:spacing w:after="0"/>
              <w:rPr>
                <w:sz w:val="18"/>
                <w:szCs w:val="18"/>
                <w:color w:val="auto"/>
              </w:rPr>
            </w:pP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226,166</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6"/>
              </w:rPr>
              <w:t>221,803</w:t>
            </w:r>
          </w:p>
        </w:tc>
        <w:tc>
          <w:tcPr>
            <w:tcW w:w="5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0560"/>
          </w:cols>
          <w:pgMar w:left="240" w:top="419" w:right="1099" w:bottom="0" w:gutter="0" w:footer="0" w:header="0"/>
        </w:sectPr>
      </w:pP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4763"/>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0560"/>
          </w:cols>
          <w:pgMar w:left="240" w:top="419" w:right="1099" w:bottom="0" w:gutter="0" w:footer="0" w:header="0"/>
          <w:type w:val="continuous"/>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8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gridSpan w:val="7"/>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7"/>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6"/>
              </w:rPr>
              <w:t>June 30,</w:t>
            </w:r>
          </w:p>
        </w:tc>
        <w:tc>
          <w:tcPr>
            <w:tcW w:w="50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5"/>
                <w:szCs w:val="15"/>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32,084</w:t>
            </w: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38,307</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63,163</w:t>
            </w: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69,895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and expenses:</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21,109</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22,920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41,805</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42,467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8,387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12,494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15,958</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6,028</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6,400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11,943</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12,515</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32,693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37,707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66,242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70,940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(609)</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(3,079)</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91"/>
              </w:rPr>
              <w:t>(1,045)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Gain from sale of land</w:t>
            </w: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7,873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Investment impairment writedown</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(2,500)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w w:val="91"/>
              </w:rPr>
              <w:t>(2,500)</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722</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1,488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5,206</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1,322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3,436</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4,106</w:t>
            </w: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2,736</w:t>
            </w: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Income per share:</w:t>
            </w: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4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.04</w:t>
            </w:r>
          </w:p>
        </w:tc>
        <w:tc>
          <w:tcPr>
            <w:tcW w:w="32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.04</w:t>
            </w:r>
          </w:p>
        </w:tc>
        <w:tc>
          <w:tcPr>
            <w:tcW w:w="3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20" w:type="dxa"/>
            <w:vAlign w:val="bottom"/>
            <w:shd w:val="clear" w:color="auto" w:fill="EEEEEE"/>
          </w:tcPr>
          <w:p>
            <w:pPr>
              <w:spacing w:after="0"/>
              <w:rPr>
                <w:sz w:val="20"/>
                <w:szCs w:val="20"/>
                <w:color w:val="auto"/>
              </w:rPr>
            </w:pPr>
            <w:r>
              <w:rPr>
                <w:rFonts w:ascii="Arial" w:cs="Arial" w:eastAsia="Arial" w:hAnsi="Arial"/>
                <w:sz w:val="18"/>
                <w:szCs w:val="18"/>
                <w:color w:val="auto"/>
                <w:w w:val="97"/>
              </w:rPr>
              <w:t>Weighted average shares used in computing income per</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20" w:type="dxa"/>
            <w:vAlign w:val="bottom"/>
            <w:shd w:val="clear" w:color="auto" w:fill="EEEEEE"/>
          </w:tcPr>
          <w:p>
            <w:pPr>
              <w:ind w:left="120"/>
              <w:spacing w:after="0"/>
              <w:rPr>
                <w:sz w:val="20"/>
                <w:szCs w:val="20"/>
                <w:color w:val="auto"/>
              </w:rPr>
            </w:pPr>
            <w:r>
              <w:rPr>
                <w:rFonts w:ascii="Arial" w:cs="Arial" w:eastAsia="Arial" w:hAnsi="Arial"/>
                <w:sz w:val="18"/>
                <w:szCs w:val="18"/>
                <w:color w:val="auto"/>
              </w:rPr>
              <w:t>share:</w:t>
            </w:r>
          </w:p>
        </w:tc>
        <w:tc>
          <w:tcPr>
            <w:tcW w:w="320" w:type="dxa"/>
            <w:vAlign w:val="bottom"/>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00" w:type="dxa"/>
            <w:vAlign w:val="bottom"/>
            <w:tcBorders>
              <w:right w:val="single" w:sz="8" w:color="EEEEEE"/>
            </w:tcBorders>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21,098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20,750</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21,005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20,685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EEEEEE"/>
          </w:tcPr>
          <w:p>
            <w:pPr>
              <w:ind w:left="2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21,631</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21,690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83"/>
              </w:rPr>
              <w:t>21,457</w:t>
            </w:r>
          </w:p>
        </w:tc>
        <w:tc>
          <w:tcPr>
            <w:tcW w:w="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21,626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440" w:type="dxa"/>
            <w:vAlign w:val="bottom"/>
            <w:gridSpan w:val="2"/>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gridSpan w:val="2"/>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3"/>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440" w:type="dxa"/>
            <w:vAlign w:val="bottom"/>
            <w:gridSpan w:val="2"/>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gridSpan w:val="2"/>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3"/>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444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.05</w:t>
            </w:r>
          </w:p>
        </w:tc>
        <w:tc>
          <w:tcPr>
            <w:tcW w:w="32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7"/>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June 30,</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58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72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2,736</w:t>
            </w:r>
          </w:p>
        </w:tc>
        <w:tc>
          <w:tcPr>
            <w:tcW w:w="16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820" w:type="dxa"/>
            <w:vAlign w:val="bottom"/>
            <w:shd w:val="clear" w:color="auto" w:fill="EEEEEE"/>
          </w:tcPr>
          <w:p>
            <w:pPr>
              <w:ind w:left="720"/>
              <w:spacing w:after="0"/>
              <w:rPr>
                <w:sz w:val="20"/>
                <w:szCs w:val="20"/>
                <w:color w:val="auto"/>
              </w:rPr>
            </w:pPr>
            <w:r>
              <w:rPr>
                <w:rFonts w:ascii="Arial" w:cs="Arial" w:eastAsia="Arial" w:hAnsi="Arial"/>
                <w:sz w:val="18"/>
                <w:szCs w:val="18"/>
                <w:color w:val="auto"/>
              </w:rPr>
              <w:t>Adjustments to reconcile net income to net cash provided from</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820" w:type="dxa"/>
            <w:vAlign w:val="bottom"/>
            <w:shd w:val="clear" w:color="auto" w:fill="EEEEEE"/>
          </w:tcPr>
          <w:p>
            <w:pPr>
              <w:ind w:left="860"/>
              <w:spacing w:after="0"/>
              <w:rPr>
                <w:sz w:val="20"/>
                <w:szCs w:val="20"/>
                <w:color w:val="auto"/>
              </w:rPr>
            </w:pPr>
            <w:r>
              <w:rPr>
                <w:rFonts w:ascii="Arial" w:cs="Arial" w:eastAsia="Arial" w:hAnsi="Arial"/>
                <w:sz w:val="18"/>
                <w:szCs w:val="18"/>
                <w:color w:val="auto"/>
              </w:rPr>
              <w:t>operating activities:</w:t>
            </w:r>
          </w:p>
        </w:tc>
        <w:tc>
          <w:tcPr>
            <w:tcW w:w="320" w:type="dxa"/>
            <w:vAlign w:val="bottom"/>
            <w:tcBorders>
              <w:right w:val="single" w:sz="8" w:color="EEEEEE"/>
            </w:tcBorders>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10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2,174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100"/>
              <w:spacing w:after="0"/>
              <w:rPr>
                <w:sz w:val="20"/>
                <w:szCs w:val="20"/>
                <w:color w:val="auto"/>
              </w:rPr>
            </w:pPr>
            <w:r>
              <w:rPr>
                <w:rFonts w:ascii="Arial" w:cs="Arial" w:eastAsia="Arial" w:hAnsi="Arial"/>
                <w:sz w:val="18"/>
                <w:szCs w:val="18"/>
                <w:color w:val="auto"/>
              </w:rPr>
              <w:t>Gain from sale of land</w:t>
            </w: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(7,873)</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100"/>
              <w:spacing w:after="0"/>
              <w:rPr>
                <w:sz w:val="20"/>
                <w:szCs w:val="20"/>
                <w:color w:val="auto"/>
              </w:rPr>
            </w:pPr>
            <w:r>
              <w:rPr>
                <w:rFonts w:ascii="Arial" w:cs="Arial" w:eastAsia="Arial" w:hAnsi="Arial"/>
                <w:sz w:val="18"/>
                <w:szCs w:val="18"/>
                <w:color w:val="auto"/>
              </w:rPr>
              <w:t>Loss on equipment disposals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100"/>
              <w:spacing w:after="0"/>
              <w:rPr>
                <w:sz w:val="20"/>
                <w:szCs w:val="20"/>
                <w:color w:val="auto"/>
              </w:rPr>
            </w:pPr>
            <w:r>
              <w:rPr>
                <w:rFonts w:ascii="Arial" w:cs="Arial" w:eastAsia="Arial" w:hAnsi="Arial"/>
                <w:sz w:val="18"/>
                <w:szCs w:val="18"/>
                <w:color w:val="auto"/>
              </w:rPr>
              <w:t>Investment impairment writedown</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100"/>
              <w:spacing w:after="0"/>
              <w:rPr>
                <w:sz w:val="20"/>
                <w:szCs w:val="20"/>
                <w:color w:val="auto"/>
              </w:rPr>
            </w:pPr>
            <w:r>
              <w:rPr>
                <w:rFonts w:ascii="Arial" w:cs="Arial" w:eastAsia="Arial" w:hAnsi="Arial"/>
                <w:sz w:val="18"/>
                <w:szCs w:val="18"/>
                <w:color w:val="auto"/>
              </w:rPr>
              <w:t>Decrease in accrued retiree medical benefits</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100"/>
              <w:spacing w:after="0"/>
              <w:rPr>
                <w:sz w:val="20"/>
                <w:szCs w:val="20"/>
                <w:color w:val="auto"/>
              </w:rPr>
            </w:pPr>
            <w:r>
              <w:rPr>
                <w:rFonts w:ascii="Arial" w:cs="Arial" w:eastAsia="Arial" w:hAnsi="Arial"/>
                <w:sz w:val="18"/>
                <w:szCs w:val="18"/>
                <w:color w:val="auto"/>
              </w:rPr>
              <w:t>Changes in current assets and liabilities:</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8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480"/>
              <w:spacing w:after="0"/>
              <w:rPr>
                <w:sz w:val="20"/>
                <w:szCs w:val="20"/>
                <w:color w:val="auto"/>
              </w:rPr>
            </w:pPr>
            <w:r>
              <w:rPr>
                <w:rFonts w:ascii="Arial" w:cs="Arial" w:eastAsia="Arial" w:hAnsi="Arial"/>
                <w:sz w:val="18"/>
                <w:szCs w:val="18"/>
                <w:color w:val="auto"/>
              </w:rPr>
              <w:t>Inventories</w:t>
            </w: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(5,793)</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8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480"/>
              <w:spacing w:after="0"/>
              <w:rPr>
                <w:sz w:val="20"/>
                <w:szCs w:val="20"/>
                <w:color w:val="auto"/>
              </w:rPr>
            </w:pPr>
            <w:r>
              <w:rPr>
                <w:rFonts w:ascii="Arial" w:cs="Arial" w:eastAsia="Arial" w:hAnsi="Arial"/>
                <w:sz w:val="18"/>
                <w:szCs w:val="18"/>
                <w:color w:val="auto"/>
              </w:rPr>
              <w:t>Accounts payable</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480"/>
              <w:spacing w:after="0"/>
              <w:rPr>
                <w:sz w:val="20"/>
                <w:szCs w:val="20"/>
                <w:color w:val="auto"/>
              </w:rPr>
            </w:pPr>
            <w:r>
              <w:rPr>
                <w:rFonts w:ascii="Arial" w:cs="Arial" w:eastAsia="Arial" w:hAnsi="Arial"/>
                <w:sz w:val="18"/>
                <w:szCs w:val="18"/>
                <w:color w:val="auto"/>
              </w:rPr>
              <w:t>Customer advances</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(2,599)</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480"/>
              <w:spacing w:after="0"/>
              <w:rPr>
                <w:sz w:val="20"/>
                <w:szCs w:val="20"/>
                <w:color w:val="auto"/>
              </w:rPr>
            </w:pPr>
            <w:r>
              <w:rPr>
                <w:rFonts w:ascii="Arial" w:cs="Arial" w:eastAsia="Arial" w:hAnsi="Arial"/>
                <w:sz w:val="18"/>
                <w:szCs w:val="18"/>
                <w:color w:val="auto"/>
              </w:rPr>
              <w:t>Deferred profit</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2,224</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1480"/>
              <w:spacing w:after="0"/>
              <w:rPr>
                <w:sz w:val="20"/>
                <w:szCs w:val="20"/>
                <w:color w:val="auto"/>
              </w:rPr>
            </w:pPr>
            <w:r>
              <w:rPr>
                <w:rFonts w:ascii="Arial" w:cs="Arial" w:eastAsia="Arial" w:hAnsi="Arial"/>
                <w:sz w:val="18"/>
                <w:szCs w:val="18"/>
                <w:color w:val="auto"/>
              </w:rPr>
              <w:t>Accrued compensation, warranty and other liabilities</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480"/>
              <w:spacing w:after="0"/>
              <w:rPr>
                <w:sz w:val="20"/>
                <w:szCs w:val="20"/>
                <w:color w:val="auto"/>
              </w:rPr>
            </w:pPr>
            <w:r>
              <w:rPr>
                <w:rFonts w:ascii="Arial" w:cs="Arial" w:eastAsia="Arial" w:hAnsi="Arial"/>
                <w:sz w:val="18"/>
                <w:szCs w:val="18"/>
                <w:color w:val="auto"/>
              </w:rPr>
              <w:t>Net cash provided from (used for) operating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(6,206)</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5,476</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6"/>
              </w:rPr>
              <w:t>(62,766)</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9"/>
              </w:rPr>
              <w:t>(17,070)</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Sales and maturities of short-term investments</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37,695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3,049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proceeds from sale of land</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8,837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Purchases of property, plant and equipment</w:t>
            </w:r>
          </w:p>
        </w:tc>
        <w:tc>
          <w:tcPr>
            <w:tcW w:w="3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(622)</w:t>
            </w: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Payments on note receivable</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3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480"/>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86"/>
              </w:rPr>
              <w:t>(16,507)</w:t>
            </w: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89"/>
              </w:rPr>
              <w:t>(14,447)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Issuance of stock, net</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3,901</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20" w:type="dxa"/>
            <w:vAlign w:val="bottom"/>
          </w:tcPr>
          <w:p>
            <w:pPr>
              <w:ind w:left="360"/>
              <w:spacing w:after="0"/>
              <w:rPr>
                <w:sz w:val="20"/>
                <w:szCs w:val="20"/>
                <w:color w:val="auto"/>
              </w:rPr>
            </w:pPr>
            <w:r>
              <w:rPr>
                <w:rFonts w:ascii="Arial" w:cs="Arial" w:eastAsia="Arial" w:hAnsi="Arial"/>
                <w:sz w:val="18"/>
                <w:szCs w:val="18"/>
                <w:color w:val="auto"/>
              </w:rPr>
              <w:t>Cash dividends</w:t>
            </w:r>
          </w:p>
        </w:tc>
        <w:tc>
          <w:tcPr>
            <w:tcW w:w="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(2,094)</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480"/>
              <w:spacing w:after="0"/>
              <w:rPr>
                <w:sz w:val="20"/>
                <w:szCs w:val="20"/>
                <w:color w:val="auto"/>
              </w:rPr>
            </w:pPr>
            <w:r>
              <w:rPr>
                <w:rFonts w:ascii="Arial" w:cs="Arial" w:eastAsia="Arial" w:hAnsi="Arial"/>
                <w:sz w:val="18"/>
                <w:szCs w:val="18"/>
                <w:color w:val="auto"/>
              </w:rPr>
              <w:t>Net cash provided from financing activities</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1,807</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8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(20,906)</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(8,423)</w:t>
            </w:r>
          </w:p>
        </w:tc>
        <w:tc>
          <w:tcPr>
            <w:tcW w:w="0" w:type="dxa"/>
            <w:vAlign w:val="bottom"/>
          </w:tcPr>
          <w:p>
            <w:pPr>
              <w:spacing w:after="0"/>
              <w:rPr>
                <w:sz w:val="1"/>
                <w:szCs w:val="1"/>
                <w:color w:val="auto"/>
              </w:rPr>
            </w:pPr>
          </w:p>
        </w:tc>
      </w:tr>
      <w:tr>
        <w:trPr>
          <w:trHeight w:val="217"/>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4"/>
              </w:rPr>
              <w:t>32,696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65,510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11,790</w:t>
            </w:r>
          </w:p>
        </w:tc>
        <w:tc>
          <w:tcPr>
            <w:tcW w:w="16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57,087</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2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spacing w:after="0"/>
              <w:rPr>
                <w:sz w:val="20"/>
                <w:szCs w:val="20"/>
                <w:color w:val="auto"/>
              </w:rPr>
            </w:pPr>
            <w:r>
              <w:rPr>
                <w:rFonts w:ascii="Arial" w:cs="Arial" w:eastAsia="Arial" w:hAnsi="Arial"/>
                <w:sz w:val="18"/>
                <w:szCs w:val="18"/>
                <w:color w:val="auto"/>
              </w:rPr>
              <w:t>Supplemental disclosure of cash flow information:</w:t>
            </w:r>
          </w:p>
        </w:tc>
        <w:tc>
          <w:tcPr>
            <w:tcW w:w="320" w:type="dxa"/>
            <w:vAlign w:val="bottom"/>
            <w:tcBorders>
              <w:right w:val="single" w:sz="8" w:color="EEEEEE"/>
            </w:tcBorders>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360"/>
              <w:spacing w:after="0"/>
              <w:rPr>
                <w:sz w:val="20"/>
                <w:szCs w:val="20"/>
                <w:color w:val="auto"/>
              </w:rPr>
            </w:pPr>
            <w:r>
              <w:rPr>
                <w:rFonts w:ascii="Arial" w:cs="Arial" w:eastAsia="Arial" w:hAnsi="Arial"/>
                <w:sz w:val="18"/>
                <w:szCs w:val="18"/>
                <w:color w:val="auto"/>
              </w:rPr>
              <w:t>Cash paid (received) during the period for:</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EEEEEE"/>
          </w:tcPr>
          <w:p>
            <w:pPr>
              <w:ind w:left="1100"/>
              <w:spacing w:after="0"/>
              <w:rPr>
                <w:sz w:val="20"/>
                <w:szCs w:val="20"/>
                <w:color w:val="auto"/>
              </w:rPr>
            </w:pPr>
            <w:r>
              <w:rPr>
                <w:rFonts w:ascii="Arial" w:cs="Arial" w:eastAsia="Arial" w:hAnsi="Arial"/>
                <w:sz w:val="18"/>
                <w:szCs w:val="18"/>
                <w:color w:val="auto"/>
              </w:rPr>
              <w:t>Income taxes, net of refunds</w:t>
            </w:r>
          </w:p>
        </w:tc>
        <w:tc>
          <w:tcPr>
            <w:tcW w:w="3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w:t>
            </w:r>
          </w:p>
        </w:tc>
        <w:tc>
          <w:tcPr>
            <w:tcW w:w="8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21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31" w:lineRule="exact"/>
        <w:rPr>
          <w:rFonts w:ascii="Arial" w:cs="Arial" w:eastAsia="Arial" w:hAnsi="Arial"/>
          <w:sz w:val="18"/>
          <w:szCs w:val="18"/>
          <w:b w:val="1"/>
          <w:bCs w:val="1"/>
          <w:color w:val="auto"/>
        </w:rPr>
      </w:pPr>
    </w:p>
    <w:p>
      <w:pPr>
        <w:ind w:left="460" w:right="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accompanying interim financial statements are unaudited but include all adjustments (consisting of normal recurring adjustments), which Cohu, Inc. (the “Company” or “Cohu”) considers necessary for a fair statement of the results for the period. The operating results for the three and six months ended June 30, 2003, are not necessarily indicative of the operating results for the entire year or any future period. These financial statements should be read in conjunction with the consolidated financial statements included in the Company’s Annual Report on Form 10-K for the year ended December 31, 2002 and management’s discussion and analysis of financial condition and results of operations included elsewhere herein.</w:t>
      </w:r>
    </w:p>
    <w:p>
      <w:pPr>
        <w:spacing w:after="0" w:line="163"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31" w:lineRule="exact"/>
        <w:rPr>
          <w:rFonts w:ascii="Arial" w:cs="Arial" w:eastAsia="Arial" w:hAnsi="Arial"/>
          <w:sz w:val="18"/>
          <w:szCs w:val="18"/>
          <w:b w:val="1"/>
          <w:bCs w:val="1"/>
          <w:color w:val="auto"/>
        </w:rPr>
      </w:pPr>
    </w:p>
    <w:p>
      <w:pPr>
        <w:ind w:left="460" w:right="1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Cohu’s revenue recognition policy is disclosed in Note 1 of the Notes to Consolidated Financial Statements included in the Company’s Annual Report on Form 10-K for the year ended December 31, 2002. As more fully described in that policy, revenue from products that have not previously satisfied customer acceptance is recognized upon customer acceptance. The gross profit on sales that are not recognized is generally recorded as deferred profit and reflected as a current liability in the consolidated balance sheet.</w:t>
      </w:r>
    </w:p>
    <w:p>
      <w:pPr>
        <w:spacing w:after="0" w:line="197" w:lineRule="exact"/>
        <w:rPr>
          <w:rFonts w:ascii="Arial" w:cs="Arial" w:eastAsia="Arial" w:hAnsi="Arial"/>
          <w:sz w:val="18"/>
          <w:szCs w:val="18"/>
          <w:b w:val="1"/>
          <w:bCs w:val="1"/>
          <w:color w:val="auto"/>
        </w:rPr>
      </w:pPr>
    </w:p>
    <w:p>
      <w:pPr>
        <w:ind w:left="46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At June 30, 2003, the Company had deferred revenue totaling approximately $12.5 million and deferred profit of $6.2 million. At December 31, 2002, the Company had deferred revenue totaling approximately $9.8 million and deferred profit of $5.2 million. The increase in deferred revenue and profit is primarily related to the deferral of revenue on certain semiconductor test handler upgrades that have been shipped and installed and are awaiting customer acceptance.</w:t>
      </w:r>
    </w:p>
    <w:p>
      <w:pPr>
        <w:spacing w:after="0" w:line="19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31" w:lineRule="exact"/>
        <w:rPr>
          <w:rFonts w:ascii="Arial" w:cs="Arial" w:eastAsia="Arial" w:hAnsi="Arial"/>
          <w:sz w:val="18"/>
          <w:szCs w:val="18"/>
          <w:b w:val="1"/>
          <w:bCs w:val="1"/>
          <w:color w:val="auto"/>
        </w:rPr>
      </w:pPr>
    </w:p>
    <w:p>
      <w:pPr>
        <w:ind w:left="460" w:right="1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Cohu has several stock-based compensation plans that are described more fully in Note 10 to the Consolidated Financial Statements included in the Company’s Annual Report on Form 10-K for the year ended December 31, 2002. Cohu accounts for those plans under the recognition and measurement principles of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No stock-based employee compensation cost is reflected in the consolidated statements of income, as all options granted under those plans had an exercise price equal to the market value of the underlying common stock on the date of grant. The following table illustrates the effect on net income and net income per share if Cohu had applied the fair value recognition provisions of Financial Accounting Standards Board (“FASB”) Statement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to stock-based employee compensation.</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6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Six months ended</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320" w:type="dxa"/>
            <w:vAlign w:val="bottom"/>
          </w:tcPr>
          <w:p>
            <w:pPr>
              <w:ind w:left="480"/>
              <w:spacing w:after="0"/>
              <w:rPr>
                <w:sz w:val="20"/>
                <w:szCs w:val="20"/>
                <w:color w:val="auto"/>
              </w:rPr>
            </w:pPr>
            <w:r>
              <w:rPr>
                <w:rFonts w:ascii="Arial" w:cs="Arial" w:eastAsia="Arial" w:hAnsi="Arial"/>
                <w:sz w:val="14"/>
                <w:szCs w:val="14"/>
                <w:b w:val="1"/>
                <w:bCs w:val="1"/>
                <w:color w:val="auto"/>
              </w:rPr>
              <w:t>(in thousands, except per share amounts)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4,106</w:t>
            </w: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822</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2,736</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243</w:t>
            </w:r>
          </w:p>
        </w:tc>
        <w:tc>
          <w:tcPr>
            <w:tcW w:w="3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4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Less: Total stock-based employee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w w:val="87"/>
              </w:rPr>
              <w:t>compensation expense determined under fair</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w w:val="95"/>
              </w:rPr>
              <w:t>value based method for all awards, net of</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(755)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w w:val="87"/>
              </w:rPr>
              <w:t>(1,474)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320" w:type="dxa"/>
            <w:vAlign w:val="bottom"/>
          </w:tcPr>
          <w:p>
            <w:pPr>
              <w:ind w:left="140"/>
              <w:spacing w:after="0"/>
              <w:rPr>
                <w:sz w:val="20"/>
                <w:szCs w:val="20"/>
                <w:color w:val="auto"/>
              </w:rPr>
            </w:pPr>
            <w:r>
              <w:rPr>
                <w:rFonts w:ascii="Arial" w:cs="Arial" w:eastAsia="Arial" w:hAnsi="Arial"/>
                <w:sz w:val="18"/>
                <w:szCs w:val="18"/>
                <w:color w:val="auto"/>
              </w:rPr>
              <w:t>related tax effect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(1,049)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(1,867)</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Pro forma net income (loss)</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4"/>
              </w:rPr>
              <w:t>3,351</w:t>
            </w: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(227)</w:t>
            </w: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97"/>
              </w:rPr>
              <w:t>1,262</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(1,624)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33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440" w:type="dxa"/>
            <w:vAlign w:val="bottom"/>
          </w:tcPr>
          <w:p>
            <w:pPr>
              <w:spacing w:after="0"/>
              <w:rPr>
                <w:sz w:val="18"/>
                <w:szCs w:val="18"/>
                <w:color w:val="auto"/>
              </w:rPr>
            </w:pPr>
          </w:p>
        </w:tc>
        <w:tc>
          <w:tcPr>
            <w:tcW w:w="33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Basic-as reported</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20" w:type="dxa"/>
            <w:vAlign w:val="bottom"/>
          </w:tcPr>
          <w:p>
            <w:pPr>
              <w:ind w:left="360"/>
              <w:spacing w:after="0"/>
              <w:rPr>
                <w:sz w:val="20"/>
                <w:szCs w:val="20"/>
                <w:color w:val="auto"/>
              </w:rPr>
            </w:pPr>
            <w:r>
              <w:rPr>
                <w:rFonts w:ascii="Arial" w:cs="Arial" w:eastAsia="Arial" w:hAnsi="Arial"/>
                <w:sz w:val="18"/>
                <w:szCs w:val="18"/>
                <w:color w:val="auto"/>
              </w:rPr>
              <w:t>Basic-pro forma</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3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Diluted-as reported</w:t>
            </w:r>
          </w:p>
        </w:tc>
        <w:tc>
          <w:tcPr>
            <w:tcW w:w="4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.19</w:t>
            </w:r>
          </w:p>
        </w:tc>
        <w:tc>
          <w:tcPr>
            <w:tcW w:w="20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.04</w:t>
            </w:r>
          </w:p>
        </w:tc>
        <w:tc>
          <w:tcPr>
            <w:tcW w:w="320" w:type="dxa"/>
            <w:vAlign w:val="bottom"/>
            <w:shd w:val="clear" w:color="auto" w:fill="EEEEEE"/>
          </w:tcPr>
          <w:p>
            <w:pPr>
              <w:spacing w:after="0"/>
              <w:rPr>
                <w:sz w:val="18"/>
                <w:szCs w:val="18"/>
                <w:color w:val="auto"/>
              </w:rPr>
            </w:pPr>
          </w:p>
        </w:tc>
        <w:tc>
          <w:tcPr>
            <w:tcW w:w="62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w:t>
            </w:r>
          </w:p>
        </w:tc>
        <w:tc>
          <w:tcPr>
            <w:tcW w:w="32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40" w:type="dxa"/>
            <w:vAlign w:val="bottom"/>
          </w:tcPr>
          <w:p>
            <w:pPr>
              <w:spacing w:after="0"/>
              <w:rPr>
                <w:sz w:val="19"/>
                <w:szCs w:val="19"/>
                <w:color w:val="auto"/>
              </w:rPr>
            </w:pPr>
          </w:p>
        </w:tc>
        <w:tc>
          <w:tcPr>
            <w:tcW w:w="3320" w:type="dxa"/>
            <w:vAlign w:val="bottom"/>
          </w:tcPr>
          <w:p>
            <w:pPr>
              <w:ind w:left="360"/>
              <w:spacing w:after="0"/>
              <w:rPr>
                <w:sz w:val="20"/>
                <w:szCs w:val="20"/>
                <w:color w:val="auto"/>
              </w:rPr>
            </w:pPr>
            <w:r>
              <w:rPr>
                <w:rFonts w:ascii="Arial" w:cs="Arial" w:eastAsia="Arial" w:hAnsi="Arial"/>
                <w:sz w:val="18"/>
                <w:szCs w:val="18"/>
                <w:color w:val="auto"/>
              </w:rPr>
              <w:t>Diluted-pro forma</w:t>
            </w:r>
          </w:p>
        </w:tc>
        <w:tc>
          <w:tcPr>
            <w:tcW w:w="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(.01)</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.06</w:t>
            </w: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4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 xml:space="preserve">In June, 2002, the FASB issued Statement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Statement No. 146 addresses financial accounting and reporting for costs associated with exit or disposal activities and nullifies Emerging Issues Task Force Issue No. 94-3. The adoption of Statement No. 146 is effective for exit or disposal activities that are initiated after December 31, 2002, including Cohu’s recently announced Columbus, Ohio and Littleton, Massachusetts facilities consolidations.</w:t>
      </w:r>
    </w:p>
    <w:p>
      <w:pPr>
        <w:spacing w:after="0" w:line="197"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 xml:space="preserve">In November, 2002, the FASB Emerging Issues Task Force (“EITF”) reached a consensus on Issue No. 00-21, </w:t>
      </w:r>
      <w:r>
        <w:rPr>
          <w:rFonts w:ascii="Arial" w:cs="Arial" w:eastAsia="Arial" w:hAnsi="Arial"/>
          <w:sz w:val="18"/>
          <w:szCs w:val="18"/>
          <w:i w:val="1"/>
          <w:iCs w:val="1"/>
          <w:color w:val="auto"/>
        </w:rPr>
        <w:t>Revenue Arrangements with Multiple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Deliverables. </w:t>
      </w:r>
      <w:r>
        <w:rPr>
          <w:rFonts w:ascii="Arial" w:cs="Arial" w:eastAsia="Arial" w:hAnsi="Arial"/>
          <w:sz w:val="18"/>
          <w:szCs w:val="18"/>
          <w:color w:val="auto"/>
        </w:rPr>
        <w:t>EITF Issue No. 00-21 provides guidance on how to account for arrangements that involve the delivery or performance of multiple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and/or rights to use assets. The provisions of EITF Issue No. 00-21 will apply to revenue arrangements entered into in fiscal periods beginning after June 15, 2003. The Company is currently evaluating the effect that the adoption of EITF Issue No. 00-21 will have on its results of operations and financial condition.</w:t>
      </w:r>
    </w:p>
    <w:p>
      <w:pPr>
        <w:spacing w:after="0" w:line="197" w:lineRule="exact"/>
        <w:rPr>
          <w:sz w:val="20"/>
          <w:szCs w:val="20"/>
          <w:color w:val="auto"/>
        </w:rPr>
      </w:pPr>
    </w:p>
    <w:p>
      <w:pPr>
        <w:ind w:left="460"/>
        <w:spacing w:after="0" w:line="288"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provides guidance on: 1) the identification of entities for which control is achieved through means other than through voting rights, known as “variable interest entities” (“VIEs”); and 2) which business enterprise is the primary beneficiary and when it should consolidate the VIE. This new model for consolidation applies to entities: 1) where the equity investors (if any) do not have a controlling financial interest; or 2) whose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FIN 46 is effective for all new VIEs created or acquired after January 31, 2003. For VIEs created or acquired prior to February 1, 2003, the provisions of FIN 46 must be applied no later than the beginning of the first interim or annual reporting period beginning after June 15, 2003. Certain disclosures are effective immediately. Cohu is in the process of assessing the effect of FIN 46.</w:t>
      </w:r>
    </w:p>
    <w:p>
      <w:pPr>
        <w:spacing w:after="0" w:line="174"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 xml:space="preserve">In April, 2003, the FASB issued Statement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xml:space="preserve"> This statement provides clarification on the financial accounting and reporting of derivative instruments and hedging activities and requires contracts with similar characteristics to be accounted for on a comparable basis. Cohu is in the process of assessing the effect of No.149 and does not expect the adoption of it, which will be effective for contracts entered into or modified after June 30, 2003, to have a material effect on its financial condition or results of operations.</w:t>
      </w:r>
    </w:p>
    <w:p>
      <w:pPr>
        <w:spacing w:after="0" w:line="167"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 xml:space="preserve">In May, 2003, the FASB issued Statement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xml:space="preserve"> This statement establishes standards on the classification and measurement of financial instruments with characteristics of both liabilities and equity and is effective for financial instruments entered into or modified after May 31, 2003. Cohu does not expect the implementation of this pronouncement to have a material effect on its financial condition or results of operations.</w:t>
      </w:r>
    </w:p>
    <w:p>
      <w:pPr>
        <w:spacing w:after="0" w:line="19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(Loss) Per Share</w:t>
      </w:r>
    </w:p>
    <w:p>
      <w:pPr>
        <w:spacing w:after="0" w:line="231" w:lineRule="exact"/>
        <w:rPr>
          <w:rFonts w:ascii="Arial" w:cs="Arial" w:eastAsia="Arial" w:hAnsi="Arial"/>
          <w:sz w:val="18"/>
          <w:szCs w:val="18"/>
          <w:b w:val="1"/>
          <w:bCs w:val="1"/>
          <w:color w:val="auto"/>
        </w:rPr>
      </w:pPr>
    </w:p>
    <w:p>
      <w:pPr>
        <w:ind w:left="460" w:right="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 xml:space="preserve">Income (loss) per share is computed in accordance with FASB Statement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Basic income (loss) per share is computed using the weighted average number of common shares outstanding during each period. Diluted income (loss) per share includes the dilutive effect of common shares potentially issuable upon the exercise of stock options. For purposes of computing diluted income (loss) per share, stock options with exercise prices that exceed the average fair market value of the Company’s common stock for the period are excluded. For the three and six months ended June 30, 2003 and 2002, options to purchase approximately 287,000 and 294,000 and 42,000 and 43,000 shares of common stock, respectively, were excluded from the computation. The impact of stock options is excluded for loss periods as they would be antidilutive. The following table reconciles the denominators used in computing basic and diluted income per share: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2003</w:t>
      </w:r>
    </w:p>
    <w:p>
      <w:pPr>
        <w:spacing w:after="0" w:line="200" w:lineRule="exact"/>
        <w:rPr>
          <w:sz w:val="20"/>
          <w:szCs w:val="20"/>
          <w:color w:val="auto"/>
        </w:rPr>
      </w:pPr>
    </w:p>
    <w:p>
      <w:pPr>
        <w:spacing w:after="0" w:line="245"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5"/>
              </w:rPr>
              <w:t>Three months ended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4"/>
              </w:rPr>
              <w:t>Six months ended</w:t>
            </w: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60" w:type="dxa"/>
            <w:vAlign w:val="bottom"/>
            <w:gridSpan w:val="5"/>
          </w:tcPr>
          <w:p>
            <w:pPr>
              <w:jc w:val="center"/>
              <w:ind w:right="740"/>
              <w:spacing w:after="0" w:line="149" w:lineRule="exact"/>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gridSpan w:val="5"/>
          </w:tcPr>
          <w:p>
            <w:pPr>
              <w:jc w:val="center"/>
              <w:ind w:right="76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74"/>
        </w:trPr>
        <w:tc>
          <w:tcPr>
            <w:tcW w:w="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72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2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c>
          <w:tcPr>
            <w:tcW w:w="98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2003</w:t>
            </w:r>
          </w:p>
        </w:tc>
        <w:tc>
          <w:tcPr>
            <w:tcW w:w="12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5"/>
                <w:szCs w:val="15"/>
                <w:color w:val="auto"/>
              </w:rPr>
            </w:pPr>
          </w:p>
        </w:tc>
      </w:tr>
      <w:tr>
        <w:trPr>
          <w:trHeight w:val="95"/>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i w:val="1"/>
                <w:iCs w:val="1"/>
                <w:color w:val="auto"/>
                <w:w w:val="87"/>
              </w:rPr>
              <w:t>(in thousands)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gridSpan w:val="6"/>
          </w:tcPr>
          <w:p>
            <w:pPr>
              <w:jc w:val="center"/>
              <w:ind w:right="240"/>
              <w:spacing w:after="0"/>
              <w:rPr>
                <w:sz w:val="20"/>
                <w:szCs w:val="20"/>
                <w:color w:val="auto"/>
              </w:rPr>
            </w:pPr>
            <w:r>
              <w:rPr>
                <w:rFonts w:ascii="Arial" w:cs="Arial" w:eastAsia="Arial" w:hAnsi="Arial"/>
                <w:sz w:val="14"/>
                <w:szCs w:val="14"/>
                <w:i w:val="1"/>
                <w:iCs w:val="1"/>
                <w:color w:val="auto"/>
                <w:w w:val="87"/>
              </w:rPr>
              <w:t>(in thousands)</w:t>
            </w: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common shares outstanding</w:t>
            </w: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21,098</w:t>
            </w:r>
          </w:p>
        </w:tc>
        <w:tc>
          <w:tcPr>
            <w:tcW w:w="12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20,750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21,005</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20,685</w:t>
            </w:r>
          </w:p>
        </w:tc>
        <w:tc>
          <w:tcPr>
            <w:tcW w:w="240" w:type="dxa"/>
            <w:vAlign w:val="bottom"/>
            <w:shd w:val="clear" w:color="auto" w:fill="EEEEEE"/>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Effect of dilutive stock options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533</w:t>
            </w:r>
          </w:p>
        </w:tc>
        <w:tc>
          <w:tcPr>
            <w:tcW w:w="1220" w:type="dxa"/>
            <w:vAlign w:val="bottom"/>
            <w:gridSpan w:val="4"/>
          </w:tcPr>
          <w:p>
            <w:pPr>
              <w:jc w:val="right"/>
              <w:ind w:right="20"/>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452</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941</w:t>
            </w:r>
          </w:p>
        </w:tc>
        <w:tc>
          <w:tcPr>
            <w:tcW w:w="240" w:type="dxa"/>
            <w:vAlign w:val="bottom"/>
          </w:tcPr>
          <w:p>
            <w:pPr>
              <w:spacing w:after="0"/>
              <w:rPr>
                <w:sz w:val="19"/>
                <w:szCs w:val="19"/>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50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21,631</w:t>
            </w:r>
          </w:p>
        </w:tc>
        <w:tc>
          <w:tcPr>
            <w:tcW w:w="12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21,690</w:t>
            </w:r>
          </w:p>
        </w:tc>
        <w:tc>
          <w:tcPr>
            <w:tcW w:w="24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21,457</w:t>
            </w:r>
          </w:p>
        </w:tc>
        <w:tc>
          <w:tcPr>
            <w:tcW w:w="1200" w:type="dxa"/>
            <w:vAlign w:val="bottom"/>
            <w:gridSpan w:val="4"/>
            <w:shd w:val="clear" w:color="auto" w:fill="EEEEEE"/>
          </w:tcPr>
          <w:p>
            <w:pPr>
              <w:jc w:val="right"/>
              <w:spacing w:after="0"/>
              <w:rPr>
                <w:sz w:val="20"/>
                <w:szCs w:val="20"/>
                <w:color w:val="auto"/>
              </w:rPr>
            </w:pPr>
            <w:r>
              <w:rPr>
                <w:rFonts w:ascii="Arial" w:cs="Arial" w:eastAsia="Arial" w:hAnsi="Arial"/>
                <w:sz w:val="18"/>
                <w:szCs w:val="18"/>
                <w:color w:val="auto"/>
              </w:rPr>
              <w:t>21,626</w:t>
            </w:r>
          </w:p>
        </w:tc>
        <w:tc>
          <w:tcPr>
            <w:tcW w:w="240" w:type="dxa"/>
            <w:vAlign w:val="bottom"/>
            <w:shd w:val="clear" w:color="auto" w:fill="EEEEEE"/>
          </w:tcPr>
          <w:p>
            <w:pPr>
              <w:spacing w:after="0"/>
              <w:rPr>
                <w:sz w:val="18"/>
                <w:szCs w:val="18"/>
                <w:color w:val="auto"/>
              </w:rPr>
            </w:pPr>
          </w:p>
        </w:tc>
      </w:tr>
      <w:tr>
        <w:trPr>
          <w:trHeight w:val="105"/>
        </w:trPr>
        <w:tc>
          <w:tcPr>
            <w:tcW w:w="20" w:type="dxa"/>
            <w:vAlign w:val="bottom"/>
          </w:tcPr>
          <w:p>
            <w:pPr>
              <w:spacing w:after="0"/>
              <w:rPr>
                <w:sz w:val="9"/>
                <w:szCs w:val="9"/>
                <w:color w:val="auto"/>
              </w:rPr>
            </w:pPr>
          </w:p>
        </w:tc>
        <w:tc>
          <w:tcPr>
            <w:tcW w:w="5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r>
      <w:tr>
        <w:trPr>
          <w:trHeight w:val="61"/>
        </w:trPr>
        <w:tc>
          <w:tcPr>
            <w:tcW w:w="20" w:type="dxa"/>
            <w:vAlign w:val="bottom"/>
          </w:tcPr>
          <w:p>
            <w:pPr>
              <w:spacing w:after="0"/>
              <w:rPr>
                <w:sz w:val="5"/>
                <w:szCs w:val="5"/>
                <w:color w:val="auto"/>
              </w:rPr>
            </w:pPr>
          </w:p>
        </w:tc>
        <w:tc>
          <w:tcPr>
            <w:tcW w:w="5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r>
    </w:tbl>
    <w:p>
      <w:pPr>
        <w:spacing w:after="0" w:line="307"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31" w:lineRule="exact"/>
        <w:rPr>
          <w:rFonts w:ascii="Arial" w:cs="Arial" w:eastAsia="Arial" w:hAnsi="Arial"/>
          <w:sz w:val="18"/>
          <w:szCs w:val="18"/>
          <w:b w:val="1"/>
          <w:bCs w:val="1"/>
          <w:color w:val="auto"/>
        </w:rPr>
      </w:pPr>
    </w:p>
    <w:p>
      <w:pPr>
        <w:ind w:left="46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income tax provision included in the statements of income for the three and six months ended June 30, 2003 and 2002, is based on the estimated annual effective tax rate for the entire year. These estimated effective tax rates are subject to adjustment in subsequent quarterly periods as the Company’s estimate of pretax income or loss for the year are increased or decreased. The effective tax rate for the three and six months ended June 30, 2003 is less than the U.S. federal statutory rate primarily due to tax credits.</w:t>
      </w:r>
    </w:p>
    <w:p>
      <w:pPr>
        <w:spacing w:after="0" w:line="197"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 valuation allowance of $4.7 million has been provided on deferred tax assets at December 31, 2002, primarily due to uncertainties of realizing net deferred tax assets in excess of income expected to be generated solely from certain tax planning strategies. The Company determined that the valuation allowance was required based upon its recent losses, and the likelihood of generating sufficient additional taxable income in future years to obtain benefit from the reversal of temporary differences and net operating loss and tax credit carryforwards. The amount of deferred tax assets considered realizable is subject to adjustment in future periods if estimates of future taxable income change. If the valuation allowance is increased there would be a corresponding increase in the income tax provision.</w:t>
      </w:r>
    </w:p>
    <w:p>
      <w:pPr>
        <w:spacing w:after="0" w:line="192"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Investments and Other Intangible Assets</w:t>
      </w:r>
    </w:p>
    <w:p>
      <w:pPr>
        <w:spacing w:after="0" w:line="231" w:lineRule="exact"/>
        <w:rPr>
          <w:rFonts w:ascii="Arial" w:cs="Arial" w:eastAsia="Arial" w:hAnsi="Arial"/>
          <w:sz w:val="18"/>
          <w:szCs w:val="18"/>
          <w:b w:val="1"/>
          <w:bCs w:val="1"/>
          <w:color w:val="auto"/>
        </w:rPr>
      </w:pPr>
    </w:p>
    <w:p>
      <w:pPr>
        <w:ind w:left="4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June, 2001, the FASB issued Statement No. 142</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Under Statement No. 142, goodwill and other intangible assets with indefinite useful lives are not amortized, but are reviewed annually for impairment or more frequently if impairment indicators arise. Separable intangible assets that have finite lives are amortized over their useful lives. Under Statement No. 142, goodwill and other intangible assets with indefinite useful lives resulting from acquisitions completed after June 30, 2001 are not amortized. At June 30, 2003, the Company had goodwill of $8.3 million that resulted from an acquisition completed in July, 2001.</w:t>
      </w:r>
    </w:p>
    <w:p>
      <w:pPr>
        <w:spacing w:after="0" w:line="196" w:lineRule="exact"/>
        <w:rPr>
          <w:rFonts w:ascii="Arial" w:cs="Arial" w:eastAsia="Arial" w:hAnsi="Arial"/>
          <w:sz w:val="18"/>
          <w:szCs w:val="18"/>
          <w:b w:val="1"/>
          <w:bCs w:val="1"/>
          <w:color w:val="auto"/>
        </w:rPr>
      </w:pPr>
    </w:p>
    <w:p>
      <w:pPr>
        <w:jc w:val="both"/>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performed the required annual goodwill impairment test as of October 1, 2002. Cohu did not recognize any goodwill impairment as a result of performing this annual test. A decline in the fair value of Cohu’s semiconductor equipment business may indicate goodwill impairment that could result in a charge to Cohu’s future operating results.</w:t>
      </w:r>
    </w:p>
    <w:p>
      <w:pPr>
        <w:spacing w:after="0" w:line="194" w:lineRule="exact"/>
        <w:rPr>
          <w:rFonts w:ascii="Arial" w:cs="Arial" w:eastAsia="Arial" w:hAnsi="Arial"/>
          <w:sz w:val="18"/>
          <w:szCs w:val="18"/>
          <w:b w:val="1"/>
          <w:bCs w:val="1"/>
          <w:color w:val="auto"/>
        </w:rPr>
      </w:pPr>
    </w:p>
    <w:p>
      <w:pPr>
        <w:ind w:left="46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In August, 2001, the FASB issued Statement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which supersedes Statement No. 121. Statement No. 144 addresses financial accounting and reporting for the impairment of long-lived assets (excluding goodwill) and for long-lived assets to be disposed of. However, Statement No. 144 retains the fundamental provisions of Statement No. 121 for recognition and measurement of the impairment of long-lived assets to be held and used. Cohu adopted Statement No. 144 effective January 1, 2002.</w:t>
      </w:r>
    </w:p>
    <w:p>
      <w:pPr>
        <w:spacing w:after="0" w:line="167" w:lineRule="exact"/>
        <w:rPr>
          <w:sz w:val="20"/>
          <w:szCs w:val="20"/>
          <w:color w:val="auto"/>
        </w:rPr>
      </w:pPr>
    </w:p>
    <w:p>
      <w:pPr>
        <w:ind w:left="460" w:right="100"/>
        <w:spacing w:after="0" w:line="255" w:lineRule="auto"/>
        <w:rPr>
          <w:sz w:val="20"/>
          <w:szCs w:val="20"/>
          <w:color w:val="auto"/>
        </w:rPr>
      </w:pPr>
      <w:r>
        <w:rPr>
          <w:rFonts w:ascii="Arial" w:cs="Arial" w:eastAsia="Arial" w:hAnsi="Arial"/>
          <w:sz w:val="18"/>
          <w:szCs w:val="18"/>
          <w:color w:val="auto"/>
        </w:rPr>
        <w:t>In the fourth quarter of 2002, Cohu entered into a $1.7 million license agreement for certain intellectual property and know-how from LiveTools Technology SA. The Company is amortizing the $1.7 million intangible asset to expense over the three-year exclusive license period. Accumulated amortization at June 30, 2003 and December 31, 2002, was $367,000 and $92,000, respectively. Amortization expense was $138,000 and $275,000 in the three and six month periods ended June 30, 2003, respectively. The estimated amortization expense in future years is 2003 - $275,000; 2004 - - $550,000; 2005 - $458,000.</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color w:val="auto"/>
        </w:rPr>
        <w:t xml:space="preserve">In December, 2002, Cohu invested $2.5 million in KryoTech, Inc. preferred stock. Cohu is committed to invest an additional $2.5 million in KryoTech subject to the successful completion of a joint development program between the companies and the satisfaction of certain other conditions. Cohu is accounting for its less than 10% ownership interest in KryoTech under the cost method. It is not currently known when or if Cohu will make the second $2.5 million investment in KryoTech. In the quarter ended June 30, 2003, the Company wrote off the investment and recorded a $2.5 million charge to operating results as the investment was deemed impaired and such impairment was considered other than temporary, pursuant to APB No. 18, </w:t>
      </w:r>
      <w:r>
        <w:rPr>
          <w:rFonts w:ascii="Arial" w:cs="Arial" w:eastAsia="Arial" w:hAnsi="Arial"/>
          <w:sz w:val="16"/>
          <w:szCs w:val="16"/>
          <w:i w:val="1"/>
          <w:iCs w:val="1"/>
          <w:color w:val="auto"/>
        </w:rPr>
        <w:t>The Equity</w:t>
      </w:r>
      <w:r>
        <w:rPr>
          <w:rFonts w:ascii="Arial" w:cs="Arial" w:eastAsia="Arial" w:hAnsi="Arial"/>
          <w:sz w:val="16"/>
          <w:szCs w:val="16"/>
          <w:color w:val="auto"/>
        </w:rPr>
        <w:t xml:space="preserve"> </w:t>
      </w:r>
      <w:r>
        <w:rPr>
          <w:rFonts w:ascii="Arial" w:cs="Arial" w:eastAsia="Arial" w:hAnsi="Arial"/>
          <w:sz w:val="16"/>
          <w:szCs w:val="16"/>
          <w:i w:val="1"/>
          <w:iCs w:val="1"/>
          <w:color w:val="auto"/>
        </w:rPr>
        <w:t>Method of Accounting for Investments in Common Stock</w:t>
      </w:r>
      <w:r>
        <w:rPr>
          <w:rFonts w:ascii="Arial" w:cs="Arial" w:eastAsia="Arial" w:hAnsi="Arial"/>
          <w:sz w:val="16"/>
          <w:szCs w:val="16"/>
          <w:color w:val="auto"/>
        </w:rPr>
        <w:t>.</w:t>
      </w:r>
    </w:p>
    <w:p>
      <w:pPr>
        <w:spacing w:after="0" w:line="168"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Geographic Consolidation</w:t>
      </w:r>
    </w:p>
    <w:p>
      <w:pPr>
        <w:spacing w:after="0" w:line="231" w:lineRule="exact"/>
        <w:rPr>
          <w:rFonts w:ascii="Arial" w:cs="Arial" w:eastAsia="Arial" w:hAnsi="Arial"/>
          <w:sz w:val="18"/>
          <w:szCs w:val="18"/>
          <w:b w:val="1"/>
          <w:bCs w:val="1"/>
          <w:color w:val="auto"/>
        </w:rPr>
      </w:pPr>
    </w:p>
    <w:p>
      <w:pPr>
        <w:ind w:left="4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April 10, 2003, Cohu announced that its Delta Design, Inc. subsidiary (“Delta”) was relocating its Littleton, Massachusetts operation to its headquarters facility in Poway, California. Cohu expects the consolidation, that will result in approximately 50 of the 65 employees being terminated, to be completed by October, 2003. Cohu expects to incur charges primarily in the third and fourth quarters of 2003 totaling approximately $1.5 million for severance and other related exit costs. The Company recorded charges to operations in the quarter ended June 30, 2003, totaling $194,000 for severance and one-time termination benefits and $84,000 for fixed asset impairment. These charges are included in cost of sales ($112,000), research and development ($132,000) and selling, general and administrative expense ($34,000).</w:t>
      </w:r>
    </w:p>
    <w:p>
      <w:pPr>
        <w:spacing w:after="0" w:line="174"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reconciles amounts accrued and paid under the Littleton consolidation plan.</w:t>
      </w:r>
    </w:p>
    <w:p>
      <w:pPr>
        <w:spacing w:after="0" w:line="200" w:lineRule="exact"/>
        <w:rPr>
          <w:sz w:val="20"/>
          <w:szCs w:val="20"/>
          <w:color w:val="auto"/>
        </w:rPr>
      </w:pPr>
    </w:p>
    <w:p>
      <w:pPr>
        <w:spacing w:after="0" w:line="251"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gridSpan w:val="3"/>
          </w:tcPr>
          <w:p>
            <w:pPr>
              <w:ind w:left="280"/>
              <w:spacing w:after="0"/>
              <w:rPr>
                <w:sz w:val="20"/>
                <w:szCs w:val="20"/>
                <w:color w:val="auto"/>
              </w:rPr>
            </w:pPr>
            <w:r>
              <w:rPr>
                <w:rFonts w:ascii="Arial" w:cs="Arial" w:eastAsia="Arial" w:hAnsi="Arial"/>
                <w:sz w:val="14"/>
                <w:szCs w:val="14"/>
                <w:b w:val="1"/>
                <w:bCs w:val="1"/>
                <w:color w:val="auto"/>
              </w:rPr>
              <w:t>Severance and</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400" w:type="dxa"/>
            <w:vAlign w:val="bottom"/>
            <w:gridSpan w:val="3"/>
          </w:tcPr>
          <w:p>
            <w:pPr>
              <w:ind w:left="320"/>
              <w:spacing w:after="0"/>
              <w:rPr>
                <w:sz w:val="20"/>
                <w:szCs w:val="20"/>
                <w:color w:val="auto"/>
              </w:rPr>
            </w:pPr>
            <w:r>
              <w:rPr>
                <w:rFonts w:ascii="Arial" w:cs="Arial" w:eastAsia="Arial" w:hAnsi="Arial"/>
                <w:sz w:val="14"/>
                <w:szCs w:val="14"/>
                <w:b w:val="1"/>
                <w:bCs w:val="1"/>
                <w:color w:val="auto"/>
              </w:rPr>
              <w:t>other payroll</w:t>
            </w:r>
          </w:p>
        </w:tc>
        <w:tc>
          <w:tcPr>
            <w:tcW w:w="260" w:type="dxa"/>
            <w:vAlign w:val="bottom"/>
          </w:tcPr>
          <w:p>
            <w:pPr>
              <w:spacing w:after="0"/>
              <w:rPr>
                <w:sz w:val="15"/>
                <w:szCs w:val="15"/>
                <w:color w:val="auto"/>
              </w:rPr>
            </w:pPr>
          </w:p>
        </w:tc>
        <w:tc>
          <w:tcPr>
            <w:tcW w:w="14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Other exit costs</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Liability at March 31, 2003</w:t>
            </w:r>
          </w:p>
        </w:tc>
        <w:tc>
          <w:tcPr>
            <w:tcW w:w="400" w:type="dxa"/>
            <w:vAlign w:val="bottom"/>
            <w:shd w:val="clear" w:color="auto" w:fill="EEEEEE"/>
          </w:tcPr>
          <w:p>
            <w:pPr>
              <w:ind w:left="320"/>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20"/>
                <w:szCs w:val="20"/>
                <w:color w:val="auto"/>
              </w:rPr>
            </w:pPr>
            <w:r>
              <w:rPr>
                <w:rFonts w:ascii="Arial" w:cs="Arial" w:eastAsia="Arial" w:hAnsi="Arial"/>
                <w:sz w:val="18"/>
                <w:szCs w:val="18"/>
                <w:color w:val="auto"/>
              </w:rPr>
              <w:t>Costs accrued</w:t>
            </w:r>
          </w:p>
        </w:tc>
        <w:tc>
          <w:tcPr>
            <w:tcW w:w="4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194,000</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84,000</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278,000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EEEEEE"/>
          </w:tcPr>
          <w:p>
            <w:pPr>
              <w:spacing w:after="0"/>
              <w:rPr>
                <w:sz w:val="20"/>
                <w:szCs w:val="20"/>
                <w:color w:val="auto"/>
              </w:rPr>
            </w:pPr>
            <w:r>
              <w:rPr>
                <w:rFonts w:ascii="Arial" w:cs="Arial" w:eastAsia="Arial" w:hAnsi="Arial"/>
                <w:sz w:val="18"/>
                <w:szCs w:val="18"/>
                <w:color w:val="auto"/>
              </w:rPr>
              <w:t>Amounts paid or charged</w:t>
            </w:r>
          </w:p>
        </w:tc>
        <w:tc>
          <w:tcPr>
            <w:tcW w:w="4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92"/>
              </w:rPr>
              <w:t>(84,000)</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6"/>
              </w:rPr>
              <w:t>(84,000)</w:t>
            </w:r>
          </w:p>
        </w:tc>
        <w:tc>
          <w:tcPr>
            <w:tcW w:w="2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8"/>
              </w:rPr>
              <w:t>(168,000)</w:t>
            </w:r>
          </w:p>
        </w:tc>
        <w:tc>
          <w:tcPr>
            <w:tcW w:w="0" w:type="dxa"/>
            <w:vAlign w:val="bottom"/>
          </w:tcPr>
          <w:p>
            <w:pPr>
              <w:spacing w:after="0"/>
              <w:rPr>
                <w:sz w:val="1"/>
                <w:szCs w:val="1"/>
                <w:color w:val="auto"/>
              </w:rPr>
            </w:pPr>
          </w:p>
        </w:tc>
      </w:tr>
      <w:tr>
        <w:trPr>
          <w:trHeight w:val="108"/>
        </w:trPr>
        <w:tc>
          <w:tcPr>
            <w:tcW w:w="268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680" w:type="dxa"/>
            <w:vAlign w:val="bottom"/>
            <w:gridSpan w:val="2"/>
          </w:tcPr>
          <w:p>
            <w:pPr>
              <w:spacing w:after="0"/>
              <w:rPr>
                <w:sz w:val="20"/>
                <w:szCs w:val="20"/>
                <w:color w:val="auto"/>
              </w:rPr>
            </w:pPr>
            <w:r>
              <w:rPr>
                <w:rFonts w:ascii="Arial" w:cs="Arial" w:eastAsia="Arial" w:hAnsi="Arial"/>
                <w:sz w:val="18"/>
                <w:szCs w:val="18"/>
                <w:color w:val="auto"/>
              </w:rPr>
              <w:t>Liability at June 30, 2003</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110,000</w:t>
            </w:r>
          </w:p>
        </w:tc>
        <w:tc>
          <w:tcPr>
            <w:tcW w:w="4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110,000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4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Borders>
              <w:right w:val="single" w:sz="8" w:color="808080"/>
            </w:tcBorders>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In April, 2003, Delta completed the relocation of its Columbus, Ohio operations to its facility in Poway, California. The consolidation is expected to reduce costs without impacting the revenue generating activities of Delta. The Company recorded charges to operations in the quarter ended March 31, 2003, totaling $630,000 for severance and one-time termination benefits and $117,000 for contract termination costs primarily related to the leased facility. These charges are included in cost of sales ($47,000), research and development ($570,000) and selling, general and administrative expense ($130,000). Exit related costs charged to operations subsequent to the quarter ended March 31, 2003 were not significant.</w:t>
      </w:r>
    </w:p>
    <w:p>
      <w:pPr>
        <w:spacing w:after="0" w:line="164"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Transactions</w:t>
      </w:r>
    </w:p>
    <w:p>
      <w:pPr>
        <w:spacing w:after="0" w:line="231" w:lineRule="exact"/>
        <w:rPr>
          <w:rFonts w:ascii="Arial" w:cs="Arial" w:eastAsia="Arial" w:hAnsi="Arial"/>
          <w:sz w:val="18"/>
          <w:szCs w:val="18"/>
          <w:b w:val="1"/>
          <w:bCs w:val="1"/>
          <w:color w:val="auto"/>
        </w:rPr>
      </w:pPr>
    </w:p>
    <w:p>
      <w:pPr>
        <w:ind w:left="46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On January 13, 2003, the Company extended the term of the $9.2 million promissory note with TC Kearny Villa, L.P. (“TC”). The 8% non-recourse note is secured by a deed of trust on land and buildings in San Diego, California sold by Cohu to TC in April, 2001. The note amendment extended the due date of the note to March 31, 2005 and provided for principal payments, assuming a 20-year amortization schedule, of $206,000 and $223,000 on April 1, 2003 and 2004, respectively. Interest at 8% was to continue to be paid monthly.</w:t>
      </w:r>
    </w:p>
    <w:p>
      <w:pPr>
        <w:spacing w:after="0" w:line="197" w:lineRule="exact"/>
        <w:rPr>
          <w:rFonts w:ascii="Arial" w:cs="Arial" w:eastAsia="Arial" w:hAnsi="Arial"/>
          <w:sz w:val="18"/>
          <w:szCs w:val="18"/>
          <w:b w:val="1"/>
          <w:bCs w:val="1"/>
          <w:color w:val="auto"/>
        </w:rPr>
      </w:pPr>
    </w:p>
    <w:p>
      <w:pPr>
        <w:ind w:left="460" w:right="8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The property is currently unoccupied and is being offered for sale or lease by TC. TC has not paid any interest on the note since March, 2003 and an aggregate of $184,000 of interest is in arrears. As a result, the note is in default. If TC continues to fail to make the required interest payments Cohu will need to assess whether it is in its best interests to foreclose on the property. Cohu believes the fair value of the property is in excess of the outstanding note balance. However, while the Company believes the fair value of the property is greater than $9 million, no assurances can be made that the net sale proceeds from the property, should Cohu dispose of the property through foreclosure, would exceed the outstanding note balance. If the sale proceeds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were less than the note balance Cohu would realize a loss that would adversely impact operating results.</w:t>
      </w:r>
    </w:p>
    <w:p>
      <w:pPr>
        <w:spacing w:after="0" w:line="225"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8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3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Components of comprehensive income, on an after-tax basis where applicable, were as follows (in thousands):</w:t>
      </w:r>
    </w:p>
    <w:p>
      <w:pPr>
        <w:spacing w:after="0" w:line="200" w:lineRule="exact"/>
        <w:rPr>
          <w:sz w:val="20"/>
          <w:szCs w:val="20"/>
          <w:color w:val="auto"/>
        </w:rPr>
      </w:pPr>
    </w:p>
    <w:p>
      <w:pPr>
        <w:spacing w:after="0" w:line="25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5"/>
              </w:rPr>
              <w:t>Three months ended</w:t>
            </w: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4"/>
              </w:rPr>
              <w:t>Six months ended</w:t>
            </w:r>
          </w:p>
        </w:tc>
        <w:tc>
          <w:tcPr>
            <w:tcW w:w="0" w:type="dxa"/>
            <w:vAlign w:val="bottom"/>
          </w:tcPr>
          <w:p>
            <w:pPr>
              <w:spacing w:after="0"/>
              <w:rPr>
                <w:sz w:val="1"/>
                <w:szCs w:val="1"/>
                <w:color w:val="auto"/>
              </w:rPr>
            </w:pPr>
          </w:p>
        </w:tc>
      </w:tr>
      <w:tr>
        <w:trPr>
          <w:trHeight w:val="174"/>
        </w:trPr>
        <w:tc>
          <w:tcPr>
            <w:tcW w:w="4920" w:type="dxa"/>
            <w:vAlign w:val="bottom"/>
          </w:tcPr>
          <w:p>
            <w:pPr>
              <w:spacing w:after="0"/>
              <w:rPr>
                <w:sz w:val="15"/>
                <w:szCs w:val="15"/>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80" w:type="dxa"/>
            <w:vAlign w:val="bottom"/>
          </w:tcPr>
          <w:p>
            <w:pPr>
              <w:spacing w:after="0"/>
              <w:rPr>
                <w:sz w:val="15"/>
                <w:szCs w:val="15"/>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June 30,</w:t>
            </w:r>
          </w:p>
        </w:tc>
        <w:tc>
          <w:tcPr>
            <w:tcW w:w="38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49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$4,106</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4"/>
              </w:rPr>
              <w:t>$822</w:t>
            </w:r>
          </w:p>
        </w:tc>
        <w:tc>
          <w:tcPr>
            <w:tcW w:w="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$2,736</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4"/>
              </w:rPr>
              <w:t>$243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Change in unrealized gain on investments</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19"/>
                <w:szCs w:val="19"/>
                <w:color w:val="auto"/>
              </w:rPr>
            </w:pPr>
          </w:p>
        </w:tc>
        <w:tc>
          <w:tcPr>
            <w:tcW w:w="1140" w:type="dxa"/>
            <w:vAlign w:val="bottom"/>
            <w:gridSpan w:val="4"/>
          </w:tcPr>
          <w:p>
            <w:pPr>
              <w:jc w:val="right"/>
              <w:ind w:right="92"/>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EEEEEE"/>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w w:val="98"/>
              </w:rPr>
              <w:t>$4,071</w:t>
            </w: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4"/>
              </w:rPr>
              <w:t>$992</w:t>
            </w:r>
          </w:p>
        </w:tc>
        <w:tc>
          <w:tcPr>
            <w:tcW w:w="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$2,641</w:t>
            </w:r>
          </w:p>
        </w:tc>
        <w:tc>
          <w:tcPr>
            <w:tcW w:w="2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tcBorders>
              <w:right w:val="single" w:sz="8" w:color="EEEEEE"/>
            </w:tcBorders>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84"/>
              </w:rPr>
              <w:t>$393</w:t>
            </w:r>
          </w:p>
        </w:tc>
        <w:tc>
          <w:tcPr>
            <w:tcW w:w="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4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460" w:right="260"/>
        <w:spacing w:after="0" w:line="268" w:lineRule="auto"/>
        <w:rPr>
          <w:sz w:val="20"/>
          <w:szCs w:val="20"/>
          <w:color w:val="auto"/>
        </w:rPr>
      </w:pPr>
      <w:r>
        <w:rPr>
          <w:rFonts w:ascii="Arial" w:cs="Arial" w:eastAsia="Arial" w:hAnsi="Arial"/>
          <w:sz w:val="18"/>
          <w:szCs w:val="18"/>
          <w:color w:val="auto"/>
        </w:rPr>
        <w:t>Accumulated other comprehensive income totaled $235,000 and $330,000 at June 30, 2003 and December 31, 2002, respectively, and was attributed to after-tax unrealized gains on investments.</w:t>
      </w:r>
    </w:p>
    <w:p>
      <w:pPr>
        <w:spacing w:after="0" w:line="180"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31" w:lineRule="exact"/>
        <w:rPr>
          <w:rFonts w:ascii="Arial" w:cs="Arial" w:eastAsia="Arial" w:hAnsi="Arial"/>
          <w:sz w:val="18"/>
          <w:szCs w:val="18"/>
          <w:b w:val="1"/>
          <w:bCs w:val="1"/>
          <w:color w:val="auto"/>
        </w:rPr>
      </w:pPr>
    </w:p>
    <w:p>
      <w:pPr>
        <w:ind w:left="46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On August 17, 2001, Broadcast Microwave Services, Inc.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September, 2003.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pacing w:after="0" w:line="172" w:lineRule="exact"/>
        <w:rPr>
          <w:sz w:val="20"/>
          <w:szCs w:val="20"/>
          <w:color w:val="auto"/>
        </w:rPr>
      </w:pPr>
    </w:p>
    <w:p>
      <w:pPr>
        <w:ind w:left="460" w:right="26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June 30, 2003</w:t>
      </w:r>
    </w:p>
    <w:p>
      <w:pPr>
        <w:spacing w:after="0" w:line="213"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Related Information</w:t>
      </w:r>
    </w:p>
    <w:p>
      <w:pPr>
        <w:spacing w:after="0" w:line="231" w:lineRule="exact"/>
        <w:rPr>
          <w:rFonts w:ascii="Arial" w:cs="Arial" w:eastAsia="Arial" w:hAnsi="Arial"/>
          <w:sz w:val="18"/>
          <w:szCs w:val="18"/>
          <w:b w:val="1"/>
          <w:bCs w:val="1"/>
          <w:color w:val="auto"/>
        </w:rPr>
      </w:pPr>
    </w:p>
    <w:p>
      <w:pPr>
        <w:ind w:left="46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information is presented pursuant to FASB Statement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Intersegment sales were not significant in any period.</w:t>
      </w:r>
    </w:p>
    <w:p>
      <w:pPr>
        <w:spacing w:after="0" w:line="200" w:lineRule="exact"/>
        <w:rPr>
          <w:sz w:val="20"/>
          <w:szCs w:val="20"/>
          <w:color w:val="auto"/>
        </w:rPr>
      </w:pPr>
    </w:p>
    <w:p>
      <w:pPr>
        <w:spacing w:after="0" w:line="212"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gridSpan w:val="9"/>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8"/>
          </w:tcPr>
          <w:p>
            <w:pPr>
              <w:jc w:val="center"/>
              <w:ind w:right="540"/>
              <w:spacing w:after="0"/>
              <w:rPr>
                <w:sz w:val="20"/>
                <w:szCs w:val="20"/>
                <w:color w:val="auto"/>
              </w:rPr>
            </w:pPr>
            <w:r>
              <w:rPr>
                <w:rFonts w:ascii="Arial" w:cs="Arial" w:eastAsia="Arial" w:hAnsi="Arial"/>
                <w:sz w:val="14"/>
                <w:szCs w:val="14"/>
                <w:b w:val="1"/>
                <w:bCs w:val="1"/>
                <w:color w:val="auto"/>
                <w:w w:val="85"/>
              </w:rPr>
              <w:t>Six months 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w w:val="90"/>
              </w:rPr>
              <w:t>(in thousands)</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4"/>
          </w:tcPr>
          <w:p>
            <w:pPr>
              <w:jc w:val="center"/>
              <w:ind w:right="40"/>
              <w:spacing w:after="0"/>
              <w:rPr>
                <w:sz w:val="20"/>
                <w:szCs w:val="20"/>
                <w:color w:val="auto"/>
              </w:rPr>
            </w:pPr>
            <w:r>
              <w:rPr>
                <w:rFonts w:ascii="Arial" w:cs="Arial" w:eastAsia="Arial" w:hAnsi="Arial"/>
                <w:sz w:val="14"/>
                <w:szCs w:val="14"/>
                <w:i w:val="1"/>
                <w:iCs w:val="1"/>
                <w:color w:val="auto"/>
                <w:w w:val="87"/>
              </w:rPr>
              <w:t>(in thousands)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Semiconductor equipment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25,516</w:t>
            </w:r>
          </w:p>
        </w:tc>
        <w:tc>
          <w:tcPr>
            <w:tcW w:w="60" w:type="dxa"/>
            <w:vAlign w:val="bottom"/>
          </w:tcPr>
          <w:p>
            <w:pPr>
              <w:spacing w:after="0"/>
              <w:rPr>
                <w:sz w:val="18"/>
                <w:szCs w:val="18"/>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$31,221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b w:val="1"/>
                <w:bCs w:val="1"/>
                <w:color w:val="auto"/>
              </w:rPr>
              <w:t>$49,410</w:t>
            </w:r>
          </w:p>
        </w:tc>
        <w:tc>
          <w:tcPr>
            <w:tcW w:w="16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55,829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Television cameras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4,242</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4,397</w:t>
            </w: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8,437</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8,337</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080" w:type="dxa"/>
            <w:vAlign w:val="bottom"/>
            <w:gridSpan w:val="2"/>
          </w:tcPr>
          <w:p>
            <w:pPr>
              <w:ind w:left="400"/>
              <w:spacing w:after="0"/>
              <w:rPr>
                <w:sz w:val="20"/>
                <w:szCs w:val="20"/>
                <w:color w:val="auto"/>
              </w:rPr>
            </w:pPr>
            <w:r>
              <w:rPr>
                <w:rFonts w:ascii="Arial" w:cs="Arial" w:eastAsia="Arial" w:hAnsi="Arial"/>
                <w:sz w:val="18"/>
                <w:szCs w:val="18"/>
                <w:color w:val="auto"/>
              </w:rPr>
              <w:t>Net sales for reportable segments</w:t>
            </w:r>
          </w:p>
        </w:tc>
        <w:tc>
          <w:tcPr>
            <w:tcW w:w="3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29,758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35,618</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b w:val="1"/>
                <w:bCs w:val="1"/>
                <w:color w:val="auto"/>
              </w:rPr>
              <w:t>57,847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64,166</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2,326</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2,689</w:t>
            </w: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5,316</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5,729</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940" w:type="dxa"/>
            <w:vAlign w:val="bottom"/>
            <w:gridSpan w:val="3"/>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Total consolidated net sales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3"/>
              </w:rPr>
              <w:t>32,084</w:t>
            </w:r>
          </w:p>
        </w:tc>
        <w:tc>
          <w:tcPr>
            <w:tcW w:w="60" w:type="dxa"/>
            <w:vAlign w:val="bottom"/>
          </w:tcPr>
          <w:p>
            <w:pPr>
              <w:spacing w:after="0"/>
              <w:rPr>
                <w:sz w:val="24"/>
                <w:szCs w:val="24"/>
                <w:color w:val="auto"/>
              </w:rPr>
            </w:pPr>
          </w:p>
        </w:tc>
        <w:tc>
          <w:tcPr>
            <w:tcW w:w="1440" w:type="dxa"/>
            <w:vAlign w:val="bottom"/>
            <w:gridSpan w:val="5"/>
          </w:tcPr>
          <w:p>
            <w:pPr>
              <w:jc w:val="right"/>
              <w:ind w:right="20"/>
              <w:spacing w:after="0"/>
              <w:rPr>
                <w:sz w:val="20"/>
                <w:szCs w:val="20"/>
                <w:color w:val="auto"/>
              </w:rPr>
            </w:pPr>
            <w:r>
              <w:rPr>
                <w:rFonts w:ascii="Arial" w:cs="Arial" w:eastAsia="Arial" w:hAnsi="Arial"/>
                <w:sz w:val="18"/>
                <w:szCs w:val="18"/>
                <w:color w:val="auto"/>
              </w:rPr>
              <w:t>$38,307</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b w:val="1"/>
                <w:bCs w:val="1"/>
                <w:color w:val="auto"/>
              </w:rPr>
              <w:t>$63,163</w:t>
            </w:r>
          </w:p>
        </w:tc>
        <w:tc>
          <w:tcPr>
            <w:tcW w:w="16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69,895</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Profit (loss):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Semiconductor equipment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(1,910)</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1,346</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 (3,732)</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Television cameras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152</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286</w:t>
            </w: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304</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328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ind w:left="80"/>
              <w:spacing w:after="0"/>
              <w:rPr>
                <w:sz w:val="20"/>
                <w:szCs w:val="20"/>
                <w:color w:val="auto"/>
              </w:rPr>
            </w:pPr>
            <w:r>
              <w:rPr>
                <w:rFonts w:ascii="Arial" w:cs="Arial" w:eastAsia="Arial" w:hAnsi="Arial"/>
                <w:sz w:val="18"/>
                <w:szCs w:val="18"/>
                <w:color w:val="auto"/>
              </w:rPr>
              <w:t>Profit (loss) for reportable segments</w:t>
            </w:r>
          </w:p>
        </w:tc>
        <w:tc>
          <w:tcPr>
            <w:tcW w:w="3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(1,758)</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1,632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(3,428)</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All other</w:t>
            </w:r>
          </w:p>
        </w:tc>
        <w:tc>
          <w:tcPr>
            <w:tcW w:w="36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b w:val="1"/>
                <w:bCs w:val="1"/>
                <w:color w:val="auto"/>
              </w:rPr>
              <w:t>(893)</w:t>
            </w: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ind w:right="38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EEEEEE"/>
          </w:tcPr>
          <w:p>
            <w:pPr>
              <w:spacing w:after="0"/>
              <w:rPr>
                <w:sz w:val="18"/>
                <w:szCs w:val="18"/>
                <w:color w:val="auto"/>
              </w:rPr>
            </w:pPr>
          </w:p>
        </w:tc>
        <w:tc>
          <w:tcPr>
            <w:tcW w:w="1020" w:type="dxa"/>
            <w:vAlign w:val="bottom"/>
            <w:gridSpan w:val="5"/>
            <w:shd w:val="clear" w:color="auto" w:fill="EEEEEE"/>
          </w:tcPr>
          <w:p>
            <w:pPr>
              <w:jc w:val="right"/>
              <w:ind w:right="52"/>
              <w:spacing w:after="0"/>
              <w:rPr>
                <w:sz w:val="20"/>
                <w:szCs w:val="20"/>
                <w:color w:val="auto"/>
              </w:rPr>
            </w:pPr>
            <w:r>
              <w:rPr>
                <w:rFonts w:ascii="Arial" w:cs="Arial" w:eastAsia="Arial" w:hAnsi="Arial"/>
                <w:sz w:val="18"/>
                <w:szCs w:val="18"/>
                <w:b w:val="1"/>
                <w:bCs w:val="1"/>
                <w:color w:val="auto"/>
              </w:rPr>
              <w:t>(1,143)</w:t>
            </w: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3"/>
            <w:shd w:val="clear" w:color="auto" w:fill="EEEEEE"/>
          </w:tcPr>
          <w:p>
            <w:pPr>
              <w:jc w:val="right"/>
              <w:ind w:right="3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108"/>
        </w:trPr>
        <w:tc>
          <w:tcPr>
            <w:tcW w:w="580" w:type="dxa"/>
            <w:vAlign w:val="bottom"/>
            <w:gridSpan w:val="2"/>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00" w:type="dxa"/>
            <w:vAlign w:val="bottom"/>
            <w:gridSpan w:val="3"/>
          </w:tcPr>
          <w:p>
            <w:pPr>
              <w:spacing w:after="0"/>
              <w:rPr>
                <w:sz w:val="20"/>
                <w:szCs w:val="20"/>
                <w:color w:val="auto"/>
              </w:rPr>
            </w:pPr>
            <w:r>
              <w:rPr>
                <w:rFonts w:ascii="Arial" w:cs="Arial" w:eastAsia="Arial" w:hAnsi="Arial"/>
                <w:sz w:val="18"/>
                <w:szCs w:val="18"/>
                <w:color w:val="auto"/>
              </w:rPr>
              <w:t>Total consolidated profit (loss)</w:t>
            </w:r>
          </w:p>
        </w:tc>
        <w:tc>
          <w:tcPr>
            <w:tcW w:w="36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1"/>
              </w:rPr>
              <w:t>(2,651)</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1,192</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(4,571)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Other unallocated amounts: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(458)</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020" w:type="dxa"/>
            <w:vAlign w:val="bottom"/>
            <w:gridSpan w:val="5"/>
          </w:tcPr>
          <w:p>
            <w:pPr>
              <w:jc w:val="right"/>
              <w:ind w:right="52"/>
              <w:spacing w:after="0"/>
              <w:rPr>
                <w:sz w:val="20"/>
                <w:szCs w:val="20"/>
                <w:color w:val="auto"/>
              </w:rPr>
            </w:pPr>
            <w:r>
              <w:rPr>
                <w:rFonts w:ascii="Arial" w:cs="Arial" w:eastAsia="Arial" w:hAnsi="Arial"/>
                <w:sz w:val="18"/>
                <w:szCs w:val="18"/>
                <w:b w:val="1"/>
                <w:bCs w:val="1"/>
                <w:color w:val="auto"/>
              </w:rPr>
              <w:t>(1,008)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442</w:t>
            </w: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722</w:t>
            </w: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1,142</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1,488</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gridSpan w:val="2"/>
          </w:tcPr>
          <w:p>
            <w:pPr>
              <w:ind w:left="180"/>
              <w:spacing w:after="0"/>
              <w:rPr>
                <w:sz w:val="20"/>
                <w:szCs w:val="20"/>
                <w:color w:val="auto"/>
              </w:rPr>
            </w:pPr>
            <w:r>
              <w:rPr>
                <w:rFonts w:ascii="Arial" w:cs="Arial" w:eastAsia="Arial" w:hAnsi="Arial"/>
                <w:sz w:val="18"/>
                <w:szCs w:val="18"/>
                <w:color w:val="auto"/>
              </w:rPr>
              <w:t>Gain from sale of land</w:t>
            </w:r>
          </w:p>
        </w:tc>
        <w:tc>
          <w:tcPr>
            <w:tcW w:w="3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7,873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b w:val="1"/>
                <w:bCs w:val="1"/>
                <w:color w:val="auto"/>
              </w:rPr>
              <w:t>7,873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b w:val="1"/>
                <w:bCs w:val="1"/>
                <w:color w:val="auto"/>
              </w:rPr>
              <w:t>5,206</w:t>
            </w:r>
          </w:p>
        </w:tc>
        <w:tc>
          <w:tcPr>
            <w:tcW w:w="60" w:type="dxa"/>
            <w:vAlign w:val="bottom"/>
            <w:shd w:val="clear" w:color="auto" w:fill="EEEEEE"/>
          </w:tcPr>
          <w:p>
            <w:pPr>
              <w:spacing w:after="0"/>
              <w:rPr>
                <w:sz w:val="18"/>
                <w:szCs w:val="18"/>
                <w:color w:val="auto"/>
              </w:rPr>
            </w:pPr>
          </w:p>
        </w:tc>
        <w:tc>
          <w:tcPr>
            <w:tcW w:w="9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1,322</w:t>
            </w: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6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b w:val="1"/>
                <w:bCs w:val="1"/>
                <w:color w:val="auto"/>
              </w:rPr>
              <w:t>$ 3,436</w:t>
            </w:r>
          </w:p>
        </w:tc>
        <w:tc>
          <w:tcPr>
            <w:tcW w:w="160" w:type="dxa"/>
            <w:vAlign w:val="bottom"/>
            <w:shd w:val="clear" w:color="auto" w:fill="EEEEEE"/>
          </w:tcPr>
          <w:p>
            <w:pPr>
              <w:spacing w:after="0"/>
              <w:rPr>
                <w:sz w:val="18"/>
                <w:szCs w:val="18"/>
                <w:color w:val="auto"/>
              </w:rPr>
            </w:pPr>
          </w:p>
        </w:tc>
        <w:tc>
          <w:tcPr>
            <w:tcW w:w="820" w:type="dxa"/>
            <w:vAlign w:val="bottom"/>
            <w:tcBorders>
              <w:right w:val="single" w:sz="8" w:color="EEEEEE"/>
            </w:tcBorders>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443</w:t>
            </w:r>
          </w:p>
        </w:tc>
        <w:tc>
          <w:tcPr>
            <w:tcW w:w="3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480" w:type="dxa"/>
            <w:vAlign w:val="bottom"/>
            <w:gridSpan w:val="2"/>
          </w:tcPr>
          <w:p>
            <w:pPr>
              <w:spacing w:after="0"/>
              <w:rPr>
                <w:sz w:val="9"/>
                <w:szCs w:val="9"/>
                <w:color w:val="auto"/>
              </w:rPr>
            </w:pPr>
          </w:p>
        </w:tc>
        <w:tc>
          <w:tcPr>
            <w:tcW w:w="5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320" w:type="dxa"/>
            <w:vAlign w:val="bottom"/>
            <w:tcBorders>
              <w:right w:val="single" w:sz="8" w:color="808080"/>
            </w:tcBorders>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gridSpan w:val="2"/>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9"/>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4"/>
          </w:tcPr>
          <w:p>
            <w:pPr>
              <w:ind w:left="240"/>
              <w:spacing w:after="0"/>
              <w:rPr>
                <w:sz w:val="20"/>
                <w:szCs w:val="20"/>
                <w:color w:val="auto"/>
              </w:rPr>
            </w:pPr>
            <w:r>
              <w:rPr>
                <w:rFonts w:ascii="Arial" w:cs="Arial" w:eastAsia="Arial" w:hAnsi="Arial"/>
                <w:sz w:val="14"/>
                <w:szCs w:val="14"/>
                <w:b w:val="1"/>
                <w:bCs w:val="1"/>
                <w:color w:val="auto"/>
                <w:w w:val="90"/>
              </w:rPr>
              <w:t>June 30, 2003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87"/>
              </w:rPr>
              <w:t>December 31, 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40" w:type="dxa"/>
            <w:vAlign w:val="bottom"/>
            <w:gridSpan w:val="2"/>
          </w:tcPr>
          <w:p>
            <w:pPr>
              <w:spacing w:after="0"/>
              <w:rPr>
                <w:sz w:val="8"/>
                <w:szCs w:val="8"/>
                <w:color w:val="auto"/>
              </w:rPr>
            </w:pPr>
          </w:p>
        </w:tc>
        <w:tc>
          <w:tcPr>
            <w:tcW w:w="480" w:type="dxa"/>
            <w:vAlign w:val="bottom"/>
            <w:tcBorders>
              <w:bottom w:val="single" w:sz="8" w:color="808080"/>
            </w:tcBorders>
            <w:gridSpan w:val="2"/>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5"/>
          </w:tcPr>
          <w:p>
            <w:pPr>
              <w:jc w:val="right"/>
              <w:ind w:right="72"/>
              <w:spacing w:after="0"/>
              <w:rPr>
                <w:sz w:val="20"/>
                <w:szCs w:val="20"/>
                <w:color w:val="auto"/>
              </w:rPr>
            </w:pPr>
            <w:r>
              <w:rPr>
                <w:rFonts w:ascii="Arial" w:cs="Arial" w:eastAsia="Arial" w:hAnsi="Arial"/>
                <w:sz w:val="14"/>
                <w:szCs w:val="14"/>
                <w:i w:val="1"/>
                <w:iCs w:val="1"/>
                <w:color w:val="auto"/>
                <w:w w:val="96"/>
              </w:rPr>
              <w:t>(in thousands)</w:t>
            </w: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Total assets by segment:</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20" w:type="dxa"/>
            <w:vAlign w:val="bottom"/>
          </w:tcPr>
          <w:p>
            <w:pPr>
              <w:ind w:left="320"/>
              <w:spacing w:after="0"/>
              <w:rPr>
                <w:sz w:val="20"/>
                <w:szCs w:val="20"/>
                <w:color w:val="auto"/>
              </w:rPr>
            </w:pPr>
            <w:r>
              <w:rPr>
                <w:rFonts w:ascii="Arial" w:cs="Arial" w:eastAsia="Arial" w:hAnsi="Arial"/>
                <w:sz w:val="18"/>
                <w:szCs w:val="18"/>
                <w:color w:val="auto"/>
              </w:rPr>
              <w:t>Semiconductor equipment</w:t>
            </w: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$ 85,169</w:t>
            </w:r>
          </w:p>
        </w:tc>
        <w:tc>
          <w:tcPr>
            <w:tcW w:w="160" w:type="dxa"/>
            <w:vAlign w:val="bottom"/>
          </w:tcPr>
          <w:p>
            <w:pPr>
              <w:spacing w:after="0"/>
              <w:rPr>
                <w:sz w:val="18"/>
                <w:szCs w:val="18"/>
                <w:color w:val="auto"/>
              </w:rPr>
            </w:pPr>
          </w:p>
        </w:tc>
        <w:tc>
          <w:tcPr>
            <w:tcW w:w="10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86,268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20" w:type="dxa"/>
            <w:vAlign w:val="bottom"/>
            <w:shd w:val="clear" w:color="auto" w:fill="EEEEEE"/>
          </w:tcPr>
          <w:p>
            <w:pPr>
              <w:ind w:left="320"/>
              <w:spacing w:after="0"/>
              <w:rPr>
                <w:sz w:val="20"/>
                <w:szCs w:val="20"/>
                <w:color w:val="auto"/>
              </w:rPr>
            </w:pPr>
            <w:r>
              <w:rPr>
                <w:rFonts w:ascii="Arial" w:cs="Arial" w:eastAsia="Arial" w:hAnsi="Arial"/>
                <w:sz w:val="18"/>
                <w:szCs w:val="18"/>
                <w:color w:val="auto"/>
              </w:rPr>
              <w:t>Television cameras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7,927</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6,672</w:t>
            </w: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Borders>
              <w:bottom w:val="single" w:sz="8" w:color="808080"/>
            </w:tcBorders>
            <w:gridSpan w:val="2"/>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ind w:left="680"/>
              <w:spacing w:after="0"/>
              <w:rPr>
                <w:sz w:val="20"/>
                <w:szCs w:val="20"/>
                <w:color w:val="auto"/>
              </w:rPr>
            </w:pPr>
            <w:r>
              <w:rPr>
                <w:rFonts w:ascii="Arial" w:cs="Arial" w:eastAsia="Arial" w:hAnsi="Arial"/>
                <w:sz w:val="18"/>
                <w:szCs w:val="18"/>
                <w:color w:val="auto"/>
                <w:w w:val="96"/>
              </w:rPr>
              <w:t>Total assets for reportable segments</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93,096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92,940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All other operating segments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9,347</w:t>
            </w: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8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9,590</w:t>
            </w: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40" w:type="dxa"/>
            <w:vAlign w:val="bottom"/>
            <w:gridSpan w:val="4"/>
          </w:tcPr>
          <w:p>
            <w:pPr>
              <w:spacing w:after="0"/>
              <w:rPr>
                <w:sz w:val="20"/>
                <w:szCs w:val="20"/>
                <w:color w:val="auto"/>
              </w:rPr>
            </w:pPr>
            <w:r>
              <w:rPr>
                <w:rFonts w:ascii="Arial" w:cs="Arial" w:eastAsia="Arial" w:hAnsi="Arial"/>
                <w:sz w:val="18"/>
                <w:szCs w:val="18"/>
                <w:color w:val="auto"/>
                <w:w w:val="87"/>
              </w:rPr>
              <w:t>Corporate, principally cash and investments and deferred taxes</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123,723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6"/>
              </w:rPr>
              <w:t>119,273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gridSpan w:val="2"/>
          </w:tcPr>
          <w:p>
            <w:pPr>
              <w:spacing w:after="0"/>
              <w:rPr>
                <w:sz w:val="8"/>
                <w:szCs w:val="8"/>
                <w:color w:val="auto"/>
              </w:rPr>
            </w:pPr>
          </w:p>
        </w:tc>
        <w:tc>
          <w:tcPr>
            <w:tcW w:w="480" w:type="dxa"/>
            <w:vAlign w:val="bottom"/>
            <w:gridSpan w:val="2"/>
          </w:tcPr>
          <w:p>
            <w:pPr>
              <w:spacing w:after="0"/>
              <w:rPr>
                <w:sz w:val="8"/>
                <w:szCs w:val="8"/>
                <w:color w:val="auto"/>
              </w:rPr>
            </w:pPr>
          </w:p>
        </w:tc>
        <w:tc>
          <w:tcPr>
            <w:tcW w:w="580" w:type="dxa"/>
            <w:vAlign w:val="bottom"/>
            <w:tcBorders>
              <w:bottom w:val="single" w:sz="8" w:color="808080"/>
            </w:tcBorders>
            <w:gridSpan w:val="2"/>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Total consolidated assets</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$226,166</w:t>
            </w:r>
          </w:p>
        </w:tc>
        <w:tc>
          <w:tcPr>
            <w:tcW w:w="160" w:type="dxa"/>
            <w:vAlign w:val="bottom"/>
            <w:shd w:val="clear" w:color="auto" w:fill="EEEEEE"/>
          </w:tcPr>
          <w:p>
            <w:pPr>
              <w:spacing w:after="0"/>
              <w:rPr>
                <w:sz w:val="18"/>
                <w:szCs w:val="18"/>
                <w:color w:val="auto"/>
              </w:rPr>
            </w:pPr>
          </w:p>
        </w:tc>
        <w:tc>
          <w:tcPr>
            <w:tcW w:w="160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$221,803</w:t>
            </w: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gridSpan w:val="2"/>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5"/>
          </w:tcPr>
          <w:p>
            <w:pPr>
              <w:spacing w:after="0"/>
              <w:rPr>
                <w:sz w:val="9"/>
                <w:szCs w:val="9"/>
                <w:color w:val="auto"/>
              </w:rPr>
            </w:pPr>
          </w:p>
        </w:tc>
        <w:tc>
          <w:tcPr>
            <w:tcW w:w="5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Borders>
              <w:right w:val="single" w:sz="8" w:color="808080"/>
            </w:tcBorders>
            <w:gridSpan w:val="2"/>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5"/>
          </w:tcPr>
          <w:p>
            <w:pPr>
              <w:spacing w:after="0"/>
              <w:rPr>
                <w:sz w:val="5"/>
                <w:szCs w:val="5"/>
                <w:color w:val="auto"/>
              </w:rPr>
            </w:pPr>
          </w:p>
        </w:tc>
        <w:tc>
          <w:tcPr>
            <w:tcW w:w="580" w:type="dxa"/>
            <w:vAlign w:val="bottom"/>
            <w:tcBorders>
              <w:right w:val="single" w:sz="8" w:color="808080"/>
            </w:tcBorders>
            <w:gridSpan w:val="2"/>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Working capital</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b w:val="1"/>
                <w:bCs w:val="1"/>
                <w:color w:val="auto"/>
              </w:rPr>
              <w:t>$150,451</w:t>
            </w:r>
          </w:p>
        </w:tc>
        <w:tc>
          <w:tcPr>
            <w:tcW w:w="160" w:type="dxa"/>
            <w:vAlign w:val="bottom"/>
          </w:tcPr>
          <w:p>
            <w:pPr>
              <w:spacing w:after="0"/>
              <w:rPr>
                <w:sz w:val="24"/>
                <w:szCs w:val="24"/>
                <w:color w:val="auto"/>
              </w:rPr>
            </w:pPr>
          </w:p>
        </w:tc>
        <w:tc>
          <w:tcPr>
            <w:tcW w:w="1600" w:type="dxa"/>
            <w:vAlign w:val="bottom"/>
            <w:gridSpan w:val="7"/>
          </w:tcPr>
          <w:p>
            <w:pPr>
              <w:jc w:val="right"/>
              <w:spacing w:after="0"/>
              <w:rPr>
                <w:sz w:val="20"/>
                <w:szCs w:val="20"/>
                <w:color w:val="auto"/>
              </w:rPr>
            </w:pPr>
            <w:r>
              <w:rPr>
                <w:rFonts w:ascii="Arial" w:cs="Arial" w:eastAsia="Arial" w:hAnsi="Arial"/>
                <w:sz w:val="18"/>
                <w:szCs w:val="18"/>
                <w:color w:val="auto"/>
              </w:rPr>
              <w:t>$140,539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2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92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b w:val="1"/>
                <w:bCs w:val="1"/>
                <w:color w:val="auto"/>
              </w:rPr>
              <w:t>$194,542</w:t>
            </w:r>
          </w:p>
        </w:tc>
        <w:tc>
          <w:tcPr>
            <w:tcW w:w="160" w:type="dxa"/>
            <w:vAlign w:val="bottom"/>
            <w:shd w:val="clear" w:color="auto" w:fill="EEEEEE"/>
          </w:tcPr>
          <w:p>
            <w:pPr>
              <w:spacing w:after="0"/>
              <w:rPr>
                <w:sz w:val="18"/>
                <w:szCs w:val="18"/>
                <w:color w:val="auto"/>
              </w:rPr>
            </w:pPr>
          </w:p>
        </w:tc>
        <w:tc>
          <w:tcPr>
            <w:tcW w:w="1600" w:type="dxa"/>
            <w:vAlign w:val="bottom"/>
            <w:tcBorders>
              <w:right w:val="single" w:sz="8" w:color="EEEEEE"/>
            </w:tcBorders>
            <w:gridSpan w:val="7"/>
            <w:shd w:val="clear" w:color="auto" w:fill="EEEEEE"/>
          </w:tcPr>
          <w:p>
            <w:pPr>
              <w:jc w:val="right"/>
              <w:spacing w:after="0"/>
              <w:rPr>
                <w:sz w:val="20"/>
                <w:szCs w:val="20"/>
                <w:color w:val="auto"/>
              </w:rPr>
            </w:pPr>
            <w:r>
              <w:rPr>
                <w:rFonts w:ascii="Arial" w:cs="Arial" w:eastAsia="Arial" w:hAnsi="Arial"/>
                <w:sz w:val="18"/>
                <w:szCs w:val="18"/>
                <w:color w:val="auto"/>
              </w:rPr>
              <w:t>$190,094</w:t>
            </w:r>
          </w:p>
        </w:tc>
        <w:tc>
          <w:tcPr>
            <w:tcW w:w="240" w:type="dxa"/>
            <w:vAlign w:val="bottom"/>
            <w:tcBorders>
              <w:right w:val="single" w:sz="8" w:color="EEEEEE"/>
            </w:tcBorders>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w:t>
      </w:r>
    </w:p>
    <w:p>
      <w:pPr>
        <w:spacing w:after="0" w:line="231" w:lineRule="exact"/>
        <w:rPr>
          <w:rFonts w:ascii="Arial" w:cs="Arial" w:eastAsia="Arial" w:hAnsi="Arial"/>
          <w:sz w:val="18"/>
          <w:szCs w:val="18"/>
          <w:b w:val="1"/>
          <w:bCs w:val="1"/>
          <w:color w:val="auto"/>
        </w:rPr>
      </w:pPr>
    </w:p>
    <w:p>
      <w:pPr>
        <w:ind w:left="560" w:right="60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 xml:space="preserve">Cohu adopted FASB Interpretation No. 45 (“FIN 45”), </w:t>
      </w:r>
      <w:r>
        <w:rPr>
          <w:rFonts w:ascii="Arial" w:cs="Arial" w:eastAsia="Arial" w:hAnsi="Arial"/>
          <w:sz w:val="16"/>
          <w:szCs w:val="16"/>
          <w:i w:val="1"/>
          <w:iCs w:val="1"/>
          <w:color w:val="auto"/>
        </w:rPr>
        <w:t>Guarantor’s Accounting and Disclosure Requirements for Guarantees, Including Indirect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Guarantees of Indebtedness of Others </w:t>
      </w:r>
      <w:r>
        <w:rPr>
          <w:rFonts w:ascii="Arial" w:cs="Arial" w:eastAsia="Arial" w:hAnsi="Arial"/>
          <w:sz w:val="16"/>
          <w:szCs w:val="16"/>
          <w:color w:val="auto"/>
        </w:rPr>
        <w:t>in 2003. FIN 45 requires disclosures concerning Cohu’s obligations under certain guarantees.</w:t>
      </w:r>
    </w:p>
    <w:p>
      <w:pPr>
        <w:spacing w:after="0" w:line="139" w:lineRule="exact"/>
        <w:rPr>
          <w:rFonts w:ascii="Arial" w:cs="Arial" w:eastAsia="Arial" w:hAnsi="Arial"/>
          <w:sz w:val="18"/>
          <w:szCs w:val="18"/>
          <w:b w:val="1"/>
          <w:bCs w:val="1"/>
          <w:color w:val="auto"/>
        </w:rPr>
      </w:pPr>
    </w:p>
    <w:p>
      <w:pPr>
        <w:ind w:left="5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Pursuant to FIN 45, Cohu is required to disclose product accrued warranty activity. Cohu products are generally sold with a 12-month to 24-month warranty period following sale or installation. Parts and labor are covered under the terms of the warranty agreement. The warranty provision is based on historical experience by product and configuration.</w:t>
      </w:r>
    </w:p>
    <w:p>
      <w:pPr>
        <w:sectPr>
          <w:pgSz w:w="11900" w:h="16838" w:orient="portrait"/>
          <w:cols w:equalWidth="0" w:num="1">
            <w:col w:w="11320"/>
          </w:cols>
          <w:pgMar w:left="240" w:top="419" w:right="339" w:bottom="1440" w:gutter="0" w:footer="0" w:header="0"/>
        </w:sectPr>
      </w:pP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during 2003 were as follows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2002</w:t>
            </w:r>
          </w:p>
        </w:tc>
        <w:tc>
          <w:tcPr>
            <w:tcW w:w="2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$ 2,878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Provisions for warranty</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Consumption of reserves</w:t>
            </w:r>
          </w:p>
        </w:tc>
        <w:tc>
          <w:tcPr>
            <w:tcW w:w="2700" w:type="dxa"/>
            <w:vAlign w:val="bottom"/>
            <w:gridSpan w:val="3"/>
            <w:shd w:val="clear" w:color="auto" w:fill="EEEEEE"/>
          </w:tcPr>
          <w:p>
            <w:pPr>
              <w:jc w:val="right"/>
              <w:ind w:right="540"/>
              <w:spacing w:after="0"/>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08"/>
        </w:trPr>
        <w:tc>
          <w:tcPr>
            <w:tcW w:w="3580" w:type="dxa"/>
            <w:vAlign w:val="bottom"/>
            <w:gridSpan w:val="2"/>
          </w:tcPr>
          <w:p>
            <w:pPr>
              <w:spacing w:after="0"/>
              <w:rPr>
                <w:sz w:val="9"/>
                <w:szCs w:val="9"/>
                <w:color w:val="auto"/>
              </w:rPr>
            </w:pPr>
          </w:p>
        </w:tc>
        <w:tc>
          <w:tcPr>
            <w:tcW w:w="166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80" w:type="dxa"/>
            <w:vAlign w:val="bottom"/>
            <w:gridSpan w:val="2"/>
          </w:tcPr>
          <w:p>
            <w:pPr>
              <w:spacing w:after="0"/>
              <w:rPr>
                <w:sz w:val="20"/>
                <w:szCs w:val="20"/>
                <w:color w:val="auto"/>
              </w:rPr>
            </w:pPr>
            <w:r>
              <w:rPr>
                <w:rFonts w:ascii="Arial" w:cs="Arial" w:eastAsia="Arial" w:hAnsi="Arial"/>
                <w:sz w:val="18"/>
                <w:szCs w:val="18"/>
                <w:color w:val="auto"/>
              </w:rPr>
              <w:t>Balance, March 31, 2003</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2,887</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Provisions for warranty</w:t>
            </w:r>
          </w:p>
        </w:tc>
        <w:tc>
          <w:tcPr>
            <w:tcW w:w="2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1,308</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Consumption of reserves</w:t>
            </w:r>
          </w:p>
        </w:tc>
        <w:tc>
          <w:tcPr>
            <w:tcW w:w="2700" w:type="dxa"/>
            <w:vAlign w:val="bottom"/>
            <w:gridSpan w:val="3"/>
          </w:tcPr>
          <w:p>
            <w:pPr>
              <w:jc w:val="right"/>
              <w:ind w:right="540"/>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EEEEEE"/>
          </w:tcPr>
          <w:p>
            <w:pPr>
              <w:spacing w:after="0"/>
              <w:rPr>
                <w:sz w:val="20"/>
                <w:szCs w:val="20"/>
                <w:color w:val="auto"/>
              </w:rPr>
            </w:pPr>
            <w:r>
              <w:rPr>
                <w:rFonts w:ascii="Arial" w:cs="Arial" w:eastAsia="Arial" w:hAnsi="Arial"/>
                <w:sz w:val="18"/>
                <w:szCs w:val="18"/>
                <w:color w:val="auto"/>
              </w:rPr>
              <w:t>Balance, June 30, 2003</w:t>
            </w:r>
          </w:p>
        </w:tc>
        <w:tc>
          <w:tcPr>
            <w:tcW w:w="2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$ 2,909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540"/>
        <w:spacing w:after="0" w:line="294" w:lineRule="auto"/>
        <w:rPr>
          <w:sz w:val="20"/>
          <w:szCs w:val="20"/>
          <w:color w:val="auto"/>
        </w:rPr>
      </w:pPr>
      <w:r>
        <w:rPr>
          <w:rFonts w:ascii="Arial" w:cs="Arial" w:eastAsia="Arial" w:hAnsi="Arial"/>
          <w:sz w:val="16"/>
          <w:szCs w:val="16"/>
          <w:color w:val="auto"/>
        </w:rPr>
        <w:t>During the ordinary course of business, Cohu also provides standby letters of credit or other guarantee instruments to certain parties as required. As of June 30, 2003, the maximum potential amount of future payments that Cohu could be required to make under these guarantee agreements is approximately $2.5 million. Cohu has not recorded any liability in connection with these guarantee arrangements beyond that required to appropriately account for the underlying transaction being guaranteed. Cohu does not believe, based on historical experience and information currently available, that it is probable that any amounts will be required to be paid under these guarantee arrangements.</w:t>
      </w:r>
    </w:p>
    <w:p>
      <w:pPr>
        <w:spacing w:after="0" w:line="164"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31" w:lineRule="exact"/>
        <w:rPr>
          <w:rFonts w:ascii="Arial" w:cs="Arial" w:eastAsia="Arial" w:hAnsi="Arial"/>
          <w:sz w:val="18"/>
          <w:szCs w:val="18"/>
          <w:b w:val="1"/>
          <w:bCs w:val="1"/>
          <w:color w:val="auto"/>
        </w:rPr>
      </w:pPr>
    </w:p>
    <w:p>
      <w:pPr>
        <w:ind w:left="540" w:right="72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On July 22, 2003, the Cohu Board of Directors declared a $.05 per share cash dividend payable November 3, 2003 to stockholders of record on September 12, 2003.</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i w:val="1"/>
          <w:iCs w:val="1"/>
          <w:color w:val="auto"/>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The words “anticipate”, “expect”, “believe”, “plan”, “intend” and similar expressions are intended to identify such statements. Although the forward-looking statements in this Form 10-Q reflect the good faith judgment of our management, such statements are subject to various risks and uncertainties, including but not limited to those discussed herein and, in particular, under the caption “Trends, Risks and Uncertainties” that could cause actual results to differ materially from those projected.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Cohu’s discussion and analysis of its financial condition and results of operations are based upon Cohu’s consolidated financial statements, which have been prepared in accordance with accounting principles generally accepted in the United States. The preparation of these financial statements requires Cohu to make estimates and judgments that affect the reported amounts of assets, liabilities, revenues and expenses, and related disclosure of contingent assets and liabilities. On an on-going basis, Cohu evaluates its estimates, including those related to bad debts, inventories, intangible assets, income taxes, warranty obligations and contingencies and litigation. Cohu bases its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 under different assumptions or conditions. Cohu believes the following critical accounting policies, that are more fully described in the Cohu Consolidated Financial Statements included in the Cohu Annual Report on Form 10-K for the year ended December 31, 2002 filed with the Securities and Exchange Commission, affect the significant judgments and estimates used in the preparation of its consolidated financial statements.</w:t>
      </w:r>
    </w:p>
    <w:p>
      <w:pPr>
        <w:spacing w:after="0" w:line="168" w:lineRule="exact"/>
        <w:rPr>
          <w:sz w:val="20"/>
          <w:szCs w:val="20"/>
          <w:color w:val="auto"/>
        </w:rPr>
      </w:pPr>
    </w:p>
    <w:p>
      <w:pPr>
        <w:ind w:right="20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Cohu generally recognizes revenue upon shipment and title passage for established products (i.e., those that have previously satisfied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acceptance requirements) that provide for full payment tied to shipment. Revenue for products that have not previously satisfied customer acceptance requirements or from sales where customer payment dates are not determinable is recognized upon customer acceptance.</w:t>
      </w:r>
    </w:p>
    <w:p>
      <w:pPr>
        <w:spacing w:after="0" w:line="15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Cohu maintains an allowance for doubtful accounts for estimated losses resulting from the inability of its customers to make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If the financial condition of Cohu’s customers were to deteriorate, resulting in an impairment of their ability to make payments, additional allowances may be required.</w:t>
      </w:r>
    </w:p>
    <w:p>
      <w:pPr>
        <w:spacing w:after="0" w:line="186" w:lineRule="exact"/>
        <w:rPr>
          <w:sz w:val="20"/>
          <w:szCs w:val="20"/>
          <w:color w:val="auto"/>
        </w:rPr>
      </w:pPr>
    </w:p>
    <w:p>
      <w:pPr>
        <w:jc w:val="both"/>
        <w:ind w:right="240"/>
        <w:spacing w:after="0" w:line="31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Cohu provides for the estimated costs of product warranties in the period sales are recognized. Cohu’s warranty obligation is affected by historical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shipment levels, product performance and material and labor costs incurred in correcting product performance problems. Should product performance, material usage or labor repair costs differ from Cohu’s estimates, revisions to the estimated warranty liability would be required.</w:t>
      </w:r>
    </w:p>
    <w:p>
      <w:pPr>
        <w:spacing w:after="0" w:line="151"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Inventory: </w:t>
      </w:r>
      <w:r>
        <w:rPr>
          <w:rFonts w:ascii="Arial" w:cs="Arial" w:eastAsia="Arial" w:hAnsi="Arial"/>
          <w:sz w:val="16"/>
          <w:szCs w:val="16"/>
          <w:color w:val="auto"/>
        </w:rPr>
        <w:t>Cohu records valuation reserves on its inventory for estimated excess and obsolete inventory equal to the difference between the cost of inventory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estimated market value based upon assumptions about future product demand and market conditions. If future product demand or market conditions are less or more favorable than those projected by management, changes to inventory reserves may be required.</w:t>
      </w:r>
    </w:p>
    <w:p>
      <w:pPr>
        <w:spacing w:after="0" w:line="151"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Cohu estimates income taxes based on the various jurisdictions where we conduct business. This requires us to estimate our actual current tax</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 and to assess temporary differences that result from differing treatment of certain items for tax and accounting purposes. These differences result in deferred tax assets and liabilities that are reflected in the consolidated balance sheet. The net deferred tax assets are reduced by a valuation allowance if, based upon all available evidence, it is more likely than not that some or all of the deferred tax assets will not be realized. Establishing a valuation allowance or increasing this allowance in an accounting period results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in tax expense in the statement of operations. Cohu must make significant judgments to determine the provision for income taxes, deferred tax assets and liabilities and any valuation allowance to be recorded against net deferred tax assets. Our net deferred tax asset balance as of December 31, 2002 was $6.1 million, net of a valuation allowance of $4.7 million. We recorded the valuation allowance in the fourth quarter of 2002 as a result of our recent losses and to reflect uncertainties concerning our ability to generate future taxable income and our corresponding ability to utilize our deferred tax assets. The deferred tax assets consist primarily of deductible temporary differences, tax credit and net operating loss carryforwards.</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Intangible Assets: </w:t>
      </w:r>
      <w:r>
        <w:rPr>
          <w:rFonts w:ascii="Arial" w:cs="Arial" w:eastAsia="Arial" w:hAnsi="Arial"/>
          <w:sz w:val="16"/>
          <w:szCs w:val="16"/>
          <w:color w:val="auto"/>
        </w:rPr>
        <w:t>At June 30, 2003, intangible assets other than goodwill were evaluated for impairment using undiscounted cash flows expected to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use of the assets as required by FASB Statement No. 144 and we concluded there was no impairment loss. Cohu was required to assess goodwill impairment in 2002 using the methodology prescribed by FASB Statement No. 142. Statement No. 142 requires that goodwill be tested for impairment on an annual basis and more frequently in certain circumstances. The required annual goodwill impairment test was performed as of October 1, 2002. Cohu did not recognize any goodwill impairment as a result of performing this annual test.</w:t>
      </w:r>
    </w:p>
    <w:p>
      <w:pPr>
        <w:spacing w:after="0" w:line="16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In June, 2002, the FASB issued Statement No. 146,</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No. 146 addresses financial accounting and reporting for costs associated with exit or disposal activities and nullifies Emerging Issues Task Force Issue No. 94-3. The adoption of Statement No. 146 is effective for exit or disposal activities that are initiated after December 31, 2002, including Cohu’s recently announced Columbus, Ohio and Littleton, Massachusetts facilities consolidations.</w:t>
      </w:r>
    </w:p>
    <w:p>
      <w:pPr>
        <w:spacing w:after="0" w:line="1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 xml:space="preserve">In November, 2002, the FASB EITF reached a consensus on Issue No. 00-21, </w:t>
      </w:r>
      <w:r>
        <w:rPr>
          <w:rFonts w:ascii="Arial" w:cs="Arial" w:eastAsia="Arial" w:hAnsi="Arial"/>
          <w:sz w:val="16"/>
          <w:szCs w:val="16"/>
          <w:i w:val="1"/>
          <w:iCs w:val="1"/>
          <w:color w:val="auto"/>
        </w:rPr>
        <w:t>Revenue Arrangements with Multiple Deliverables.</w:t>
      </w:r>
      <w:r>
        <w:rPr>
          <w:rFonts w:ascii="Arial" w:cs="Arial" w:eastAsia="Arial" w:hAnsi="Arial"/>
          <w:sz w:val="16"/>
          <w:szCs w:val="16"/>
          <w:color w:val="auto"/>
        </w:rPr>
        <w:t xml:space="preserve"> EITF Issue No. 00-21 provides guidance on how to account for arrangements that involve the delivery or performance of multiple products, services and/or rights to use assets. The provisions of EITF Issue No. 00-21 will apply to revenue arrangements entered into in fiscal periods beginning after June 15, 2003. The Company is currently evaluating the effect that the adoption of EITF Issue No. 00-21 will have on its results of operations and financial condition.</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January, 2003, the FASB issued FASB Interpretation No. 46 (“FIN 46”), </w:t>
      </w:r>
      <w:r>
        <w:rPr>
          <w:rFonts w:ascii="Arial" w:cs="Arial" w:eastAsia="Arial" w:hAnsi="Arial"/>
          <w:sz w:val="16"/>
          <w:szCs w:val="16"/>
          <w:i w:val="1"/>
          <w:iCs w:val="1"/>
          <w:color w:val="auto"/>
        </w:rPr>
        <w:t>Consolidation of Variable Interest Entities, an interpretation of ARB No. 51.</w:t>
      </w:r>
      <w:r>
        <w:rPr>
          <w:rFonts w:ascii="Arial" w:cs="Arial" w:eastAsia="Arial" w:hAnsi="Arial"/>
          <w:sz w:val="16"/>
          <w:szCs w:val="16"/>
          <w:color w:val="auto"/>
        </w:rPr>
        <w:t xml:space="preserve"> FIN 46 provides guidance on: 1) the identification of entities for which control is achieved through means other than through voting rights, known as “variable interest entities” (“VIEs”); and 2) which business enterprise is the primary beneficiary and when it should consolidate the VIE. This new model for consolidation applies to entities: 1) where the equity investors (if any) do not have a controlling financial interest; or 2) whose equity investment at risk is insufficient to finance that entity’s activities without receiving additional subordinated financial support from other parties. In addition, FIN 46 requires that both the primary beneficiary and all other enterprises with a significant variable interest in a VIE make additional disclosures. FIN 46 is effective for all new VIEs created or acquired after January 31, 2003. For VIEs created or acquired prior to February 1, 2003, the provisions of FIN 46 must be applied no later than the beginning of the first interim or annual reporting period beginning after June 15, 2003. Certain disclosures are effective immediately. Cohu is in the process of assessing the effect of FIN 46.</w:t>
      </w:r>
    </w:p>
    <w:p>
      <w:pPr>
        <w:spacing w:after="0" w:line="172"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 xml:space="preserve">In April, 2003, the FASB issued Statement No. 149, </w:t>
      </w:r>
      <w:r>
        <w:rPr>
          <w:rFonts w:ascii="Arial" w:cs="Arial" w:eastAsia="Arial" w:hAnsi="Arial"/>
          <w:sz w:val="16"/>
          <w:szCs w:val="16"/>
          <w:i w:val="1"/>
          <w:iCs w:val="1"/>
          <w:color w:val="auto"/>
        </w:rPr>
        <w:t>Amendment of Statement 133 on Derivative Instruments and Hedging Activities</w:t>
      </w:r>
      <w:r>
        <w:rPr>
          <w:rFonts w:ascii="Arial" w:cs="Arial" w:eastAsia="Arial" w:hAnsi="Arial"/>
          <w:sz w:val="16"/>
          <w:szCs w:val="16"/>
          <w:color w:val="auto"/>
        </w:rPr>
        <w:t>. This statement provides clarification on the financial accounting and reporting of derivative instruments and hedging activities and requires contracts with similar characteristics to be accounted for on a comparable basis. Cohu is in the process of assessing the effect of No.149 and does not expect the adoption of it, which will be effective for contracts entered into or modified after June 30, 2003, to have a material effect on its financial condition or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May, 2003, the FASB issued Statement No. 150, </w:t>
      </w:r>
      <w:r>
        <w:rPr>
          <w:rFonts w:ascii="Arial" w:cs="Arial" w:eastAsia="Arial" w:hAnsi="Arial"/>
          <w:sz w:val="18"/>
          <w:szCs w:val="18"/>
          <w:i w:val="1"/>
          <w:iCs w:val="1"/>
          <w:color w:val="auto"/>
        </w:rPr>
        <w:t>Accounting for Certain Financial Instruments with Characteristics of both Liabilities and Equity</w:t>
      </w:r>
      <w:r>
        <w:rPr>
          <w:rFonts w:ascii="Arial" w:cs="Arial" w:eastAsia="Arial" w:hAnsi="Arial"/>
          <w:sz w:val="18"/>
          <w:szCs w:val="18"/>
          <w:color w:val="auto"/>
        </w:rPr>
        <w:t>. This statement establishes standards on the classification and measurement of financial instruments with characteristics of both liabilities and equity and is effective for financial instruments entered into or modified after May 31, 2003. Cohu does not expect the implementation of this pronouncement to have a material effect on its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Cohu’s primary business activity involves the development, manufacture, marketing and servicing of test handling equipment for the global semiconductor industry. Demand for Cohu’s products can change significantly from period to period as a result of numerous factors including, but not limited to, changes in global economic conditions, supply and demand for semiconductors, changes in semiconductor manufacturing capacity and processes and competitive product offerings. Due to these and other factors, Cohu’s results of operations for the periods described below, may not be indicative of future operating results. Certain matters discussed below, including expectations of market conditions, challenges and plans, are forward-looking statements that are subject to the risks and uncertainties noted herein. Such risks and uncertainties could cause actual results to differ materially from those projected.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2003 Compared to Second Quarter 2002</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Cohu continued to be impacted by the downturn in the semiconductor equipment industry that began in late 2000. Our net sales decreased 16% to $32.1 million in 2003, compared to net sales of $38.3 million in 2002. Sales of semiconductor test handling equipment in 2003 decreased 18% from the 2002 period and accounted for 80% of consolidated net sales in 2003, versus 82% in 2002. Sales of television cameras and other equipment accounted for 13% of net sales in 2003 and decreased 4% when compared to 2002, while the combined sales of metal detection and microwave equipment decreased 13%.</w:t>
      </w:r>
    </w:p>
    <w:p>
      <w:pPr>
        <w:spacing w:after="0" w:line="167"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At June 30, 2003, the Company had deferred revenue totaling approximately $12.5 million and deferred profit of $6.2 million. At December 31, 2002, the Company had deferred revenue totaling approximately $9.8 million and deferred profit of $5.2 million. The increase in deferred revenue and profit is primarily related to the deferral of revenue on certain semiconductor test handler upgrades that have been shipped and installed and are awaiting customer acceptance</w:t>
      </w:r>
    </w:p>
    <w:p>
      <w:pPr>
        <w:spacing w:after="0" w:line="161"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Gross margin as a percentage of net sales decreased to 34.2% in 2003 from 40.2% in 2002, primarily as a result of lower margins in the semiconductor equipment business. Within the semiconductor equipment segment, margins decreased in 2003, primarily as a result of reduced business volume and inventory related charges. Cohu computes the majority of its excess and obsolete inventory reserve requirements using a one-year inventory usage forecast. During 2003 and 2002, we recorded net charges to cost of sales of approximately $2.5 million and $0.1 million, respectively, primarily as a result of declines in customer forecasts and other business issues that negatively impacted our forecasted inventory usage. While we believe our reserves for excess and obsolete inventory are adequate to cover our exposures at June 30, 2003, reductions in customer forecasts may require additional charges to operations that could negatively impact our gross margin in future periods. Conversely, if our actual inventory usage is greater than our forecasted usage, our gross margin in future periods may be favorably impacted.</w:t>
      </w:r>
    </w:p>
    <w:p>
      <w:pPr>
        <w:spacing w:after="0" w:line="159"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Research and development expense (“R&amp;D”) as a percentage of net sales was 17.3% in 2003, compared to 21.9% in 2002, decreasing in absolute dollars from $8.4 million in 2002, to $5.6 million in 2003. The decrease in R&amp;D was primarily the result of lower R&amp;D material and labor costs for product development in the semiconductor equipment business resulting, in part, from the closure of the Company’s facility in Columbus, Ohio.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Selling, general and administrative expense (“SG&amp;A”) as a percentage of net sales increased to 18.8% in 2003, from 16.7% in 2002, decreasing from $6.4 million in 2002 to $6.0 million in 2003. The percentage increase was due to reduced business volume.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$0.4 million and $0.7 million in 2003 and 2002, respectively. The decline in interest income was due to lower interest rates.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provision for income taxes expressed as a percentage of pre-tax income was 21% in 2003 and 37.8% in 2002. The provision for income taxes is based on the estimated effective tax rate for the entire year and in 2003 is lower than the U.S federal statutory rate primarily due to tax credits. At December 31, 2002 and June 30, 2003, Cohu assessed the need for a valuation allowance on its deferred tax assets. Realization of the deferred tax assets is dependent upon the Company generating sufficient taxable income, in appropriate tax jurisdictions, in future years, to obtain benefit from the reversal of temporary differences and net operating tax loss and credit carryforwards. At December 31, 2002, the Company recorded a valuation allowance of approximately $4.7 million against deferred tax assets due to the uncertainties surrounding their realization. The amount of deferred tax assets considered realizable is subject to adjustment in future periods should Cohu determine that estimates of future taxable income are reduced or increased.</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Cohu tested the $8.3 million of goodwill resulting from the Automated Systems acquisition for impairment during 2002, as required by FASB Statement No. 142, </w:t>
      </w:r>
      <w:r>
        <w:rPr>
          <w:rFonts w:ascii="Arial" w:cs="Arial" w:eastAsia="Arial" w:hAnsi="Arial"/>
          <w:sz w:val="18"/>
          <w:szCs w:val="18"/>
          <w:i w:val="1"/>
          <w:iCs w:val="1"/>
          <w:color w:val="auto"/>
        </w:rPr>
        <w:t xml:space="preserve">Goodwill and Other Intangible Assets. </w:t>
      </w:r>
      <w:r>
        <w:rPr>
          <w:rFonts w:ascii="Arial" w:cs="Arial" w:eastAsia="Arial" w:hAnsi="Arial"/>
          <w:sz w:val="18"/>
          <w:szCs w:val="18"/>
          <w:color w:val="auto"/>
        </w:rPr>
        <w:t>During 2002, the Company completed the required transitional and annual goodwill impairment tests. The Company did</w:t>
      </w:r>
      <w:r>
        <w:rPr>
          <w:rFonts w:ascii="Arial" w:cs="Arial" w:eastAsia="Arial" w:hAnsi="Arial"/>
          <w:sz w:val="18"/>
          <w:szCs w:val="18"/>
          <w:i w:val="1"/>
          <w:iCs w:val="1"/>
          <w:color w:val="auto"/>
        </w:rPr>
        <w:t xml:space="preserve"> </w:t>
      </w:r>
      <w:r>
        <w:rPr>
          <w:rFonts w:ascii="Arial" w:cs="Arial" w:eastAsia="Arial" w:hAnsi="Arial"/>
          <w:sz w:val="18"/>
          <w:szCs w:val="18"/>
          <w:color w:val="auto"/>
        </w:rPr>
        <w:t>not record an impairment loss as a result of these impairment tests as the estimated fair value of the related reporting unit was in excess of the carrying amount of its assets, including goodwill. A decline in the fair value of the reporting unit may indicate impairment that could result in a charge to Cohu’s future operating results.</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December, 2002, Cohu invested $2.5 million in KryoTech, Inc. preferred stock. Cohu is committed to invest an additional $2.5 million in KryoTech subject to the successful completion of a joint development program between the companies and the satisfaction of certain other conditions. Cohu is accounting for its less than 10% ownership interest in KryoTech under the cost method. It is not currently known when or if Cohu will make the second $2.5 million investment in KryoTech. In the quarter ended June 30, 2003, the Company wrote off the investment and recorded a $2.5 million charge to operating results as the investment was deemed impaired and such impairment was considered other than temporary, pursuant to APB No. 18.</w:t>
      </w:r>
    </w:p>
    <w:p>
      <w:pPr>
        <w:spacing w:after="0" w:line="170"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On April 10, 2003, Cohu announced that its Delta Design subsidiary was relocating its Littleton, Massachusetts operation to its headquarters facility in Poway, California. Cohu expects the consolidation to be completed by October, 2003. Cohu expects to incur charges primarily in the third and fourth quarters of 2003 totaling approximately $1.5 million for severance and other related exit costs. The Company recorded charges to operations in the quarter ended June 30, 2003 totaling approximately $0.3 million primarily for severance.</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April, 2003, Cohu’s Delta Design subsidiary completed the relocation of its Columbus, Ohio operations to its headquarters facility in Poway, California. The consolidation is expected to reduce costs without impacting the revenue generating activities of Delta Design. The Company recorded charges to operations in the quarter ended March 31, 2003, totaling $0.6 million for severance and one-time termination benefits and $0.1 million for contract termination costs primarily related to the leased facility. Exit related costs charged to operations subsequent to the quarter ended March 31, 2003 were not significant.</w:t>
      </w:r>
    </w:p>
    <w:p>
      <w:pPr>
        <w:spacing w:after="0" w:line="16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On April 25, 2003, Cohu sold twelve acres of land in Poway, California held for future development for $8.8 million in net cash proceeds resulting in a pretax gain of approximately $7.9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factors set forth above, our net income was $4.1 million in 2003, compared to net income of $0.8 million in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2003 Compared to Six Months Ended June 30, 2002</w:t>
      </w:r>
    </w:p>
    <w:p>
      <w:pPr>
        <w:spacing w:after="0" w:line="231" w:lineRule="exact"/>
        <w:rPr>
          <w:sz w:val="20"/>
          <w:szCs w:val="20"/>
          <w:color w:val="auto"/>
        </w:rPr>
      </w:pPr>
    </w:p>
    <w:p>
      <w:pPr>
        <w:ind w:right="300"/>
        <w:spacing w:after="0" w:line="335" w:lineRule="auto"/>
        <w:rPr>
          <w:sz w:val="20"/>
          <w:szCs w:val="20"/>
          <w:color w:val="auto"/>
        </w:rPr>
      </w:pPr>
      <w:r>
        <w:rPr>
          <w:rFonts w:ascii="Arial" w:cs="Arial" w:eastAsia="Arial" w:hAnsi="Arial"/>
          <w:sz w:val="15"/>
          <w:szCs w:val="15"/>
          <w:color w:val="auto"/>
        </w:rPr>
        <w:t>Our net sales decreased 10% to $63.2 million in 2003 compared to net sales of $69.9 million in 2002. Sales of semiconductor test handling equipment in 2003 decreased 11% from the 2002 period and accounted for 78% of consolidated net sales in 2003 versus 80% in 2002. Sales of television cameras and other equipment accounted for 13% of net sales in 2003 and increased 1% while the combined sales of metal detection and microwave equipment decreased 7%.</w:t>
      </w:r>
    </w:p>
    <w:p>
      <w:pPr>
        <w:spacing w:after="0" w:line="14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Gross margin as a percentage of net sales decreased to 33.8% in 2003 from 39.2% in 2002 primarily as a result of lower margins in the semiconductor equipment business. Within the semiconductor equipment segment, margins decreased in 2003 primarily as a result of a reduction in business volume and provisions for excess and obsolete inventory. During 2003, we recorded charges totaling approximately $3.0 million for excess and obsolete inventory primarily as a result of changes in customer forecasts and other business issues that negatively impacted our forecasted inventory usage.</w:t>
      </w:r>
    </w:p>
    <w:p>
      <w:pPr>
        <w:spacing w:after="0" w:line="16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Research and development expense as a percentage of net sales was 19.8% in 2003, compared to 22.8% in 2002, decreasing from $16.0 million to $12.5 million primarily due to lower R&amp;D labor and material costs as a result of the closure of the Company’s operations in Columbus, Ohio. SG&amp;A expense as a percentage of net sales increased to 18.9% in 2003 from 17.9% in 2002 primarily as a result of the reduction in business volume. Interest income was $1.1 million and</w:t>
      </w:r>
    </w:p>
    <w:p>
      <w:pPr>
        <w:spacing w:after="0" w:line="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$1.5 million in 2003 and 2002, respectively. The decline in interest income was due to lower interest rates. The provision for income taxes expressed as a percentage of pre-tax income was 20% for the first six months of 2003 and 45.1% in 2002. The provision for income taxes is based on the estimated effective tax rate for the entire year and in 2003 is lower than the U.S federal statutory rate primarily due to tax credits. As a result of the factors set forth above, net income was $0.2 million in 2002 compared to net income of $2.7 million in 2003.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120"/>
        <w:spacing w:after="0" w:line="283" w:lineRule="auto"/>
        <w:rPr>
          <w:sz w:val="20"/>
          <w:szCs w:val="20"/>
          <w:color w:val="auto"/>
        </w:rPr>
      </w:pPr>
      <w:r>
        <w:rPr>
          <w:rFonts w:ascii="Arial" w:cs="Arial" w:eastAsia="Arial" w:hAnsi="Arial"/>
          <w:sz w:val="16"/>
          <w:szCs w:val="16"/>
          <w:color w:val="auto"/>
        </w:rPr>
        <w:t>Our net cash flows used for operating activities in the first six months of 2003 totaled $6.2 million. The major components of cash flows used for operating activities were net income of $2.7 million, offset by a $7.9 million gain from the sale of land and a $2.5 million investment writedown, the net change in current assets and liabilities totaling $5.8 million, and depreciation and amortization of $2.2 million. Net cash used for investing activities included $25.1 million for the purchase of short-term investments, less sales and maturities, and purchases of property, plant and equipment and other assets of $0.5 million offset by a</w:t>
      </w:r>
    </w:p>
    <w:p>
      <w:pPr>
        <w:spacing w:after="0" w:line="3" w:lineRule="exact"/>
        <w:rPr>
          <w:sz w:val="20"/>
          <w:szCs w:val="20"/>
          <w:color w:val="auto"/>
        </w:rPr>
      </w:pPr>
    </w:p>
    <w:p>
      <w:pPr>
        <w:jc w:val="both"/>
        <w:ind w:right="280"/>
        <w:spacing w:after="0" w:line="281" w:lineRule="auto"/>
        <w:rPr>
          <w:sz w:val="20"/>
          <w:szCs w:val="20"/>
          <w:color w:val="auto"/>
        </w:rPr>
      </w:pPr>
      <w:r>
        <w:rPr>
          <w:rFonts w:ascii="Arial" w:cs="Arial" w:eastAsia="Arial" w:hAnsi="Arial"/>
          <w:sz w:val="16"/>
          <w:szCs w:val="16"/>
          <w:color w:val="auto"/>
        </w:rPr>
        <w:t>$0.2 million payment on a note receivable and net proceeds of $8.8 million from the sale of land. Cash provided by financing activities included $3.9 million received from the issuance of stock upon the exercise of stock options offset by $2.1 million for the payment of dividends. Cohu has a $5 million bank line of credit, of which approximately $2.5 million has been allocated to outstanding standby letters of credit, and working capital of $150.5 million at June 30, 2003.</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Future calendar year minimum payments on operating leases as of June 30, 2003, are: 2003 - $607,000; 2004 - $939,000; 2005 - $677,000; 2006 - $34,000; 2007</w:t>
      </w:r>
    </w:p>
    <w:p>
      <w:pPr>
        <w:spacing w:after="0" w:line="44" w:lineRule="exact"/>
        <w:rPr>
          <w:sz w:val="20"/>
          <w:szCs w:val="20"/>
          <w:color w:val="auto"/>
        </w:rPr>
      </w:pPr>
    </w:p>
    <w:p>
      <w:pPr>
        <w:ind w:right="580" w:firstLine="8"/>
        <w:spacing w:after="0" w:line="261" w:lineRule="auto"/>
        <w:tabs>
          <w:tab w:leader="none" w:pos="1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$23,000; totaling $2,280,000. It is anticipated that present working capital and available borrowings under the line of credit will be sufficient to meet our operating requirements for at least the next twelve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RISKS AND UNCERTAINTIES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industry we serve is highly volatile and unpredictable.</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Cohu’s operating results are substantially dependent on our semiconductor equipment business. This capital equipment business is in turn highly dependent on the overall strength of the semiconductor industry. Historically, the semiconductor industry has been highly cyclical with recurring periods of oversupply and excess capacity, which often have had a significant effect on the semiconductor industry’s demand for capital equipment, including equipment of the type manufactured and marketed by Cohu. We anticipate that the markets for newer generations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semiconductors and semiconductor equipment may also be subject to similar cycles and severe downturns, such as those experienced in 1996, 1998 and late 2000, continuing throughout 2001, 2002 and 2003. Reductions in capital equipment investment by semiconductor manufacturers and semiconductor test subcontractors will materially and adversely affect our business, financial position and results of operations. In addition, the volatile and unpredictable nature of semiconductor equipment demand has in the past and may in the future expose us to significant excess and obsolete inventory write-offs and reserve requirements. In the six months ended June 30, 2003 and the years ended December 31, 2002 and 2001, we recorded pretax net inventory related charges of approximately $3.0 million, $2.5 million and $15.9 million, respectively, primarily as a result of changes in customer forecasts.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limited number of customers account for a substantial percentage of our net sales.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rely on a limited number of customers for a substantial percentage of our net sales. In the year ended December 31, 2002, two customers of the semiconductor equipment segment accounted for 53% (44% in 2001, and 38% in 2000) of our net sales. During the past five years, the percentage of Cohu’s sales derived from each of these and other significant customers has varied greatly. Such variations are due to changes in the customer’s business and their purchase of products from our competitors. It is common in the semiconductor test handler industry for customers to purchase equipment from more than one equipment supplier, increasing the risk that our competitive position with a specific customer may deteriorate. No assurance can be given that we will continue to maintain our competitive position with these or other significant customers. Furthermore, we expect the percentage of our revenues derived from significant customers will vary greatly in future periods. The loss of, or a significant reduction in, orders by these or other significant customers as a result of competitive products, market conditions, outsourcing final semiconductor test to test subcontractors that are not our customers or other factors, would adversely impact our business, financial condition and results of operations. Furthermore, the concentration of our revenues in a limited number of large customers may cause significant fluctuations in our future annual and quarterly operating results.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semiconductor equipment industry in general, and the test handler market in particular, is highly competitive.</w:t>
      </w:r>
    </w:p>
    <w:p>
      <w:pPr>
        <w:spacing w:after="0" w:line="225" w:lineRule="exact"/>
        <w:rPr>
          <w:sz w:val="20"/>
          <w:szCs w:val="20"/>
          <w:color w:val="auto"/>
        </w:rPr>
      </w:pPr>
    </w:p>
    <w:p>
      <w:pPr>
        <w:ind w:right="20"/>
        <w:spacing w:after="0" w:line="306" w:lineRule="auto"/>
        <w:rPr>
          <w:sz w:val="20"/>
          <w:szCs w:val="20"/>
          <w:color w:val="auto"/>
        </w:rPr>
      </w:pPr>
      <w:r>
        <w:rPr>
          <w:rFonts w:ascii="Arial" w:cs="Arial" w:eastAsia="Arial" w:hAnsi="Arial"/>
          <w:sz w:val="15"/>
          <w:szCs w:val="15"/>
          <w:color w:val="auto"/>
        </w:rPr>
        <w:t>The semiconductor test handler industry is intensely competitive and we face substantial competition from numerous companies throughout the world. Future competition may include companies that do not currently supply test handlers. The Japanese and Korean markets for test handling equipment are large and represent a significant percentage of the worldwide market. During the last five years we have had only limited sales to Japanese and Korean customers who have historically purchased test handling equipment from Asian suppliers. Some of our competitors have substantially greater financial, engineering, manufacturing and customer support capabilities and offer more extensive product offerings than Cohu. In addition, there are emerging semiconductor equipment companies that provide or may provide innovative technology incorporated in products that may compete favorably against those of Cohu. We expect our competitors to continue to improve the design and performance of their current products and introduce new products with improved performance capabilities. Our failure to introduce new products in a timely manner, the introduction by our competitors of products with perceived or actual advantages, or disputes over rights of Cohu or our competitors to use certain intellectual property or technology could result in a loss of our competitive position and reduced sales of or margins on our existing products. We believe that competitive conditions in the semiconductor test handler market have intensified over the last several years. This intense competition has adversely impacted our product average selling prices and gross margins. If we are unable to reduce the cost of our existing products and successfully introduce new lower cost products we expect these competitive conditions to negatively impact our gross margin and operating results for the foreseeable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acquisitions and investments.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Cohu has made, and may in the future make, acquisitions of, or significant investments in, businesses with complementary products, services and/or technologies. In July, 2001, Cohu acquired the assets of the Automated Systems business from Schlumberger Technologies, Inc. for $14.2 million in cash. A significant portion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purchase price was allocated to goodwill and other intangible assets. In the fourth quarter of 2002, Cohu invested $2.5 million in KryoTech, Inc. preferred stock, that was written off in June, 2003, and $1.7 million in intangible assets for certain technology.</w:t>
      </w:r>
    </w:p>
    <w:p>
      <w:pPr>
        <w:spacing w:after="0" w:line="18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Acquisitions and investments involve numerous risks, including, but not limited to: 1) difficulties and increased costs in connection with integration of the personnel, operations, technologies and products of acquired businesses; 2) diversion of management’s attention from other operational matters; 3) the potential loss of key employees of acquired businesses; 4) lack of synergy, or the inability to realize expected synergies, resulting from the acquisition; 5) failure to commercialize purchased technology; and 6) the impairment of acquired intangible assets and goodwill that could result in significant charges to operating results in future periods. In addition, such acquisitions or investments may result in immediate charges to operating results. Mergers and acquisitions are inherently risky and the inability to effectively manage these risks could materially and adversely affect Cohu’s business, financial condition and results of operations.</w:t>
      </w:r>
    </w:p>
    <w:p>
      <w:pPr>
        <w:spacing w:after="0" w:line="15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We have taken and expect to continue to take remedial measures to address the slowdown in the semiconductor equipment industry that may affect our ability to be competitive.</w:t>
      </w:r>
    </w:p>
    <w:p>
      <w:pPr>
        <w:spacing w:after="0" w:line="186"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We have taken and will continue to assess the need to take remedial measures to address the slowdown in the market for our products. In particular, we reduced our workforce, including reductions in September and October, 2002 and January and March, 2003, delayed salary increases, reduced senior executives’ pay, implemented furloughs, announced facilities consolidations and reduced expense budgets. In January and April, 2003, we announced the consolidation of Delta Design’s Columbus, Ohio and Littleton, Massachusetts operations into our Poway, California facility. Further workforce reductions are possible if the current worldwide slowdown in demand for high technology products persists. Each of these measures could have long-term effects on our business by reducing our pool of technical talent, decreasing or slowing improvements in our products and making it more difficult for us to respond to customers needs.</w:t>
      </w:r>
    </w:p>
    <w:p>
      <w:pPr>
        <w:spacing w:after="0" w:line="159"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Semiconductor equipment is subject to rapid technological change, product introductions and transitions may result in inventory write-offs and our new product development involves numerous risks and uncertainties.</w:t>
      </w:r>
    </w:p>
    <w:p>
      <w:pPr>
        <w:spacing w:after="0" w:line="1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Semiconductor equipment and processes are subject to rapid technological change. We believe that our future success will depend in part on our ability to enhance existing products and develop new products with improved performance capabilities. We expect to continue to invest heavily in research and development and must manage product transitions successfully, as introductions of new products could adversely impact sales or margins of existing products. In addition, the introduction of new products by Cohu or by our competitors, the concentration of our revenues in a limited number of large customers, the migration to new semiconductor test handling methodologies and the custom nature of our inventory parts increases the risk that our established products and related inventory may become obsolete, resulting in significant excess and obsolete inventory exposure. This increased exposure resulted in significant charges to operations during the third and fourth quarters of 2000, the first three quarters of 2001 and the second quarter of 2003. Future inventory write-offs and increased inventory reserve requirements could have a material adverse impact on our results of operations and financial condition.</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design, development, commercial introduction and manufacture of new semiconductor test handling equipment is an inherently complex process that involves a number of risks and uncertainties. These risks include potential problems in meeting customer performance requirements, integration of the test handler with other suppliers’ equipment and the customers’ manufacturing processes, transitioning from product development to volume manufacturing and the ability of the equipment to satisfy the semiconductor industry’s constantly evolving needs and achieve commercial acceptance at prices that produce satisfactory profit margins. The design and development of new test handling equipment is heavily influenced by changes in integrated circuit (IC) assembly, test and final manufacturing processes and IC package design changes. We believe that the rate of change in such processes and IC packages is accelerating. As a result of these changes and other factors, assessing the market potential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commercial viability of new IC test handling equipment is extremely difficult and subject to a great deal of risk. In addition, not all IC manufacturers employ the same manufacturing processes. Differences in such processes make it difficult to design standard semiconductor test handler products that are capable of achieving broad market acceptance. As a result, we might not accurately assess the semiconductor industry’s future test handler requirements and fail to design and develop products that meet such requirements and achieve market acceptance. Failure to accurately assess customer requirements and market trends for new semiconductor test handler products may have a material adverse impact on our operations, financial condition and results of operations.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transition from product development to the manufacture of new semiconductor equipment is a difficult process and delays in product introductions and problems in manufacturing such equipment are common. We have in the past and may in the future experience difficulties in manufacturing and volume production of our new test handlers. In addition, our after sale support and warranty costs have been significantly higher with new test handlers than with our established products. Future technologies, processes and product developments may render our current or future product offerings obsolete and we might not be able to develop, introduce and successfully manufacture new products or make enhancements to our existing products in a timely manner to satisfy customer requirements or achieve market acceptance. Furthermore, we might not realize acceptable profit margins on such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limited and may not accurately reflect future business activity.</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order backlog has historically represented approximately three months of revenue and as a result our visibility of future business activity is limited. Due to the possibility of customer changes in delivery schedules, cancellation of orders, potential delays in product shipments, difficulties in obtaining inventory parts from suppliers, failure to satisfy customer acceptance requirements and the inability to recognize revenue under accounting requirements, our backlog at any point in time may not be representative of sales in any future period. In 2002, we reduced backlog by approximately $2.5 million due to customer cancellations. Furthermore, all orders are subject to cancellation or rescheduling by the customer with limited penalty. A reduction in backlog during any particular period could have a material adverse effect on our business, financial condition and results of operations. In addition, backlog at June 30, 2003, may not be a reliable indicator of revenues in future periods due to delayed delivery dates or customer requested changes to delivery schedules, order cancellations and delays in recognizing revenue due to accounting requirements.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cyclical nature of the semiconductor equipment industry places enormous demands on our employees, operations and infrastructure.</w:t>
      </w:r>
    </w:p>
    <w:p>
      <w:pPr>
        <w:spacing w:after="0" w:line="24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semiconductor equipment industry is characterized by dramatic and sometimes volatile changes in demand for its products. Changes in product demand result from a number of factors including the semiconductor industry’s ever changing and unpredictable capacity requirements and changes in IC design and packaging. Sudden changes in demand for semiconductor equipment have a significant impact on our operations. In response to a severe industry downturn in 1998, we reduced our total workforce by approximately 40%. During 1999, we increased our workforce by more than 50% as business conditions in the semiconductor equipment industry and our order backlog improved. In 2001, we reduced our workforce approximately 30% as a result of a downturn in the semiconductor equipment industry. Workforce reductions have continued in the third and fourth quarter of 2002 and January and March, 2003. In January and April, 2003, we announced the consolidation of Delta Design’s Columbus, Ohio and Littleton, Massachusetts operations into our Poway, California facility. Such radical changes in workforce levels place enormous demands on our employees, operations and infrastructure since newly hired personnel rarely possess the expertise and level of experience of current employees. Additionally, these transitions divert management time and attention from other activities and adversely impact employee morale. We have in the past and may in the future experience difficulties, particularly in manufacturing, in training and recruiting the large number of additions to our workforce. The volatility in headcount and business levels, combined with the cyclical nature of the semiconductor industry, may require that we invest substantial amounts in new operational and financial systems, procedures and controls. We may not be able to successfully adjust our systems, facilities and production capacity to meet our</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customers’ changing requirements. The inability to meet such requirements will have an adverse impact on our business, financial position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a significant decline in gravity-feed test handler sales to DRAM customers.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Sales of gravity-feed IC test handlers used in DRAM testing represented a significant percentage of Cohu’s total semiconductor equipment related revenue during the period 1994 through 1998. Due to changes in IC package technology, gravity-feed handlers are no longer suitable for handling many types of DRAMs. As a result, we have seen a significant decline in sales of our gravity-feed test handler products. Pick-and-place IC handlers used in DRAM applications account for a significant portion of the worldwide IC handler market and Cohu’s market share in the DRAM segment is negligible. While Cohu’s share of the gravity-feed handler market is minimal, such handlers are used in numerous non DRAM applications and continue to represent a significant portion of the worldwide test handler market. Our failure to participate in the DRAM and/or gravity-feed market segments could adversely impact our business and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the risks of operating a global business.</w:t>
      </w:r>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Cohu has operations located in various parts of the world to support our sales and services to the global semiconductor industry. Managing geographically dispersed operations presents difficult challenges associated with, among other things, organizational alignment and infrastructure, communications and information technology, inventory control, customer relationship management and cultural diversities. In addition, maintaining these geographically dispersed locations is expensive. We may not be able to manage our multiple operations in a cost effective and efficient manner. If we are unsuccessful in managing such operations effectively, our business and results of operations will be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of critical suppliers to deliver sufficient quantities of parts in a timely and cost-effective manner could adversely impact our operations.</w:t>
      </w:r>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use numerous vendors to supply parts, components and subassemblies for the manufacture of our products. It is not always possible to maintain multiple qualified suppliers for all of our parts, components and subassemblies. As a result, certain key parts may be available only from a single supplier or a limited number of suppliers. In addition, suppliers may cease manufacturing certain components that are difficult to replace without significant reengineering of our products. On occasion, Cohu has experienced problems in obtaining adequate and reliable quantities of various parts and components from certain key suppliers. Our results of operations may be materially and adversely impacted if we do not receive sufficient parts to meet our requirements in a timely and cost effective manner.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the risk that third parties may violate our proprietary rights or accuse us of infringing upon their proprietary rights.</w:t>
      </w:r>
    </w:p>
    <w:p>
      <w:pPr>
        <w:spacing w:after="0" w:line="2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Cohu relies on patent, copyright, trademark and trade secret laws to establish and maintain proprietary rights in our technology and products. Any of our proprietary rights may be challenged, invalidated or circumvented, and these rights may not provide significant competitive advantages. In addition, from time to time, we receive notices from third parties regarding patent or copyright claims. Any such claims, with or without merit, could be time-consuming to defend, result in costly litigation, divert management’s attention and resources and cause Cohu to incur significant expenses. In the event of a successful claim of infringement against Cohu and our failure or inability to license the infringed technology or to substitute similar non-infringing technology, our business, financial condition and results of operations could be adversely affected.</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A majority of our revenues are generated from exports to foreign countries, primarily in Asia, that are subject to economic instability and we compete against a number of Asian test handling equipment suppliers.</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year ended December 31, 2002, 63% of our total net sales were exported to foreign countries, including 76% of the sales in the semiconductor equipment segment. The majority of our export sales are made to destinations in Asia. Instability in global economic markets, particularly in Asia, may adversely impact the demand for capital</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equipment, including equipment of the type manufactured and marketed by Cohu. In addition, we face intense competition from a number of Asian suppliers that have certain advantages over U.S. suppliers, including Cohu. These advantages include, among other things, proximity to customers, favorable tariffs and affiliation with significantly larger organizations. In addition, changes in the amount or price of semiconductors produced in Asia could impact the profitability or capital equipment spending programs of our foreign and domestic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personnel could adversely impact our business.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Certain key personnel are critical to our business. Our future operating results depend substantially upon the continued service of our key personnel, many of whom are not bound by employment or non-competition agreements. Our future operating results also depend in significant part upon our ability to attract and retain qualified management, manufacturing, technical, engineering, marketing, sales and support personnel. Competition for qualified personnel, particularly those with technical skills, is intense, and we cannot ensure success in attracting or retaining qualified personnel. There may be only a limited number of persons with the requisite skills and relevant industry experience to serve in these positions and it may be increasingly difficult for us to hire personnel over time. Our business, financial condition and results of operations could be materially adversely affected by the loss of any of our key employees, by the failure of any key employee to perform in his or her current position, or by our inability to attract and retain skilled employees.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non-semiconductor equipment businesses have experienced little or no growth over the last five years.</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develop, manufacture and sell products used in closed circuit television, metal detection and microwave communications applications. These products are sold in highly competitive markets and many competitors are segments of large, diversified companies with substantially greater financial, engineering, marketing, manufacturing and customer support capabilities than Cohu. In addition, there are smaller companies that provide or may provide innovative technology incorporated in products that may compete favorably against those of Cohu. We have seen a decline in the operating results of these businesses over the last several years and the future prospects for certain of these businesses remain uncertain. We may not be able to continue to compete successfully in these businesses.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rules may impact our future operating results.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December, 1999, the staff of the Securities and Exchange Commission issued SAB 101, </w:t>
      </w:r>
      <w:r>
        <w:rPr>
          <w:rFonts w:ascii="Arial" w:cs="Arial" w:eastAsia="Arial" w:hAnsi="Arial"/>
          <w:sz w:val="16"/>
          <w:szCs w:val="16"/>
          <w:i w:val="1"/>
          <w:iCs w:val="1"/>
          <w:color w:val="auto"/>
        </w:rPr>
        <w:t>Revenue Recognition in Financial Statements</w:t>
      </w:r>
      <w:r>
        <w:rPr>
          <w:rFonts w:ascii="Arial" w:cs="Arial" w:eastAsia="Arial" w:hAnsi="Arial"/>
          <w:sz w:val="16"/>
          <w:szCs w:val="16"/>
          <w:color w:val="auto"/>
        </w:rPr>
        <w:t>. Cohu adopted SAB 101 in the fourth quarter of 2000, and, as required, changed its method of revenue recognition in certain instances. As a result of this change, a cumulative effect adjustment was recorded in Cohu’s statement of income for the quarter ended March 31, 2000. Further changes in revenue recognition practices resulting from initiatives by the FASB are possible. In addition, the FASB recently advocated changing the accounting for stock-based compensation requiring the recognition of compensation expense. Such changes could result in additional adjustments to our results of operations that may be reflected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significant volatility in our stock price.</w:t>
      </w:r>
    </w:p>
    <w:p>
      <w:pPr>
        <w:spacing w:after="0" w:line="225" w:lineRule="exact"/>
        <w:rPr>
          <w:sz w:val="20"/>
          <w:szCs w:val="20"/>
          <w:color w:val="auto"/>
        </w:rPr>
      </w:pPr>
    </w:p>
    <w:p>
      <w:pPr>
        <w:ind w:right="220"/>
        <w:spacing w:after="0" w:line="314" w:lineRule="auto"/>
        <w:rPr>
          <w:sz w:val="20"/>
          <w:szCs w:val="20"/>
          <w:color w:val="auto"/>
        </w:rPr>
      </w:pPr>
      <w:r>
        <w:rPr>
          <w:rFonts w:ascii="Arial" w:cs="Arial" w:eastAsia="Arial" w:hAnsi="Arial"/>
          <w:sz w:val="15"/>
          <w:szCs w:val="15"/>
          <w:color w:val="auto"/>
        </w:rPr>
        <w:t>A variety of factors may cause the price of our stock to be volatile. In recent years, the stock market in general, and the market for shares of high-technology companies in particular, including ours, have experienced extreme price fluctuations, which have often been unrelated to the operating performance of affected companies. During the last three years the price of our common stock has ranged from $30.65 to $9.78. The price of our stock may be more volatile than other companies due to, among other factors, the unpredictable and cyclical nature of the semiconductor industry, our significant customer concentration, intense competition in the IC test handler industry, our limited backlog making earnings predictability difficult and our relatively low daily stock trading volume. The market price of our common stock is likely to continue to fluctuate significantly in the future, including fluctuations related and unrelated to our performance.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COHU,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2003</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enacted and proposed changes in securities laws and regulations are likely to increase our costs.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Sarbanes-Oxley Act of 2002 that became law in July, 2002, requires changes in some of our corporate governance and securities disclosure or compliance practices. That Act also requires the SEC to promulgate new rules on a variety of subjects, in addition to rule proposals already made, and Nasdaq has proposed revisions to its requirements for companies that are Nasdaq-listed. We expect these developments to increase our legal and accounting compliance costs, and to make some activities more difficult, such as stockholder approval of new stock option plans. We expect these developments to make it more difficult and more expensive for us to obtain director and officer liability insurance, and we may be required to accept reduced coverage or incur substantially higher costs to obtain coverage. These developments could make it more difficult for us to attract and retain qualified members of our board of directors, or qualified executive officers. We are presently evaluating and monitoring regulatory developments and cannot estimate the timing or magnitude of additional costs we may incur as a result.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 outbreak of SARS in Asia may adversely impact our operations and sales.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Asian sales and service headquarters is located in Singapore and the majority of our sales are made to destinations in Asia. Our operations and sales in this region may be adversely impacted by the recent outbreak of Severe Acute Respiratory Syndrome, or SARS, if our business or the businesses of our customers are disrupted by travel restrictions or the illness and quarantine of employees.</w:t>
      </w:r>
    </w:p>
    <w:p>
      <w:pPr>
        <w:spacing w:after="0" w:line="1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Due to all the above and other factors, historical results may not be indicative of results of operations for any future period. In addition, certain matters discussed above are forward-looking statements that are subject to the risks and uncertainties noted herein and the other risks and uncertainties listed from time to time in our filings with the Securities and Exchange Commission, including but not limited to the 2002 Annual Report on Form 10-K, that could cause actual results to differ materially from those projected or forecasted. Cohu undertakes no obligation to update the information, including the forward-looking statements, in this Form 10-Q.</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Interest rate risk.</w:t>
      </w:r>
    </w:p>
    <w:p>
      <w:pPr>
        <w:spacing w:after="0" w:line="231"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At June 30, 2003 our investment portfolio includes fixed-income securities with a fair value of approximately $105.4 million. These securities are subject to interest rate risk and will decline in value if interest rates increase. Due to the relatively short duration of our investment portfolio, an immediate ten percent change in interest rates (e.g. 3.00% to 3.30%) would have no material impact on our financial condition or results of operations.</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Foreign currency exchange risk.</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generally conduct business, including sales to foreign customers, in U.S. dollars and as a result we have limited foreign currency exchange rate risk. Monetary assets and liabilities of Cohu’s foreign operations are not significant. The effect of an immediate ten percent change in foreign exchange rates would not have a material impact on our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31" w:lineRule="exact"/>
        <w:rPr>
          <w:sz w:val="20"/>
          <w:szCs w:val="20"/>
          <w:color w:val="auto"/>
        </w:rPr>
      </w:pPr>
    </w:p>
    <w:p>
      <w:pPr>
        <w:ind w:left="1160"/>
        <w:spacing w:after="0" w:line="290" w:lineRule="auto"/>
        <w:rPr>
          <w:sz w:val="20"/>
          <w:szCs w:val="20"/>
          <w:color w:val="auto"/>
        </w:rPr>
      </w:pPr>
      <w:r>
        <w:rPr>
          <w:rFonts w:ascii="Arial" w:cs="Arial" w:eastAsia="Arial" w:hAnsi="Arial"/>
          <w:sz w:val="16"/>
          <w:szCs w:val="16"/>
          <w:color w:val="auto"/>
        </w:rPr>
        <w:t>On August 17, 2001, Broadcast Microwave Services, Inc. (“BMS”), a wholly owned subsidiary of Cohu, was named as a defendant in a lawsuit filed by Adrienne Alpert and Barry Paulk in the Los Angeles County Superior Court, State of California. The suit alleges, among other things, that BMS and the other named defendants provided certain defective components or products and that as a result on May 22, 2000, Ms. Alpert suffered severe bodily injuries in an accident involving an electronic news gathering vehicle. The suit seeks general, special and exemplary damages of an unspecified amount. Extensive discovery in the case has occurred and trial is currently scheduled for September, 2003. Although the outcome of any litigation cannot be predicted with certainty, Cohu believes the plaintiff’s claims against BMS are without merit and that the resolution of the case will not have a material adverse effect on Cohu’s financial position or results of operations.</w:t>
      </w:r>
    </w:p>
    <w:p>
      <w:pPr>
        <w:spacing w:after="0" w:line="172" w:lineRule="exact"/>
        <w:rPr>
          <w:sz w:val="20"/>
          <w:szCs w:val="20"/>
          <w:color w:val="auto"/>
        </w:rPr>
      </w:pPr>
    </w:p>
    <w:p>
      <w:pPr>
        <w:ind w:left="1160"/>
        <w:spacing w:after="0" w:line="306" w:lineRule="auto"/>
        <w:rPr>
          <w:sz w:val="20"/>
          <w:szCs w:val="20"/>
          <w:color w:val="auto"/>
        </w:rPr>
      </w:pPr>
      <w:r>
        <w:rPr>
          <w:rFonts w:ascii="Arial" w:cs="Arial" w:eastAsia="Arial" w:hAnsi="Arial"/>
          <w:sz w:val="16"/>
          <w:szCs w:val="16"/>
          <w:color w:val="auto"/>
        </w:rPr>
        <w:t>Cohu is also currently subject to various legal proceedings, lawsuits, examinations by various tax authorities and claims that have arisen in the ordinary course of its businesses. Although the outcome of these legal proceedings, claims and examinations cannot be predicted with certainty, Cohu does not believe that any of these matters will have a material adverse effect on its financial position or results of operations.</w:t>
      </w:r>
    </w:p>
    <w:p>
      <w:pPr>
        <w:spacing w:after="0" w:line="15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Cohu Annual Meeting of Stockholders was held on May 13, 2003. At the meeting the following directors were elected:</w:t>
      </w:r>
    </w:p>
    <w:p>
      <w:pPr>
        <w:spacing w:after="0" w:line="248"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980" w:type="dxa"/>
            <w:vAlign w:val="bottom"/>
          </w:tcPr>
          <w:p>
            <w:pPr>
              <w:ind w:left="740"/>
              <w:spacing w:after="0"/>
              <w:rPr>
                <w:sz w:val="20"/>
                <w:szCs w:val="20"/>
                <w:color w:val="auto"/>
              </w:rPr>
            </w:pPr>
            <w:r>
              <w:rPr>
                <w:rFonts w:ascii="Arial" w:cs="Arial" w:eastAsia="Arial" w:hAnsi="Arial"/>
                <w:sz w:val="14"/>
                <w:szCs w:val="14"/>
                <w:b w:val="1"/>
                <w:bCs w:val="1"/>
                <w:color w:val="auto"/>
              </w:rPr>
              <w:t>Director</w:t>
            </w:r>
          </w:p>
        </w:tc>
        <w:tc>
          <w:tcPr>
            <w:tcW w:w="18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Number of Common Shares Voted</w:t>
            </w:r>
          </w:p>
        </w:tc>
      </w:tr>
      <w:tr>
        <w:trPr>
          <w:trHeight w:val="95"/>
        </w:trPr>
        <w:tc>
          <w:tcPr>
            <w:tcW w:w="20" w:type="dxa"/>
            <w:vAlign w:val="bottom"/>
          </w:tcPr>
          <w:p>
            <w:pPr>
              <w:spacing w:after="0"/>
              <w:rPr>
                <w:sz w:val="8"/>
                <w:szCs w:val="8"/>
                <w:color w:val="auto"/>
              </w:rPr>
            </w:pPr>
          </w:p>
        </w:tc>
        <w:tc>
          <w:tcPr>
            <w:tcW w:w="1980" w:type="dxa"/>
            <w:vAlign w:val="bottom"/>
            <w:tcBorders>
              <w:bottom w:val="single" w:sz="8" w:color="808080"/>
            </w:tcBorders>
          </w:tcPr>
          <w:p>
            <w:pPr>
              <w:spacing w:after="0"/>
              <w:rPr>
                <w:sz w:val="8"/>
                <w:szCs w:val="8"/>
                <w:color w:val="auto"/>
              </w:rPr>
            </w:pPr>
          </w:p>
        </w:tc>
        <w:tc>
          <w:tcPr>
            <w:tcW w:w="18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r>
      <w:tr>
        <w:trPr>
          <w:trHeight w:val="263"/>
        </w:trPr>
        <w:tc>
          <w:tcPr>
            <w:tcW w:w="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640" w:type="dxa"/>
            <w:vAlign w:val="bottom"/>
          </w:tcPr>
          <w:p>
            <w:pPr>
              <w:jc w:val="right"/>
              <w:ind w:right="212"/>
              <w:spacing w:after="0"/>
              <w:rPr>
                <w:sz w:val="20"/>
                <w:szCs w:val="20"/>
                <w:color w:val="auto"/>
              </w:rPr>
            </w:pPr>
            <w:r>
              <w:rPr>
                <w:rFonts w:ascii="Arial" w:cs="Arial" w:eastAsia="Arial" w:hAnsi="Arial"/>
                <w:sz w:val="14"/>
                <w:szCs w:val="14"/>
                <w:b w:val="1"/>
                <w:bCs w:val="1"/>
                <w:color w:val="auto"/>
              </w:rPr>
              <w:t>For</w:t>
            </w: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0"/>
              </w:rPr>
              <w:t>Withhold Authority</w:t>
            </w:r>
          </w:p>
        </w:tc>
      </w:tr>
      <w:tr>
        <w:trPr>
          <w:trHeight w:val="95"/>
        </w:trPr>
        <w:tc>
          <w:tcPr>
            <w:tcW w:w="2000" w:type="dxa"/>
            <w:vAlign w:val="bottom"/>
            <w:gridSpan w:val="2"/>
          </w:tcPr>
          <w:p>
            <w:pPr>
              <w:spacing w:after="0"/>
              <w:rPr>
                <w:sz w:val="8"/>
                <w:szCs w:val="8"/>
                <w:color w:val="auto"/>
              </w:rPr>
            </w:pPr>
          </w:p>
        </w:tc>
        <w:tc>
          <w:tcPr>
            <w:tcW w:w="1860" w:type="dxa"/>
            <w:vAlign w:val="bottom"/>
          </w:tcPr>
          <w:p>
            <w:pPr>
              <w:spacing w:after="0"/>
              <w:rPr>
                <w:sz w:val="8"/>
                <w:szCs w:val="8"/>
                <w:color w:val="auto"/>
              </w:rPr>
            </w:pPr>
          </w:p>
        </w:tc>
        <w:tc>
          <w:tcPr>
            <w:tcW w:w="16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r>
      <w:tr>
        <w:trPr>
          <w:trHeight w:val="309"/>
        </w:trPr>
        <w:tc>
          <w:tcPr>
            <w:tcW w:w="2000" w:type="dxa"/>
            <w:vAlign w:val="bottom"/>
            <w:gridSpan w:val="2"/>
          </w:tcPr>
          <w:p>
            <w:pPr>
              <w:spacing w:after="0"/>
              <w:rPr>
                <w:sz w:val="20"/>
                <w:szCs w:val="20"/>
                <w:color w:val="auto"/>
              </w:rPr>
            </w:pPr>
            <w:r>
              <w:rPr>
                <w:rFonts w:ascii="Arial" w:cs="Arial" w:eastAsia="Arial" w:hAnsi="Arial"/>
                <w:sz w:val="18"/>
                <w:szCs w:val="18"/>
                <w:color w:val="auto"/>
              </w:rPr>
              <w:t>Harry L. Casari</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17,652,277</w:t>
            </w:r>
          </w:p>
        </w:tc>
        <w:tc>
          <w:tcPr>
            <w:tcW w:w="3640" w:type="dxa"/>
            <w:vAlign w:val="bottom"/>
            <w:gridSpan w:val="3"/>
          </w:tcPr>
          <w:p>
            <w:pPr>
              <w:jc w:val="center"/>
              <w:ind w:left="1179"/>
              <w:spacing w:after="0"/>
              <w:rPr>
                <w:sz w:val="20"/>
                <w:szCs w:val="20"/>
                <w:color w:val="auto"/>
              </w:rPr>
            </w:pPr>
            <w:r>
              <w:rPr>
                <w:rFonts w:ascii="Arial" w:cs="Arial" w:eastAsia="Arial" w:hAnsi="Arial"/>
                <w:sz w:val="18"/>
                <w:szCs w:val="18"/>
                <w:color w:val="auto"/>
                <w:w w:val="87"/>
              </w:rPr>
              <w:t>2,328,842</w:t>
            </w:r>
          </w:p>
        </w:tc>
      </w:tr>
      <w:tr>
        <w:trPr>
          <w:trHeight w:val="222"/>
        </w:trPr>
        <w:tc>
          <w:tcPr>
            <w:tcW w:w="2000" w:type="dxa"/>
            <w:vAlign w:val="bottom"/>
            <w:gridSpan w:val="2"/>
          </w:tcPr>
          <w:p>
            <w:pPr>
              <w:spacing w:after="0"/>
              <w:rPr>
                <w:sz w:val="20"/>
                <w:szCs w:val="20"/>
                <w:color w:val="auto"/>
              </w:rPr>
            </w:pPr>
            <w:r>
              <w:rPr>
                <w:rFonts w:ascii="Arial" w:cs="Arial" w:eastAsia="Arial" w:hAnsi="Arial"/>
                <w:sz w:val="18"/>
                <w:szCs w:val="18"/>
                <w:color w:val="auto"/>
              </w:rPr>
              <w:t>Harold Harrigian</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17,658,564</w:t>
            </w:r>
          </w:p>
        </w:tc>
        <w:tc>
          <w:tcPr>
            <w:tcW w:w="3640" w:type="dxa"/>
            <w:vAlign w:val="bottom"/>
            <w:gridSpan w:val="3"/>
          </w:tcPr>
          <w:p>
            <w:pPr>
              <w:jc w:val="center"/>
              <w:ind w:left="1179"/>
              <w:spacing w:after="0"/>
              <w:rPr>
                <w:sz w:val="20"/>
                <w:szCs w:val="20"/>
                <w:color w:val="auto"/>
              </w:rPr>
            </w:pPr>
            <w:r>
              <w:rPr>
                <w:rFonts w:ascii="Arial" w:cs="Arial" w:eastAsia="Arial" w:hAnsi="Arial"/>
                <w:sz w:val="18"/>
                <w:szCs w:val="18"/>
                <w:color w:val="auto"/>
                <w:w w:val="87"/>
              </w:rPr>
              <w:t>2,322,555</w:t>
            </w:r>
          </w:p>
        </w:tc>
      </w:tr>
    </w:tbl>
    <w:p>
      <w:pPr>
        <w:spacing w:after="0" w:line="23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remaining directors continuing in office until 2004 or 2005 are James W. Barnes, James A. Donahue and Charles A. Schwan.</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 addition, the stockholders approved the following proposal:</w:t>
      </w:r>
    </w:p>
    <w:p>
      <w:pPr>
        <w:spacing w:after="0" w:line="248"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ind w:left="1740"/>
              <w:spacing w:after="0"/>
              <w:rPr>
                <w:sz w:val="20"/>
                <w:szCs w:val="20"/>
                <w:color w:val="auto"/>
              </w:rPr>
            </w:pPr>
            <w:r>
              <w:rPr>
                <w:rFonts w:ascii="Arial" w:cs="Arial" w:eastAsia="Arial" w:hAnsi="Arial"/>
                <w:sz w:val="14"/>
                <w:szCs w:val="14"/>
                <w:b w:val="1"/>
                <w:bCs w:val="1"/>
                <w:color w:val="auto"/>
              </w:rPr>
              <w:t>Proposal</w:t>
            </w:r>
          </w:p>
        </w:tc>
        <w:tc>
          <w:tcPr>
            <w:tcW w:w="2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2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Common Shares Voted</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ind w:left="24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For</w:t>
            </w:r>
          </w:p>
        </w:tc>
        <w:tc>
          <w:tcPr>
            <w:tcW w:w="220" w:type="dxa"/>
            <w:vAlign w:val="bottom"/>
          </w:tcPr>
          <w:p>
            <w:pPr>
              <w:spacing w:after="0"/>
              <w:rPr>
                <w:sz w:val="15"/>
                <w:szCs w:val="15"/>
                <w:color w:val="auto"/>
              </w:rPr>
            </w:pPr>
          </w:p>
        </w:tc>
        <w:tc>
          <w:tcPr>
            <w:tcW w:w="1340" w:type="dxa"/>
            <w:vAlign w:val="bottom"/>
          </w:tcPr>
          <w:p>
            <w:pPr>
              <w:jc w:val="right"/>
              <w:ind w:right="372"/>
              <w:spacing w:after="0"/>
              <w:rPr>
                <w:sz w:val="20"/>
                <w:szCs w:val="20"/>
                <w:color w:val="auto"/>
              </w:rPr>
            </w:pPr>
            <w:r>
              <w:rPr>
                <w:rFonts w:ascii="Arial" w:cs="Arial" w:eastAsia="Arial" w:hAnsi="Arial"/>
                <w:sz w:val="14"/>
                <w:szCs w:val="14"/>
                <w:b w:val="1"/>
                <w:bCs w:val="1"/>
                <w:color w:val="auto"/>
              </w:rPr>
              <w:t>Against</w:t>
            </w:r>
          </w:p>
        </w:tc>
        <w:tc>
          <w:tcPr>
            <w:tcW w:w="24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Abstain</w:t>
            </w:r>
          </w:p>
        </w:tc>
        <w:tc>
          <w:tcPr>
            <w:tcW w:w="220" w:type="dxa"/>
            <w:vAlign w:val="bottom"/>
          </w:tcPr>
          <w:p>
            <w:pPr>
              <w:spacing w:after="0"/>
              <w:rPr>
                <w:sz w:val="15"/>
                <w:szCs w:val="15"/>
                <w:color w:val="auto"/>
              </w:rPr>
            </w:pPr>
          </w:p>
        </w:tc>
        <w:tc>
          <w:tcPr>
            <w:tcW w:w="900" w:type="dxa"/>
            <w:vAlign w:val="bottom"/>
          </w:tcPr>
          <w:p>
            <w:pPr>
              <w:ind w:left="160"/>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95"/>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w w:val="99"/>
              </w:rPr>
              <w:t>To approve certain amendments to the Cohu 1996</w:t>
            </w:r>
          </w:p>
        </w:tc>
        <w:tc>
          <w:tcPr>
            <w:tcW w:w="22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Outside Directors Stock Option Plan to (i) increase the</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1"/>
              </w:rPr>
              <w:t>initial grant upon appointment to the board from 10,000</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86"/>
              </w:rPr>
              <w:t>shares to 20,000 shares and (ii) reduce the vesting period</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w w:val="92"/>
              </w:rPr>
              <w:t>on the 5,000 share annual grant from four years to two</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20" w:type="dxa"/>
            <w:vAlign w:val="bottom"/>
            <w:gridSpan w:val="2"/>
          </w:tcPr>
          <w:p>
            <w:pPr>
              <w:spacing w:after="0"/>
              <w:rPr>
                <w:sz w:val="20"/>
                <w:szCs w:val="20"/>
                <w:color w:val="auto"/>
              </w:rPr>
            </w:pPr>
            <w:r>
              <w:rPr>
                <w:rFonts w:ascii="Arial" w:cs="Arial" w:eastAsia="Arial" w:hAnsi="Arial"/>
                <w:sz w:val="18"/>
                <w:szCs w:val="18"/>
                <w:color w:val="auto"/>
              </w:rPr>
              <w:t>years</w:t>
            </w:r>
          </w:p>
        </w:tc>
        <w:tc>
          <w:tcPr>
            <w:tcW w:w="1720" w:type="dxa"/>
            <w:vAlign w:val="bottom"/>
            <w:gridSpan w:val="2"/>
          </w:tcPr>
          <w:p>
            <w:pPr>
              <w:jc w:val="right"/>
              <w:ind w:right="292"/>
              <w:spacing w:after="0"/>
              <w:rPr>
                <w:sz w:val="20"/>
                <w:szCs w:val="20"/>
                <w:color w:val="auto"/>
              </w:rPr>
            </w:pPr>
            <w:r>
              <w:rPr>
                <w:rFonts w:ascii="Arial" w:cs="Arial" w:eastAsia="Arial" w:hAnsi="Arial"/>
                <w:sz w:val="18"/>
                <w:szCs w:val="18"/>
                <w:color w:val="auto"/>
              </w:rPr>
              <w:t>16,371,701</w:t>
            </w:r>
          </w:p>
        </w:tc>
        <w:tc>
          <w:tcPr>
            <w:tcW w:w="1560" w:type="dxa"/>
            <w:vAlign w:val="bottom"/>
            <w:gridSpan w:val="2"/>
          </w:tcPr>
          <w:p>
            <w:pPr>
              <w:jc w:val="right"/>
              <w:ind w:right="292"/>
              <w:spacing w:after="0"/>
              <w:rPr>
                <w:sz w:val="20"/>
                <w:szCs w:val="20"/>
                <w:color w:val="auto"/>
              </w:rPr>
            </w:pPr>
            <w:r>
              <w:rPr>
                <w:rFonts w:ascii="Arial" w:cs="Arial" w:eastAsia="Arial" w:hAnsi="Arial"/>
                <w:sz w:val="18"/>
                <w:szCs w:val="18"/>
                <w:color w:val="auto"/>
              </w:rPr>
              <w:t>3,499,948</w:t>
            </w:r>
          </w:p>
        </w:tc>
        <w:tc>
          <w:tcPr>
            <w:tcW w:w="1280" w:type="dxa"/>
            <w:vAlign w:val="bottom"/>
            <w:gridSpan w:val="2"/>
          </w:tcPr>
          <w:p>
            <w:pPr>
              <w:jc w:val="right"/>
              <w:ind w:right="172"/>
              <w:spacing w:after="0"/>
              <w:rPr>
                <w:sz w:val="20"/>
                <w:szCs w:val="20"/>
                <w:color w:val="auto"/>
              </w:rPr>
            </w:pPr>
            <w:r>
              <w:rPr>
                <w:rFonts w:ascii="Arial" w:cs="Arial" w:eastAsia="Arial" w:hAnsi="Arial"/>
                <w:sz w:val="18"/>
                <w:szCs w:val="18"/>
                <w:color w:val="auto"/>
              </w:rPr>
              <w:t>109,468</w:t>
            </w:r>
          </w:p>
        </w:tc>
        <w:tc>
          <w:tcPr>
            <w:tcW w:w="1120" w:type="dxa"/>
            <w:vAlign w:val="bottom"/>
            <w:gridSpan w:val="2"/>
          </w:tcPr>
          <w:p>
            <w:pPr>
              <w:ind w:left="460"/>
              <w:spacing w:after="0"/>
              <w:rPr>
                <w:sz w:val="20"/>
                <w:szCs w:val="20"/>
                <w:color w:val="auto"/>
              </w:rPr>
            </w:pPr>
            <w:r>
              <w:rPr>
                <w:rFonts w:ascii="Arial" w:cs="Arial" w:eastAsia="Arial" w:hAnsi="Arial"/>
                <w:sz w:val="18"/>
                <w:szCs w:val="18"/>
                <w:color w:val="auto"/>
                <w:w w:val="98"/>
              </w:rPr>
              <w:t>958,867</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31" w:lineRule="exact"/>
        <w:rPr>
          <w:sz w:val="20"/>
          <w:szCs w:val="20"/>
          <w:color w:val="auto"/>
        </w:rPr>
      </w:pPr>
    </w:p>
    <w:p>
      <w:pPr>
        <w:ind w:left="1160" w:right="80"/>
        <w:spacing w:after="0" w:line="259" w:lineRule="auto"/>
        <w:rPr>
          <w:sz w:val="20"/>
          <w:szCs w:val="20"/>
          <w:color w:val="auto"/>
        </w:rPr>
      </w:pPr>
      <w:r>
        <w:rPr>
          <w:rFonts w:ascii="Arial" w:cs="Arial" w:eastAsia="Arial" w:hAnsi="Arial"/>
          <w:sz w:val="18"/>
          <w:szCs w:val="18"/>
          <w:color w:val="auto"/>
        </w:rPr>
        <w:t>On July 22, 2003, Robert L. Ciardella was appointed to the Cohu Board of Directors. Mr. Ciardella is President of Asymtek based in Carlsbad, California. Asymtek designs, develops, manufactures and sells semiconductor and circuit board assembly equipment and is a subsidiary of Nordson Corporation.</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46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 and Reports on Form 8-K</w:t>
            </w:r>
          </w:p>
        </w:tc>
      </w:tr>
      <w:tr>
        <w:trPr>
          <w:trHeight w:val="432"/>
        </w:trPr>
        <w:tc>
          <w:tcPr>
            <w:tcW w:w="800" w:type="dxa"/>
            <w:vAlign w:val="bottom"/>
          </w:tcPr>
          <w:p>
            <w:pPr>
              <w:spacing w:after="0"/>
              <w:rPr>
                <w:sz w:val="24"/>
                <w:szCs w:val="24"/>
                <w:color w:val="auto"/>
              </w:rPr>
            </w:pPr>
          </w:p>
        </w:tc>
        <w:tc>
          <w:tcPr>
            <w:tcW w:w="1140" w:type="dxa"/>
            <w:vAlign w:val="bottom"/>
          </w:tcPr>
          <w:p>
            <w:pPr>
              <w:ind w:left="240"/>
              <w:spacing w:after="0"/>
              <w:rPr>
                <w:sz w:val="20"/>
                <w:szCs w:val="20"/>
                <w:color w:val="auto"/>
              </w:rPr>
            </w:pPr>
            <w:r>
              <w:rPr>
                <w:rFonts w:ascii="Arial" w:cs="Arial" w:eastAsia="Arial" w:hAnsi="Arial"/>
                <w:sz w:val="18"/>
                <w:szCs w:val="18"/>
                <w:color w:val="auto"/>
                <w:w w:val="92"/>
              </w:rPr>
              <w:t>(a) Exhibits:</w:t>
            </w:r>
          </w:p>
        </w:tc>
        <w:tc>
          <w:tcPr>
            <w:tcW w:w="240" w:type="dxa"/>
            <w:vAlign w:val="bottom"/>
          </w:tcPr>
          <w:p>
            <w:pPr>
              <w:spacing w:after="0"/>
              <w:rPr>
                <w:sz w:val="24"/>
                <w:szCs w:val="24"/>
                <w:color w:val="auto"/>
              </w:rPr>
            </w:pPr>
          </w:p>
        </w:tc>
        <w:tc>
          <w:tcPr>
            <w:tcW w:w="8080" w:type="dxa"/>
            <w:vAlign w:val="bottom"/>
          </w:tcPr>
          <w:p>
            <w:pPr>
              <w:spacing w:after="0"/>
              <w:rPr>
                <w:sz w:val="24"/>
                <w:szCs w:val="24"/>
                <w:color w:val="auto"/>
              </w:rPr>
            </w:pPr>
          </w:p>
        </w:tc>
      </w:tr>
      <w:tr>
        <w:trPr>
          <w:trHeight w:val="453"/>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9"/>
              </w:rPr>
              <w:t>Amended and Restated Certificate of Incorporation of Cohu, Inc. incorporated herein by reference to</w:t>
            </w:r>
          </w:p>
        </w:tc>
      </w:tr>
      <w:tr>
        <w:trPr>
          <w:trHeight w:val="222"/>
        </w:trPr>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Exhibit 3.1(a) from the Cohu, Inc. Form 10-Q for the quarterly period ended June 30, 1999</w:t>
            </w:r>
          </w:p>
        </w:tc>
      </w:tr>
      <w:tr>
        <w:trPr>
          <w:trHeight w:val="426"/>
        </w:trPr>
        <w:tc>
          <w:tcPr>
            <w:tcW w:w="8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3.1(a)</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3"/>
              </w:rPr>
              <w:t>Certificate of Amendment of Amended and Restated Certificate of Incorporation of Cohu, Inc. incorporated</w:t>
            </w:r>
          </w:p>
        </w:tc>
      </w:tr>
      <w:tr>
        <w:trPr>
          <w:trHeight w:val="222"/>
        </w:trPr>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herein by reference from the Cohu, Inc. Form S-8 filed June 30, 2000, Exhibit 4.1(a)</w:t>
            </w:r>
          </w:p>
        </w:tc>
      </w:tr>
      <w:tr>
        <w:trPr>
          <w:trHeight w:val="426"/>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88"/>
              </w:rPr>
              <w:t>Amended and Restated Bylaws of Cohu, Inc. incorporated herein by reference to Exhibit 3.2 from the Cohu, Inc.</w:t>
            </w:r>
          </w:p>
        </w:tc>
      </w:tr>
      <w:tr>
        <w:trPr>
          <w:trHeight w:val="222"/>
        </w:trPr>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Report on Form 8-K filed with the Securities and Exchange Commission on December 12, 1996</w:t>
            </w:r>
          </w:p>
        </w:tc>
      </w:tr>
      <w:tr>
        <w:trPr>
          <w:trHeight w:val="426"/>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93"/>
              </w:rPr>
              <w:t>Rights Agreement dated November 15, 1996, between Cohu, Inc. and ChaseMellon Shareholder Services,</w:t>
            </w:r>
          </w:p>
        </w:tc>
      </w:tr>
      <w:tr>
        <w:trPr>
          <w:trHeight w:val="216"/>
        </w:trPr>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w w:val="93"/>
              </w:rPr>
              <w:t>L.L.C., incorporated herein by reference from the Cohu, Inc. Report on Form 8-K filed December 12, 1996,</w:t>
            </w:r>
          </w:p>
        </w:tc>
      </w:tr>
      <w:tr>
        <w:trPr>
          <w:trHeight w:val="222"/>
        </w:trPr>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Exhibit 4.1</w:t>
            </w:r>
          </w:p>
        </w:tc>
      </w:tr>
      <w:tr>
        <w:trPr>
          <w:trHeight w:val="432"/>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10.1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Cohu, Inc. 1996 Outside Directors Stock Option Plan (as amended)</w:t>
            </w:r>
          </w:p>
        </w:tc>
      </w:tr>
      <w:tr>
        <w:trPr>
          <w:trHeight w:val="426"/>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10.2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w w:val="88"/>
              </w:rPr>
              <w:t>Amendment No. 7, dated June 25, 2003 to Business Loan Amendment dated June 15, 1998 between Cohu, Inc.</w:t>
            </w:r>
          </w:p>
        </w:tc>
      </w:tr>
      <w:tr>
        <w:trPr>
          <w:trHeight w:val="222"/>
        </w:trPr>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80" w:type="dxa"/>
            <w:vAlign w:val="bottom"/>
          </w:tcPr>
          <w:p>
            <w:pPr>
              <w:ind w:left="140"/>
              <w:spacing w:after="0"/>
              <w:rPr>
                <w:sz w:val="20"/>
                <w:szCs w:val="20"/>
                <w:color w:val="auto"/>
              </w:rPr>
            </w:pPr>
            <w:r>
              <w:rPr>
                <w:rFonts w:ascii="Arial" w:cs="Arial" w:eastAsia="Arial" w:hAnsi="Arial"/>
                <w:sz w:val="18"/>
                <w:szCs w:val="18"/>
                <w:color w:val="auto"/>
              </w:rPr>
              <w:t>and Bank of America, N.A.</w:t>
            </w:r>
          </w:p>
        </w:tc>
      </w:tr>
      <w:tr>
        <w:trPr>
          <w:trHeight w:val="432"/>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31.1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31.2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32.1</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800" w:type="dxa"/>
            <w:vAlign w:val="bottom"/>
          </w:tcPr>
          <w:p>
            <w:pPr>
              <w:spacing w:after="0"/>
              <w:rPr>
                <w:sz w:val="24"/>
                <w:szCs w:val="24"/>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32.2</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808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pacing w:after="0" w:line="237" w:lineRule="exact"/>
        <w:rPr>
          <w:sz w:val="20"/>
          <w:szCs w:val="20"/>
          <w:color w:val="auto"/>
        </w:rPr>
      </w:pPr>
    </w:p>
    <w:p>
      <w:pPr>
        <w:ind w:left="1260" w:hanging="309"/>
        <w:spacing w:after="0" w:line="268" w:lineRule="auto"/>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Reports on Form 8-K: The Company filed a report on Form 8-K with the Securities and Exchange Commission on April 25, 2003. The Form 8-K included the Cohu, Inc. first quarter 2003 Earnings Release, dated April 23, 2003.</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COHU,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71120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78"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Date: July 25, 2003</w:t>
      </w:r>
      <w:r>
        <w:rPr>
          <w:sz w:val="20"/>
          <w:szCs w:val="20"/>
          <w:color w:val="auto"/>
        </w:rPr>
        <w:tab/>
      </w:r>
      <w:r>
        <w:rPr>
          <w:rFonts w:ascii="Arial" w:cs="Arial" w:eastAsia="Arial" w:hAnsi="Arial"/>
          <w:sz w:val="15"/>
          <w:szCs w:val="15"/>
          <w:color w:val="auto"/>
        </w:rPr>
        <w:t>/s/ James A.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71120</wp:posOffset>
            </wp:positionV>
            <wp:extent cx="13893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James A. Donahue</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President &amp; Chief Executive Officer</w:t>
      </w:r>
    </w:p>
    <w:p>
      <w:pPr>
        <w:spacing w:after="0" w:line="219" w:lineRule="exact"/>
        <w:rPr>
          <w:sz w:val="20"/>
          <w:szCs w:val="20"/>
          <w:color w:val="auto"/>
        </w:rPr>
      </w:pPr>
    </w:p>
    <w:p>
      <w:pPr>
        <w:spacing w:after="0"/>
        <w:tabs>
          <w:tab w:leader="none" w:pos="8320" w:val="left"/>
        </w:tabs>
        <w:rPr>
          <w:sz w:val="20"/>
          <w:szCs w:val="20"/>
          <w:color w:val="auto"/>
        </w:rPr>
      </w:pPr>
      <w:r>
        <w:rPr>
          <w:rFonts w:ascii="Arial" w:cs="Arial" w:eastAsia="Arial" w:hAnsi="Arial"/>
          <w:sz w:val="18"/>
          <w:szCs w:val="18"/>
          <w:color w:val="auto"/>
        </w:rPr>
        <w:t>Date: July 25, 2003</w:t>
      </w:r>
      <w:r>
        <w:rPr>
          <w:sz w:val="20"/>
          <w:szCs w:val="20"/>
          <w:color w:val="auto"/>
        </w:rPr>
        <w:tab/>
      </w:r>
      <w:r>
        <w:rPr>
          <w:rFonts w:ascii="Arial" w:cs="Arial" w:eastAsia="Arial" w:hAnsi="Arial"/>
          <w:sz w:val="16"/>
          <w:szCs w:val="16"/>
          <w:color w:val="auto"/>
        </w:rPr>
        <w:t>/s/ John H.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71120</wp:posOffset>
            </wp:positionV>
            <wp:extent cx="13893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78"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John H. Allen</w:t>
      </w:r>
    </w:p>
    <w:p>
      <w:pPr>
        <w:spacing w:after="0" w:line="15" w:lineRule="exact"/>
        <w:rPr>
          <w:sz w:val="20"/>
          <w:szCs w:val="20"/>
          <w:color w:val="auto"/>
        </w:rPr>
      </w:pPr>
    </w:p>
    <w:p>
      <w:pPr>
        <w:ind w:left="8340"/>
        <w:spacing w:after="0"/>
        <w:rPr>
          <w:sz w:val="20"/>
          <w:szCs w:val="20"/>
          <w:color w:val="auto"/>
        </w:rPr>
      </w:pPr>
      <w:r>
        <w:rPr>
          <w:rFonts w:ascii="Arial" w:cs="Arial" w:eastAsia="Arial" w:hAnsi="Arial"/>
          <w:sz w:val="16"/>
          <w:szCs w:val="16"/>
          <w:color w:val="auto"/>
        </w:rPr>
        <w:t>Vice President, Finance &amp; Chief Financial</w:t>
      </w:r>
    </w:p>
    <w:p>
      <w:pPr>
        <w:spacing w:after="0" w:line="32" w:lineRule="exact"/>
        <w:rPr>
          <w:sz w:val="20"/>
          <w:szCs w:val="20"/>
          <w:color w:val="auto"/>
        </w:rPr>
      </w:pPr>
    </w:p>
    <w:p>
      <w:pPr>
        <w:ind w:left="8340"/>
        <w:spacing w:after="0"/>
        <w:rPr>
          <w:sz w:val="20"/>
          <w:szCs w:val="20"/>
          <w:color w:val="auto"/>
        </w:rPr>
      </w:pPr>
      <w:r>
        <w:rPr>
          <w:rFonts w:ascii="Arial" w:cs="Arial" w:eastAsia="Arial" w:hAnsi="Arial"/>
          <w:sz w:val="18"/>
          <w:szCs w:val="18"/>
          <w:color w:val="auto"/>
        </w:rPr>
        <w:t>Officer</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ind w:left="3420"/>
              <w:spacing w:after="0"/>
              <w:rPr>
                <w:sz w:val="20"/>
                <w:szCs w:val="20"/>
                <w:color w:val="auto"/>
              </w:rPr>
            </w:pPr>
            <w:r>
              <w:rPr>
                <w:rFonts w:ascii="Arial" w:cs="Arial" w:eastAsia="Arial" w:hAnsi="Arial"/>
                <w:sz w:val="18"/>
                <w:szCs w:val="18"/>
                <w:b w:val="1"/>
                <w:bCs w:val="1"/>
                <w:color w:val="auto"/>
              </w:rPr>
              <w:t>EXHIBIT INDEX</w:t>
            </w:r>
          </w:p>
        </w:tc>
      </w:tr>
      <w:tr>
        <w:trPr>
          <w:trHeight w:val="623"/>
        </w:trPr>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Exhibit No.</w:t>
            </w:r>
          </w:p>
        </w:tc>
        <w:tc>
          <w:tcPr>
            <w:tcW w:w="580" w:type="dxa"/>
            <w:vAlign w:val="bottom"/>
          </w:tcPr>
          <w:p>
            <w:pPr>
              <w:spacing w:after="0"/>
              <w:rPr>
                <w:sz w:val="24"/>
                <w:szCs w:val="24"/>
                <w:color w:val="auto"/>
              </w:rPr>
            </w:pPr>
          </w:p>
        </w:tc>
        <w:tc>
          <w:tcPr>
            <w:tcW w:w="980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0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9800" w:type="dxa"/>
            <w:vAlign w:val="bottom"/>
            <w:tcBorders>
              <w:bottom w:val="single" w:sz="8" w:color="808080"/>
            </w:tcBorders>
          </w:tcPr>
          <w:p>
            <w:pPr>
              <w:spacing w:after="0"/>
              <w:rPr>
                <w:sz w:val="8"/>
                <w:szCs w:val="8"/>
                <w:color w:val="auto"/>
              </w:rPr>
            </w:pPr>
          </w:p>
        </w:tc>
      </w:tr>
      <w:tr>
        <w:trPr>
          <w:trHeight w:val="309"/>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of Cohu, Inc. incorporated herein by reference to Exhibit 3.1(a) from the Cohu, Inc.</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Form 10-Q for the quarterly period ended June 30, 1999</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3.1(a)</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90"/>
              </w:rPr>
              <w:t>Certificate of Amendment of Amended and Restated Certificate of Incorporation of Cohu, Inc. incorporated herein by reference from the</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Cohu, Inc. Form S-8 filed June 30, 2000, Exhibit 4.1(a)</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Amended and Restated Bylaws of Cohu, Inc. incorporated herein by reference to Exhibit 3.2 from the Cohu, Inc. Report on Form 8-K filed</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with the Securities and Exchange Commission on December 12, 1996</w:t>
            </w:r>
          </w:p>
        </w:tc>
      </w:tr>
      <w:tr>
        <w:trPr>
          <w:trHeight w:val="426"/>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9"/>
              </w:rPr>
              <w:t>Rights Agreement dated November 15, 1996, between Cohu, Inc. and ChaseMellon Shareholder Services, L.L.C., incorporated herein by</w:t>
            </w:r>
          </w:p>
        </w:tc>
      </w:tr>
      <w:tr>
        <w:trPr>
          <w:trHeight w:val="222"/>
        </w:trPr>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reference from the Cohu, Inc. Report on Form 8-K filed December 12, 1996, Exhibit 4.1</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Cohu, Inc. 1996 Outside Directors Stock Option Plan (as amended)</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w w:val="88"/>
              </w:rPr>
              <w:t>Amendment No. 7, dated June 25, 2003 to Business Loan Amendment dated June 15, 1998 between Cohu, Inc. and Bank of America, N.A.</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31.2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pursuant to Section 302(a)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32.1</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432"/>
        </w:trPr>
        <w:tc>
          <w:tcPr>
            <w:tcW w:w="1040" w:type="dxa"/>
            <w:vAlign w:val="bottom"/>
          </w:tcPr>
          <w:p>
            <w:pPr>
              <w:spacing w:after="0"/>
              <w:rPr>
                <w:sz w:val="20"/>
                <w:szCs w:val="20"/>
                <w:color w:val="auto"/>
              </w:rPr>
            </w:pPr>
            <w:r>
              <w:rPr>
                <w:rFonts w:ascii="Arial" w:cs="Arial" w:eastAsia="Arial" w:hAnsi="Arial"/>
                <w:sz w:val="18"/>
                <w:szCs w:val="18"/>
                <w:color w:val="auto"/>
              </w:rPr>
              <w:t>32.2</w:t>
            </w:r>
          </w:p>
        </w:tc>
        <w:tc>
          <w:tcPr>
            <w:tcW w:w="580" w:type="dxa"/>
            <w:vAlign w:val="bottom"/>
          </w:tcPr>
          <w:p>
            <w:pPr>
              <w:spacing w:after="0"/>
              <w:rPr>
                <w:sz w:val="24"/>
                <w:szCs w:val="24"/>
                <w:color w:val="auto"/>
              </w:rPr>
            </w:pPr>
          </w:p>
        </w:tc>
        <w:tc>
          <w:tcPr>
            <w:tcW w:w="98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bl>
    <w:p>
      <w:pPr>
        <w:sectPr>
          <w:pgSz w:w="11900" w:h="16838" w:orient="portrait"/>
          <w:cols w:equalWidth="0" w:num="1">
            <w:col w:w="11420"/>
          </w:cols>
          <w:pgMar w:left="240" w:top="419" w:right="239"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1996 OUTSIDE DIRECTORS STOCK OPTION PLAN</w:t>
      </w:r>
    </w:p>
    <w:p>
      <w:pPr>
        <w:jc w:val="center"/>
        <w:ind w:right="1779"/>
        <w:spacing w:after="0"/>
        <w:rPr>
          <w:sz w:val="20"/>
          <w:szCs w:val="20"/>
          <w:color w:val="auto"/>
        </w:rPr>
      </w:pPr>
      <w:r>
        <w:rPr>
          <w:rFonts w:ascii="Courier New" w:cs="Courier New" w:eastAsia="Courier New" w:hAnsi="Courier New"/>
          <w:sz w:val="18"/>
          <w:szCs w:val="18"/>
          <w:color w:val="auto"/>
        </w:rPr>
        <w:t>(AS AMENDED)</w:t>
      </w:r>
    </w:p>
    <w:p>
      <w:pPr>
        <w:spacing w:after="0" w:line="206" w:lineRule="exact"/>
        <w:rPr>
          <w:sz w:val="20"/>
          <w:szCs w:val="20"/>
          <w:color w:val="auto"/>
        </w:rPr>
      </w:pPr>
    </w:p>
    <w:p>
      <w:pPr>
        <w:ind w:right="1779" w:firstLine="956"/>
        <w:spacing w:after="0" w:line="237"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 The Cohu, Inc. 1996 Outside Directors Stock Option Plan (the "Plan") is established effective as of the date the Plan is approved by the Board of Directors (the "Effective Date") to create additional incentive for the non-employee directors of Cohu, Inc., a Delaware corporation, and any successor corporation thereto (collectively referred to as the "Company") to promote the financial success and progress of the Company and any present or future parent and/or subsidiary corporations of the Company. For purposes of the Plan, a parent corporation and a subsidiary corporation shall be as defined in sections 424(e) and 424(f) of the Internal Revenue Code of 1986, as amended (the "Code").</w:t>
      </w:r>
    </w:p>
    <w:p>
      <w:pPr>
        <w:spacing w:after="0" w:line="214" w:lineRule="exact"/>
        <w:rPr>
          <w:rFonts w:ascii="Courier New" w:cs="Courier New" w:eastAsia="Courier New" w:hAnsi="Courier New"/>
          <w:sz w:val="18"/>
          <w:szCs w:val="18"/>
          <w:color w:val="auto"/>
        </w:rPr>
      </w:pPr>
    </w:p>
    <w:p>
      <w:pPr>
        <w:ind w:right="1779" w:firstLine="956"/>
        <w:spacing w:after="0" w:line="269" w:lineRule="auto"/>
        <w:tabs>
          <w:tab w:leader="none" w:pos="189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Board of Directors of the Company (the "Board") and/or by a duly appointed committee of the Board having such powers as shall be specified by the Board. Any subsequent references herein to the Board shall also mean the committee if such committee has been appointed and, unless the powers of the committee have been specifically limited, the committee shall have all of the powers of the Board granted herein, including, without limitation, the power to terminate or amend the Plan at any time, subject to the terms of the Plan and any applicable limitations imposed by law. The Board shall have no authority, discretion, or power to select the non-employee directors of the Company who will receive options under the Plan, to set the exercise price of the options granted under the Plan, to determine the number of shares of common stock to be granted under option or the time at which such options are to be granted, to establish the duration of option grants, or to alter any other terms or conditions specified in the Plan, except in the sense of administering the Plan subject to the provisions of the Plan. All questions of interpretation of the Plan or of any options granted under the Plan (an "Option") shall be determined by the Board, and such determinations shall be final and binding upon all persons having an interest in the Plan and/or any Option. Any officer of the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779" w:firstLine="956"/>
        <w:spacing w:after="0" w:line="237" w:lineRule="auto"/>
        <w:tabs>
          <w:tab w:leader="none" w:pos="1896"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and Type of Option. Options may be granted only to directors of the Company who, at the time of such grant, are not current or former management employees of the Company or of any parent or subsidiary corporation of the Company ("Outside Directors"). Options granted to Outside Directors shall be nonqualified stock options; that is, options which are not treated as having been granted under section 422(b) of the Code.</w:t>
      </w:r>
    </w:p>
    <w:p>
      <w:pPr>
        <w:spacing w:after="0" w:line="209" w:lineRule="exact"/>
        <w:rPr>
          <w:rFonts w:ascii="Courier New" w:cs="Courier New" w:eastAsia="Courier New" w:hAnsi="Courier New"/>
          <w:sz w:val="18"/>
          <w:szCs w:val="18"/>
          <w:color w:val="auto"/>
        </w:rPr>
      </w:pPr>
    </w:p>
    <w:p>
      <w:pPr>
        <w:ind w:right="1779" w:firstLine="956"/>
        <w:spacing w:after="0" w:line="270" w:lineRule="auto"/>
        <w:tabs>
          <w:tab w:leader="none" w:pos="189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Option. Options shall be for the purchase of shares of authorized but unissued common stock or treasury shares of common stock of the Company (the "Stock"), subject to adjustment as provided in paragraph 8 below. The maximum number of shares of Stock which may be issued under the Plan shall be Three Hundred Thousand (300,000) shares. In the event that any outstanding Option for any reason expires or is terminated and/or shares of Stock subject to repurchase are repurchased by the Company, the shares allocable to the unexercised portion of such Option, or such repurchased shares, may again be subject to an Option grant. Notwithstanding the foregoing, any such shares shall be made subject to a new Option only if the grant of such new Option and the issuance of such shares pursuant to such new</w:t>
      </w:r>
    </w:p>
    <w:p>
      <w:pPr>
        <w:sectPr>
          <w:pgSz w:w="11900" w:h="16838" w:orient="portrait"/>
          <w:cols w:equalWidth="0" w:num="1">
            <w:col w:w="10219"/>
          </w:cols>
          <w:pgMar w:left="240" w:top="541" w:right="1440" w:bottom="1440" w:gutter="0" w:footer="0" w:header="0"/>
        </w:sectPr>
      </w:pPr>
    </w:p>
    <w:bookmarkStart w:id="31" w:name="page32"/>
    <w:bookmarkEnd w:id="31"/>
    <w:p>
      <w:pPr>
        <w:ind w:right="1779"/>
        <w:spacing w:after="0" w:line="236" w:lineRule="auto"/>
        <w:rPr>
          <w:sz w:val="20"/>
          <w:szCs w:val="20"/>
          <w:color w:val="auto"/>
        </w:rPr>
      </w:pPr>
      <w:r>
        <w:rPr>
          <w:rFonts w:ascii="Courier New" w:cs="Courier New" w:eastAsia="Courier New" w:hAnsi="Courier New"/>
          <w:sz w:val="18"/>
          <w:szCs w:val="18"/>
          <w:color w:val="auto"/>
        </w:rPr>
        <w:t>Option would not cause the Plan or any Option granted under the Plan to contravene Rule 16b-3 under the Securities Exchange Act of 1934, as amended (the "Exchange Act"), or any successor rule.</w:t>
      </w:r>
    </w:p>
    <w:p>
      <w:pPr>
        <w:spacing w:after="0" w:line="209" w:lineRule="exact"/>
        <w:rPr>
          <w:sz w:val="20"/>
          <w:szCs w:val="20"/>
          <w:color w:val="auto"/>
        </w:rPr>
      </w:pPr>
    </w:p>
    <w:p>
      <w:pPr>
        <w:ind w:right="1779" w:firstLine="956"/>
        <w:spacing w:after="0" w:line="235" w:lineRule="auto"/>
        <w:tabs>
          <w:tab w:leader="none" w:pos="18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for Granting Options. All Options shall be granted, if at all, within ten years from the Effective Date.</w:t>
      </w:r>
    </w:p>
    <w:p>
      <w:pPr>
        <w:spacing w:after="0" w:line="208" w:lineRule="exact"/>
        <w:rPr>
          <w:rFonts w:ascii="Courier New" w:cs="Courier New" w:eastAsia="Courier New" w:hAnsi="Courier New"/>
          <w:sz w:val="18"/>
          <w:szCs w:val="18"/>
          <w:color w:val="auto"/>
        </w:rPr>
      </w:pPr>
    </w:p>
    <w:p>
      <w:pPr>
        <w:ind w:right="2099" w:firstLine="956"/>
        <w:spacing w:after="0" w:line="237" w:lineRule="auto"/>
        <w:tabs>
          <w:tab w:leader="none" w:pos="1896"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Conditions and Form of Options. Options granted pursuant to the Plan shall be evidenced by written agreements specifying the number of shares of Stock covered thereby, in substantially the form attached hereto as Exhibit A (the "Option Agreement"), which written agreement may incorporate all or any of the terms of the Plan by reference and shall comply with and be subject to the following terms and conditions:</w:t>
      </w:r>
    </w:p>
    <w:p>
      <w:pPr>
        <w:spacing w:after="0" w:line="209" w:lineRule="exact"/>
        <w:rPr>
          <w:rFonts w:ascii="Courier New" w:cs="Courier New" w:eastAsia="Courier New" w:hAnsi="Courier New"/>
          <w:sz w:val="18"/>
          <w:szCs w:val="18"/>
          <w:color w:val="auto"/>
        </w:rPr>
      </w:pPr>
    </w:p>
    <w:p>
      <w:pPr>
        <w:ind w:right="1779" w:firstLine="1904"/>
        <w:spacing w:after="0" w:line="236" w:lineRule="auto"/>
        <w:tabs>
          <w:tab w:leader="none" w:pos="284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Automatic Grant of Options. Subject to execution by an Outside Director of an appropriate Option Agreement, options shall be granted automatically and without further action of the Board, as follows:</w:t>
      </w:r>
    </w:p>
    <w:p>
      <w:pPr>
        <w:spacing w:after="0" w:line="208" w:lineRule="exact"/>
        <w:rPr>
          <w:rFonts w:ascii="Courier New" w:cs="Courier New" w:eastAsia="Courier New" w:hAnsi="Courier New"/>
          <w:sz w:val="18"/>
          <w:szCs w:val="18"/>
          <w:color w:val="auto"/>
        </w:rPr>
      </w:pPr>
    </w:p>
    <w:p>
      <w:pPr>
        <w:ind w:left="3800" w:hanging="948"/>
        <w:spacing w:after="0"/>
        <w:tabs>
          <w:tab w:leader="none" w:pos="3800"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who is an Outside Director as of</w:t>
      </w:r>
    </w:p>
    <w:p>
      <w:pPr>
        <w:spacing w:after="0" w:line="21" w:lineRule="exact"/>
        <w:rPr>
          <w:rFonts w:ascii="Courier New" w:cs="Courier New" w:eastAsia="Courier New" w:hAnsi="Courier New"/>
          <w:sz w:val="16"/>
          <w:szCs w:val="16"/>
          <w:color w:val="auto"/>
        </w:rPr>
      </w:pPr>
    </w:p>
    <w:p>
      <w:pPr>
        <w:ind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or who is newly elected or appointed as an Outside Director after the Effective Date, shall be granted an Option on the Effective Date, or on the day of such initial election or appointment, as the case may be, to purchase Twenty Thousand (20,000) shares of Stock (the "Initial Grant"). On the first anniversary of the Initial Grant and each successive anniversary, each Outside Director shall be granted an Option to purchase Five Thousand (5,000) shares of Stock (the "Annual Grant"). Outside Directors who received their Initial Grant more than one year prior to May 15, 2001 shall be granted an Option to purchase Five Thousand (5,000) shares of Stock effective May 15, 2001 and on the date of each successive annual meeting of stockholders held pursuant to Article II, Section 2 of the Company's Bylaws.</w:t>
      </w:r>
    </w:p>
    <w:p>
      <w:pPr>
        <w:spacing w:after="0" w:line="391" w:lineRule="exact"/>
        <w:rPr>
          <w:rFonts w:ascii="Courier New" w:cs="Courier New" w:eastAsia="Courier New" w:hAnsi="Courier New"/>
          <w:sz w:val="16"/>
          <w:szCs w:val="16"/>
          <w:color w:val="auto"/>
        </w:rPr>
      </w:pPr>
    </w:p>
    <w:p>
      <w:pPr>
        <w:ind w:right="1879" w:firstLine="2852"/>
        <w:spacing w:after="0" w:line="272" w:lineRule="auto"/>
        <w:tabs>
          <w:tab w:leader="none" w:pos="3792" w:val="left"/>
        </w:tabs>
        <w:numPr>
          <w:ilvl w:val="2"/>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any Outside Director may elect not to receive an Option granted pursuant to this paragraph 6(a) by delivering written notice of such election to the Board in the case of an initial Option grant, no later than the Effective Date or, in the case of an Outside Director appointed or elected after the Effective Date, the date upon which such Outside Director is appointed or elected to the Board.</w:t>
      </w:r>
    </w:p>
    <w:p>
      <w:pPr>
        <w:spacing w:after="0" w:line="179" w:lineRule="exact"/>
        <w:rPr>
          <w:rFonts w:ascii="Courier New" w:cs="Courier New" w:eastAsia="Courier New" w:hAnsi="Courier New"/>
          <w:sz w:val="16"/>
          <w:szCs w:val="16"/>
          <w:color w:val="auto"/>
        </w:rPr>
      </w:pPr>
    </w:p>
    <w:p>
      <w:pPr>
        <w:ind w:left="3800" w:hanging="948"/>
        <w:spacing w:after="0"/>
        <w:tabs>
          <w:tab w:leader="none" w:pos="380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the</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 to the contrary, no Option shall be granted to any individual on a day when he or she is no longer serving as an Outside Director of the Company.</w:t>
      </w:r>
    </w:p>
    <w:p>
      <w:pPr>
        <w:spacing w:after="0" w:line="208" w:lineRule="exact"/>
        <w:rPr>
          <w:rFonts w:ascii="Courier New" w:cs="Courier New" w:eastAsia="Courier New" w:hAnsi="Courier New"/>
          <w:sz w:val="18"/>
          <w:szCs w:val="18"/>
          <w:color w:val="auto"/>
        </w:rPr>
      </w:pPr>
    </w:p>
    <w:p>
      <w:pPr>
        <w:ind w:right="1779" w:firstLine="1904"/>
        <w:spacing w:after="0" w:line="238" w:lineRule="auto"/>
        <w:tabs>
          <w:tab w:leader="none" w:pos="2844"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 Exercise Price. The exercise price per share of Stock subject to an Option shall be the fair market value of a share of the Stock on the date of the granting of the Option. Where there is a public market for the common stock of the Company, the fair market value per share of Stock shall be the mean of the bid and asked prices of the common stock of the Company on the business day immediately preceding the date of the granting of the Option, as reported in the Wall Street Journal (or, if not so reported, as otherwise reported by the National Association of Securities Dealers Automated Quotation ("NASDAQ") System) or, in the event the common stock of the Company is listed on the NASDAQ National Market System or a securities exchange, the fair market value per share of Stock shall be the closing price on such National Market System or exchange on the business day immediately preceding the date of the granting of the Option, as reported in the Wall Street Journal. If the common stock of the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32" w:name="page33"/>
    <w:bookmarkEnd w:id="32"/>
    <w:p>
      <w:pPr>
        <w:ind w:right="3580"/>
        <w:spacing w:after="0" w:line="236" w:lineRule="auto"/>
        <w:rPr>
          <w:sz w:val="20"/>
          <w:szCs w:val="20"/>
          <w:color w:val="auto"/>
        </w:rPr>
      </w:pPr>
      <w:r>
        <w:rPr>
          <w:rFonts w:ascii="Courier New" w:cs="Courier New" w:eastAsia="Courier New" w:hAnsi="Courier New"/>
          <w:sz w:val="18"/>
          <w:szCs w:val="18"/>
          <w:color w:val="auto"/>
        </w:rPr>
        <w:t>Company is not listed on any exchange or quoted on NASDAQ, the Board of Directors shall in good faith determine the fair market value after consideration of all relevant factors.</w:t>
      </w:r>
    </w:p>
    <w:p>
      <w:pPr>
        <w:spacing w:after="0" w:line="203" w:lineRule="exact"/>
        <w:rPr>
          <w:sz w:val="20"/>
          <w:szCs w:val="20"/>
          <w:color w:val="auto"/>
        </w:rPr>
      </w:pPr>
    </w:p>
    <w:p>
      <w:pPr>
        <w:ind w:left="2860" w:hanging="956"/>
        <w:spacing w:after="0"/>
        <w:tabs>
          <w:tab w:leader="none" w:pos="2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Period and Exercisability of Options. An</w:t>
      </w:r>
    </w:p>
    <w:p>
      <w:pPr>
        <w:spacing w:after="0" w:line="4" w:lineRule="exact"/>
        <w:rPr>
          <w:rFonts w:ascii="Courier New" w:cs="Courier New" w:eastAsia="Courier New" w:hAnsi="Courier New"/>
          <w:sz w:val="18"/>
          <w:szCs w:val="18"/>
          <w:color w:val="auto"/>
        </w:rPr>
      </w:pPr>
    </w:p>
    <w:p>
      <w:pPr>
        <w:ind w:right="262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Option granted pursuant to the Plan shall be exercisable for a term of ten years. Options granted pursuant to the Plan shall first become exercisable on the day (the "Initial Vesting Date") which is one year from the date on which the Option was granted. The Option shall be exercisable on and after the Initial Vesting Date and prior to termination of the Option in an amount equal to the number of Option Shares multiplied by the Vested Ratio as set forth below, less the number of shares previously acquired upon exercise of any portion of the Option.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7120"/>
        <w:spacing w:after="0"/>
        <w:rPr>
          <w:sz w:val="20"/>
          <w:szCs w:val="20"/>
          <w:color w:val="auto"/>
        </w:rPr>
      </w:pPr>
      <w:r>
        <w:rPr>
          <w:rFonts w:ascii="Courier New" w:cs="Courier New" w:eastAsia="Courier New" w:hAnsi="Courier New"/>
          <w:sz w:val="18"/>
          <w:szCs w:val="18"/>
          <w:color w:val="auto"/>
        </w:rPr>
        <w:t>Vested Ratio</w:t>
      </w:r>
    </w:p>
    <w:p>
      <w:pPr>
        <w:jc w:val="center"/>
        <w:ind w:left="7240"/>
        <w:spacing w:after="0"/>
        <w:tabs>
          <w:tab w:leader="none" w:pos="820" w:val="left"/>
        </w:tabs>
        <w:rPr>
          <w:sz w:val="20"/>
          <w:szCs w:val="20"/>
          <w:color w:val="auto"/>
        </w:rPr>
      </w:pPr>
      <w:r>
        <w:rPr>
          <w:rFonts w:ascii="Courier New" w:cs="Courier New" w:eastAsia="Courier New" w:hAnsi="Courier New"/>
          <w:sz w:val="18"/>
          <w:szCs w:val="18"/>
          <w:color w:val="auto"/>
        </w:rPr>
        <w:t>Initial Grant</w:t>
      </w:r>
      <w:r>
        <w:rPr>
          <w:sz w:val="20"/>
          <w:szCs w:val="20"/>
          <w:color w:val="auto"/>
        </w:rPr>
        <w:tab/>
      </w:r>
      <w:r>
        <w:rPr>
          <w:rFonts w:ascii="Courier New" w:cs="Courier New" w:eastAsia="Courier New" w:hAnsi="Courier New"/>
          <w:sz w:val="16"/>
          <w:szCs w:val="16"/>
          <w:color w:val="auto"/>
        </w:rPr>
        <w:t>Annual Grant</w:t>
      </w:r>
    </w:p>
    <w:p>
      <w:pPr>
        <w:jc w:val="center"/>
        <w:ind w:left="7240"/>
        <w:spacing w:after="0"/>
        <w:tabs>
          <w:tab w:leader="none" w:pos="8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ectPr>
          <w:pgSz w:w="11900" w:h="16838" w:orient="portrait"/>
          <w:cols w:equalWidth="0" w:num="1">
            <w:col w:w="11060"/>
          </w:cols>
          <w:pgMar w:left="240" w:top="723" w:right="599" w:bottom="1440" w:gutter="0" w:footer="0" w:header="0"/>
        </w:sectPr>
      </w:pPr>
    </w:p>
    <w:p>
      <w:pPr>
        <w:spacing w:after="0" w:line="206"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6"/>
          <w:szCs w:val="16"/>
          <w:color w:val="auto"/>
        </w:rPr>
        <w:t>(i)</w:t>
      </w:r>
      <w:r>
        <w:rPr>
          <w:sz w:val="20"/>
          <w:szCs w:val="20"/>
          <w:color w:val="auto"/>
        </w:rPr>
        <w:tab/>
      </w:r>
      <w:r>
        <w:rPr>
          <w:rFonts w:ascii="Courier New" w:cs="Courier New" w:eastAsia="Courier New" w:hAnsi="Courier New"/>
          <w:sz w:val="16"/>
          <w:szCs w:val="16"/>
          <w:color w:val="auto"/>
        </w:rPr>
        <w:t>Prior to Initial Vesting Date</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3">
            <w:col w:w="7620" w:space="720"/>
            <w:col w:w="1380" w:space="720"/>
            <w:col w:w="620"/>
          </w:cols>
          <w:pgMar w:left="240" w:top="723" w:right="599"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On Initial Vesting Date, provided the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w:t>
      </w:r>
    </w:p>
    <w:p>
      <w:pPr>
        <w:spacing w:after="0" w:line="16" w:lineRule="exact"/>
        <w:rPr>
          <w:sz w:val="20"/>
          <w:szCs w:val="20"/>
          <w:color w:val="auto"/>
        </w:rPr>
      </w:pPr>
    </w:p>
    <w:p>
      <w:pPr>
        <w:sectPr>
          <w:pgSz w:w="11900" w:h="16838" w:orient="portrait"/>
          <w:cols w:equalWidth="0" w:num="3">
            <w:col w:w="7400" w:space="720"/>
            <w:col w:w="1380" w:space="720"/>
            <w:col w:w="840"/>
          </w:cols>
          <w:pgMar w:left="240" w:top="723" w:right="599" w:bottom="1440" w:gutter="0" w:footer="0" w:header="0"/>
          <w:type w:val="continuous"/>
        </w:sectPr>
      </w:pPr>
    </w:p>
    <w:p>
      <w:pPr>
        <w:ind w:left="1900"/>
        <w:spacing w:after="0"/>
        <w:rPr>
          <w:sz w:val="20"/>
          <w:szCs w:val="20"/>
          <w:color w:val="auto"/>
        </w:rPr>
      </w:pPr>
      <w:r>
        <w:rPr>
          <w:rFonts w:ascii="Courier New" w:cs="Courier New" w:eastAsia="Courier New" w:hAnsi="Courier New"/>
          <w:sz w:val="18"/>
          <w:szCs w:val="18"/>
          <w:color w:val="auto"/>
        </w:rPr>
        <w:t>Optionee has continuously served as a</w:t>
      </w:r>
    </w:p>
    <w:p>
      <w:pPr>
        <w:ind w:left="1900"/>
        <w:spacing w:after="0" w:line="238" w:lineRule="auto"/>
        <w:rPr>
          <w:sz w:val="20"/>
          <w:szCs w:val="20"/>
          <w:color w:val="auto"/>
        </w:rPr>
      </w:pPr>
      <w:r>
        <w:rPr>
          <w:rFonts w:ascii="Courier New" w:cs="Courier New" w:eastAsia="Courier New" w:hAnsi="Courier New"/>
          <w:sz w:val="18"/>
          <w:szCs w:val="18"/>
          <w:color w:val="auto"/>
        </w:rPr>
        <w:t>director of the Company from the date the</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Option was granted until the Initial Vesting</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Plus</w:t>
      </w:r>
    </w:p>
    <w:p>
      <w:pPr>
        <w:sectPr>
          <w:pgSz w:w="11900" w:h="16838" w:orient="portrait"/>
          <w:cols w:equalWidth="0" w:num="1">
            <w:col w:w="11060"/>
          </w:cols>
          <w:pgMar w:left="240" w:top="723" w:right="599" w:bottom="1440" w:gutter="0" w:footer="0" w:header="0"/>
          <w:type w:val="continuous"/>
        </w:sectPr>
      </w:pPr>
    </w:p>
    <w:p>
      <w:pPr>
        <w:spacing w:after="0" w:line="207" w:lineRule="exact"/>
        <w:rPr>
          <w:sz w:val="20"/>
          <w:szCs w:val="20"/>
          <w:color w:val="auto"/>
        </w:rPr>
      </w:pPr>
    </w:p>
    <w:p>
      <w:pPr>
        <w:ind w:left="960"/>
        <w:spacing w:after="0"/>
        <w:tabs>
          <w:tab w:leader="none" w:pos="1880"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For each full year of the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w:t>
      </w:r>
    </w:p>
    <w:p>
      <w:pPr>
        <w:spacing w:after="0" w:line="21" w:lineRule="exact"/>
        <w:rPr>
          <w:sz w:val="20"/>
          <w:szCs w:val="20"/>
          <w:color w:val="auto"/>
        </w:rPr>
      </w:pPr>
    </w:p>
    <w:p>
      <w:pPr>
        <w:sectPr>
          <w:pgSz w:w="11900" w:h="16838" w:orient="portrait"/>
          <w:cols w:equalWidth="0" w:num="3">
            <w:col w:w="7400" w:space="720"/>
            <w:col w:w="1380" w:space="720"/>
            <w:col w:w="840"/>
          </w:cols>
          <w:pgMar w:left="240" w:top="723" w:right="599" w:bottom="1440" w:gutter="0" w:footer="0" w:header="0"/>
          <w:type w:val="continuous"/>
        </w:sectPr>
      </w:pPr>
    </w:p>
    <w:p>
      <w:pPr>
        <w:ind w:left="1900"/>
        <w:spacing w:after="0"/>
        <w:rPr>
          <w:sz w:val="20"/>
          <w:szCs w:val="20"/>
          <w:color w:val="auto"/>
        </w:rPr>
      </w:pPr>
      <w:r>
        <w:rPr>
          <w:rFonts w:ascii="Courier New" w:cs="Courier New" w:eastAsia="Courier New" w:hAnsi="Courier New"/>
          <w:sz w:val="16"/>
          <w:szCs w:val="16"/>
          <w:color w:val="auto"/>
        </w:rPr>
        <w:t>Optionee's continuous service as a</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director of the Company from the</w:t>
      </w:r>
    </w:p>
    <w:p>
      <w:pPr>
        <w:ind w:left="1900"/>
        <w:spacing w:after="0" w:line="238" w:lineRule="auto"/>
        <w:rPr>
          <w:sz w:val="20"/>
          <w:szCs w:val="20"/>
          <w:color w:val="auto"/>
        </w:rPr>
      </w:pPr>
      <w:r>
        <w:rPr>
          <w:rFonts w:ascii="Courier New" w:cs="Courier New" w:eastAsia="Courier New" w:hAnsi="Courier New"/>
          <w:sz w:val="18"/>
          <w:szCs w:val="18"/>
          <w:color w:val="auto"/>
        </w:rPr>
        <w:t>Initial Vesting Date.</w:t>
      </w:r>
    </w:p>
    <w:p>
      <w:pPr>
        <w:sectPr>
          <w:pgSz w:w="11900" w:h="16838" w:orient="portrait"/>
          <w:cols w:equalWidth="0" w:num="1">
            <w:col w:w="11060"/>
          </w:cols>
          <w:pgMar w:left="240" w:top="723" w:right="59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620" w:firstLine="1904"/>
        <w:spacing w:after="0" w:line="270" w:lineRule="auto"/>
        <w:tabs>
          <w:tab w:leader="none" w:pos="284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Option Exercise Price. Payment of the exercise price for the number of shares of Stock being purchased pursuant to any Option shall be made (i) in cash, by check, or in cash equivalent, (ii) by the assignment of the proceeds of a sale of some or all of the shares being acquired upon the exercise of an Option (including, without limitation, through an exercise complying with the provisions of Regulation T as promulgated from time to time by the Board of Governors of the Federal Reserve System), (iii) by the delivery to the Company of shares of Stock which have been owned by the holder of the Option for more than six months and which have an aggregate value equal to such exercise price, or (iv) by any combination thereof. The Company reserves, at any and all times, the right, in the Company's sole and absolute discretion, to establish, decline to approve and/or terminate any program and/or procedure for the exercise of Options by means of an assignment of the proceeds of a sale of some or all of the shares of Stock to be acquired upon such exercise or the delivery of previously owned shares of Stock.</w:t>
      </w:r>
    </w:p>
    <w:p>
      <w:pPr>
        <w:spacing w:after="0" w:line="386" w:lineRule="exact"/>
        <w:rPr>
          <w:rFonts w:ascii="Courier New" w:cs="Courier New" w:eastAsia="Courier New" w:hAnsi="Courier New"/>
          <w:sz w:val="16"/>
          <w:szCs w:val="16"/>
          <w:color w:val="auto"/>
        </w:rPr>
      </w:pPr>
    </w:p>
    <w:p>
      <w:pPr>
        <w:jc w:val="both"/>
        <w:ind w:right="2620" w:firstLine="1904"/>
        <w:spacing w:after="0" w:line="236" w:lineRule="auto"/>
        <w:tabs>
          <w:tab w:leader="none" w:pos="284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Control. A "Transfer of Control" shall be deemed to have occurred in the event any of the following occurs with respect to the Company:</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merger or consolidation where the</w:t>
      </w:r>
    </w:p>
    <w:p>
      <w:pPr>
        <w:spacing w:after="0" w:line="4" w:lineRule="exact"/>
        <w:rPr>
          <w:rFonts w:ascii="Courier New" w:cs="Courier New" w:eastAsia="Courier New" w:hAnsi="Courier New"/>
          <w:sz w:val="18"/>
          <w:szCs w:val="18"/>
          <w:color w:val="auto"/>
        </w:rPr>
      </w:pPr>
    </w:p>
    <w:p>
      <w:pPr>
        <w:ind w:right="2840"/>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stockholders of the Company before such merger or consolidation do not retain, directly or indirectly, at least a majority of the beneficial interest in the voting stock of the Company after such merger or consolidation;</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060"/>
          </w:cols>
          <w:pgMar w:left="240" w:top="723" w:right="599" w:bottom="1440" w:gutter="0" w:footer="0" w:header="0"/>
          <w:type w:val="continuous"/>
        </w:sectPr>
      </w:pPr>
    </w:p>
    <w:bookmarkStart w:id="33" w:name="page34"/>
    <w:bookmarkEnd w:id="33"/>
    <w:p>
      <w:pPr>
        <w:ind w:left="3800" w:hanging="948"/>
        <w:spacing w:after="0"/>
        <w:tabs>
          <w:tab w:leader="none" w:pos="38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sale, exchange, or transfer of all or</w:t>
      </w:r>
    </w:p>
    <w:p>
      <w:pPr>
        <w:spacing w:after="0" w:line="4" w:lineRule="exact"/>
        <w:rPr>
          <w:rFonts w:ascii="Courier New" w:cs="Courier New" w:eastAsia="Courier New" w:hAnsi="Courier New"/>
          <w:sz w:val="18"/>
          <w:szCs w:val="18"/>
          <w:color w:val="auto"/>
        </w:rPr>
      </w:pPr>
    </w:p>
    <w:p>
      <w:pPr>
        <w:ind w:right="19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substantially all of the assets of the Company other than a sale, exchange, or transfer to one or more subsidiary corporations (as defined in paragraph 1 above) of the Company; or</w:t>
      </w:r>
    </w:p>
    <w:p>
      <w:pPr>
        <w:spacing w:after="0" w:line="203"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direct or indirect sale or exchange by</w:t>
      </w:r>
    </w:p>
    <w:p>
      <w:pPr>
        <w:spacing w:after="0" w:line="4" w:lineRule="exact"/>
        <w:rPr>
          <w:rFonts w:ascii="Courier New" w:cs="Courier New" w:eastAsia="Courier New" w:hAnsi="Courier New"/>
          <w:sz w:val="18"/>
          <w:szCs w:val="18"/>
          <w:color w:val="auto"/>
        </w:rPr>
      </w:pPr>
    </w:p>
    <w:p>
      <w:pPr>
        <w:ind w:right="187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stockholders of the Company of all or substantially all of the stock of the Company where the stockholders of the Company before such sale or exchange do not retain, directly or indirectly, at least a majority of the beneficial interest in the voting stock of the Company after such sale or exchange;</w:t>
      </w:r>
    </w:p>
    <w:p>
      <w:pPr>
        <w:spacing w:after="0" w:line="182"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liquidation or dissolution of the Company.</w:t>
      </w:r>
    </w:p>
    <w:p>
      <w:pPr>
        <w:spacing w:after="0" w:line="224" w:lineRule="exact"/>
        <w:rPr>
          <w:sz w:val="20"/>
          <w:szCs w:val="20"/>
          <w:color w:val="auto"/>
        </w:rPr>
      </w:pPr>
    </w:p>
    <w:p>
      <w:pPr>
        <w:ind w:right="1779" w:firstLine="2844"/>
        <w:spacing w:after="0" w:line="270" w:lineRule="auto"/>
        <w:rPr>
          <w:sz w:val="20"/>
          <w:szCs w:val="20"/>
          <w:color w:val="auto"/>
        </w:rPr>
      </w:pPr>
      <w:r>
        <w:rPr>
          <w:rFonts w:ascii="Courier New" w:cs="Courier New" w:eastAsia="Courier New" w:hAnsi="Courier New"/>
          <w:sz w:val="16"/>
          <w:szCs w:val="16"/>
          <w:color w:val="auto"/>
        </w:rPr>
        <w:t>In the event of a proposed Transfer of Control, any portion of an Option that has not yet become exercisable shall automatically become exercisable for a period of 30 days prior to the proposed effective date of the Transfer of Control. In the event of a Transfer of Control, the Board, in its sole discretion, may arrange with the surviving, continuing, successor, or purchasing corporation or parent corporation thereof, as the case may be (the "Acquiring Corporation"), for the Acquiring Corporation to assume the Company's rights and obligations under outstanding Options or substitute options for the Acquiring Corporation's stock for such outstanding Options. Any Options which are neither assumed or substituted for by the Acquiring Corporation nor exercised as of the date of the Transfer of Control shall terminate and cease to be outstanding effective as of the date of the Transfer of Control.</w:t>
      </w:r>
    </w:p>
    <w:p>
      <w:pPr>
        <w:spacing w:after="0" w:line="187" w:lineRule="exact"/>
        <w:rPr>
          <w:sz w:val="20"/>
          <w:szCs w:val="20"/>
          <w:color w:val="auto"/>
        </w:rPr>
      </w:pPr>
    </w:p>
    <w:p>
      <w:pPr>
        <w:ind w:right="1779" w:firstLine="956"/>
        <w:spacing w:after="0" w:line="270" w:lineRule="auto"/>
        <w:tabs>
          <w:tab w:leader="none" w:pos="1896"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Agreements; Authority to Vary Terms. Until amended, Options shall be granted using the form of Option Agreement attached hereto. The Board shall have the authority from time to time to vary the terms of the Option Agreements either in connection with the grant of an individual Option or in connection with the authorization of a new standard form or forms of Option; provided, however, that the terms and conditions of such revised or amended standard form or forms of stock option agreement shall be in accordance with the terms of the Plan. Such authority shall include, but not by way of limitation, the authority to grant Options which are immediately exercisable subject to the Company's right to repurchase any unvested shares of Stock acquired by the Optionee on exercise of an Option in the event such Optionee's service as a director of the Company is terminated for any reason. In no event shall the Board be permitted to vary the terms of the Option Agreements or the Plan if such change would require stockholder approval pursuant to Rule 16b-3 promulgated under the Exchange Act, or any successor rule.</w:t>
      </w:r>
    </w:p>
    <w:p>
      <w:pPr>
        <w:spacing w:after="0" w:line="386" w:lineRule="exact"/>
        <w:rPr>
          <w:rFonts w:ascii="Courier New" w:cs="Courier New" w:eastAsia="Courier New" w:hAnsi="Courier New"/>
          <w:sz w:val="16"/>
          <w:szCs w:val="16"/>
          <w:color w:val="auto"/>
        </w:rPr>
      </w:pPr>
    </w:p>
    <w:p>
      <w:pPr>
        <w:ind w:right="1879" w:firstLine="956"/>
        <w:spacing w:after="0" w:line="237" w:lineRule="auto"/>
        <w:tabs>
          <w:tab w:leader="none" w:pos="189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of Change in Stock Subject to Plan. Appropriate adjustments shall be made in the number and class of shares of Stock subject to the Plan and to any outstanding Options and in the Option exercise price of any outstanding Options in the event of a stock dividend, stock split, recapitalization, reverse stock split, combination, reclassification, or like change in the capital structure of the Company.</w:t>
      </w:r>
    </w:p>
    <w:p>
      <w:pPr>
        <w:spacing w:after="0" w:line="209"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Options Non-Transferable. During the lifetime of an Optionee, an Option shall be exercisable only by the Optionee. No Option shall be assignable or transferable by the Optionee, except by will or by the laws of descent and distribution.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34" w:name="page35"/>
    <w:bookmarkEnd w:id="34"/>
    <w:p>
      <w:pPr>
        <w:ind w:right="1879" w:firstLine="956"/>
        <w:spacing w:after="0" w:line="238" w:lineRule="auto"/>
        <w:tabs>
          <w:tab w:leader="none" w:pos="1896"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or Amendment of Plan. The Board, including any duly appointed committee of the Board, may terminate or amend the Plan at any time; provided, however, that without the approval of the stockholders of the Company, there shall be (a) no increase in the total number of shares of Stock covered by the Plan (except by operation of the provisions of paragraph 8 above), and (b) no expansion in the class of persons eligible to receive Options; and provided, further, that the provisions of the Plan addressing eligibility to participate in the Plan and the amount, price and timing of grants of Options shall not be amended more than once every six months, other than to comport to changes in the Code, or the rules thereunder. In addition to the foregoing, the approval of the Company's stockholders shall be sought for any amendment to the Plan for which the Board deems stockholder approval necessary in order to comply with Rule 16b-3 under the Exchange Act, or any successor rule. In any event, no amendment may adversely affect any then outstanding Option, or any unexercised portion thereof, without the consent of the Optionee. This Plan shall be submitted for stockholder approval at the next annual stockholders' meeting. In the event the stockholders do not approve the Plan, no further options shall be granted hereunder.</w:t>
      </w:r>
    </w:p>
    <w:p>
      <w:pPr>
        <w:spacing w:after="0" w:line="209"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IN WITNESS WHEREOF, the undersigned Secretary of the Company certifies that the foregoing Cohu, Inc. 1996 Outside Directors Stock Option Plan was duly adopted by the Board of Directors of the Company on November 13, 1996 and amended on January 31, 2001 and March 10, 2003.</w:t>
      </w:r>
    </w:p>
    <w:p>
      <w:pPr>
        <w:spacing w:after="0" w:line="202"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John H. Allen</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[BANK OF AMERICA LOGO]</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AMENDMENT NO. 7 TO LOAN AGREEMENT</w:t>
      </w:r>
    </w:p>
    <w:p>
      <w:pPr>
        <w:spacing w:after="0" w:line="207" w:lineRule="exact"/>
        <w:rPr>
          <w:sz w:val="20"/>
          <w:szCs w:val="20"/>
          <w:color w:val="auto"/>
        </w:rPr>
      </w:pPr>
    </w:p>
    <w:p>
      <w:pPr>
        <w:ind w:right="2099" w:firstLine="948"/>
        <w:spacing w:after="0" w:line="290" w:lineRule="auto"/>
        <w:rPr>
          <w:sz w:val="20"/>
          <w:szCs w:val="20"/>
          <w:color w:val="auto"/>
        </w:rPr>
      </w:pPr>
      <w:r>
        <w:rPr>
          <w:rFonts w:ascii="Courier New" w:cs="Courier New" w:eastAsia="Courier New" w:hAnsi="Courier New"/>
          <w:sz w:val="16"/>
          <w:szCs w:val="16"/>
          <w:color w:val="auto"/>
        </w:rPr>
        <w:t>This Amendment No. 7 (the "Amendment") dated as of June 25, 2003, is between Bank of America, N.A. (the "Bank") and Cohu, Inc. (the "Borrower").</w:t>
      </w:r>
    </w:p>
    <w:p>
      <w:pPr>
        <w:spacing w:after="0" w:line="16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 The Bank and the Borrower entered into a certain Business Loan Agreement dated as of June 15, 1998 (together with any previous amendments, the "Agreement").</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 The Bank and the Borrower desire to amend the Agreement.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2739" w:firstLine="956"/>
        <w:spacing w:after="0" w:line="235" w:lineRule="auto"/>
        <w:tabs>
          <w:tab w:leader="none" w:pos="1264"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Capitalized terms used but not defined in this Amendment shall have the meaning given to them in the Agreement.</w:t>
      </w:r>
    </w:p>
    <w:p>
      <w:pPr>
        <w:spacing w:after="0" w:line="202" w:lineRule="exact"/>
        <w:rPr>
          <w:rFonts w:ascii="Courier New" w:cs="Courier New" w:eastAsia="Courier New" w:hAnsi="Courier New"/>
          <w:sz w:val="18"/>
          <w:szCs w:val="18"/>
          <w:color w:val="auto"/>
        </w:rPr>
      </w:pPr>
    </w:p>
    <w:p>
      <w:pPr>
        <w:ind w:left="1280" w:hanging="324"/>
        <w:spacing w:after="0"/>
        <w:tabs>
          <w:tab w:leader="none" w:pos="12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The Agreement is hereby amended as follows: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2.1 In Paragraph 1.2 of the Agreement, the date "July 1, 2004" is substituted for the date "July 1, 2003.</w:t>
      </w:r>
    </w:p>
    <w:p>
      <w:pPr>
        <w:spacing w:after="0" w:line="208" w:lineRule="exact"/>
        <w:rPr>
          <w:sz w:val="20"/>
          <w:szCs w:val="20"/>
          <w:color w:val="auto"/>
        </w:rPr>
      </w:pPr>
    </w:p>
    <w:p>
      <w:pPr>
        <w:ind w:right="1879" w:firstLine="956"/>
        <w:spacing w:after="0" w:line="270" w:lineRule="auto"/>
        <w:tabs>
          <w:tab w:leader="none" w:pos="12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When the Borrower signs this Amendment, the Borrower represents and warrants to the Bank that: (a) there is no event which is, or with notice or lapse of time or both would be, a default under the Agreement except those events, if any, that have been disclosed in writing to the Bank or waived in writing by the Bank, (b) the representations and warranties in the Agreement are true as of the date of this Amendment as if made on the date of this Amendment, (c) this Amendment does not conflict with any law, agreement, or obligation by which the Borrower is bound, and (d) this Amendment is within the Borrower's powers, has been duly authorized, and does not conflict with any of the Borrower's organizational papers.</w:t>
      </w:r>
    </w:p>
    <w:p>
      <w:pPr>
        <w:spacing w:after="0" w:line="189" w:lineRule="exact"/>
        <w:rPr>
          <w:rFonts w:ascii="Courier New" w:cs="Courier New" w:eastAsia="Courier New" w:hAnsi="Courier New"/>
          <w:sz w:val="16"/>
          <w:szCs w:val="16"/>
          <w:color w:val="auto"/>
        </w:rPr>
      </w:pPr>
    </w:p>
    <w:p>
      <w:pPr>
        <w:ind w:right="1779" w:firstLine="956"/>
        <w:spacing w:after="0" w:line="290" w:lineRule="auto"/>
        <w:tabs>
          <w:tab w:leader="none" w:pos="1264"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Amendment. Except as provided in this Amendment, all of the terms and conditions of the Agreement shall remain in full force and effect.</w:t>
      </w:r>
    </w:p>
    <w:p>
      <w:pPr>
        <w:spacing w:after="0" w:line="169" w:lineRule="exact"/>
        <w:rPr>
          <w:rFonts w:ascii="Courier New" w:cs="Courier New" w:eastAsia="Courier New" w:hAnsi="Courier New"/>
          <w:sz w:val="16"/>
          <w:szCs w:val="16"/>
          <w:color w:val="auto"/>
        </w:rPr>
      </w:pPr>
    </w:p>
    <w:p>
      <w:pPr>
        <w:ind w:right="1779" w:firstLine="956"/>
        <w:spacing w:after="0" w:line="236"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Amendment may be executed in counterparts, each of which when so executed shall be deemed an original, but all such counterparts together shall constitute but one and the same instrument.</w:t>
      </w:r>
    </w:p>
    <w:p>
      <w:pPr>
        <w:spacing w:after="0" w:line="208" w:lineRule="exact"/>
        <w:rPr>
          <w:rFonts w:ascii="Courier New" w:cs="Courier New" w:eastAsia="Courier New" w:hAnsi="Courier New"/>
          <w:sz w:val="18"/>
          <w:szCs w:val="18"/>
          <w:color w:val="auto"/>
        </w:rPr>
      </w:pPr>
    </w:p>
    <w:p>
      <w:pPr>
        <w:ind w:right="1999" w:firstLine="956"/>
        <w:spacing w:after="0" w:line="237" w:lineRule="auto"/>
        <w:tabs>
          <w:tab w:leader="none" w:pos="12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FINAL AGREEMENT. THIS WRITTEN AMENDMENT REPRESENTS THE FINAL AGREEMENT BETWEEN AND AMONG THE PARTIES HERETO AND MAY NOT BE CONTRADICTED BY EVIDENCE OF PRIOR, CONTEMPORANEOUS, OR SUBSEQUENT ORAL AGREEMENTS BETWEEN OR AMONG THE PARTIES. THERE ARE NO UNWRITTEN ORAL AGREEMENTS BETWEEN OR AMONG THE PARTIES.</w:t>
      </w:r>
    </w:p>
    <w:p>
      <w:pPr>
        <w:spacing w:after="0" w:line="209"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This Amendment is executed as of the date stated at the beginning of this Amendment.</w:t>
      </w:r>
    </w:p>
    <w:p>
      <w:pPr>
        <w:sectPr>
          <w:pgSz w:w="11900" w:h="16838" w:orient="portrait"/>
          <w:cols w:equalWidth="0" w:num="1">
            <w:col w:w="10219"/>
          </w:cols>
          <w:pgMar w:left="240" w:top="339"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Borrower: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w:t>
      </w:r>
    </w:p>
    <w:p>
      <w:pPr>
        <w:spacing w:after="0" w:line="200" w:lineRule="exact"/>
        <w:rPr>
          <w:sz w:val="20"/>
          <w:szCs w:val="20"/>
          <w:color w:val="auto"/>
        </w:rPr>
      </w:pPr>
    </w:p>
    <w:p>
      <w:pPr>
        <w:sectPr>
          <w:pgSz w:w="11900" w:h="16838" w:orient="portrait"/>
          <w:cols w:equalWidth="0" w:num="2">
            <w:col w:w="3400" w:space="720"/>
            <w:col w:w="6099"/>
          </w:cols>
          <w:pgMar w:left="240" w:top="339"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Cohu, Inc.</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Bank of America, N.A.</w:t>
      </w:r>
    </w:p>
    <w:p>
      <w:pPr>
        <w:spacing w:after="0" w:line="200" w:lineRule="exact"/>
        <w:rPr>
          <w:sz w:val="20"/>
          <w:szCs w:val="20"/>
          <w:color w:val="auto"/>
        </w:rPr>
      </w:pPr>
    </w:p>
    <w:p>
      <w:pPr>
        <w:sectPr>
          <w:pgSz w:w="11900" w:h="16838" w:orient="portrait"/>
          <w:cols w:equalWidth="0" w:num="2">
            <w:col w:w="3400" w:space="720"/>
            <w:col w:w="6099"/>
          </w:cols>
          <w:pgMar w:left="240" w:top="339"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John H. Allen, Vice/President &amp;</w:t>
      </w:r>
    </w:p>
    <w:p>
      <w:pPr>
        <w:ind w:left="3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Gordon W. Wiens</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Gordon W. Wiens, Senior Vice President</w:t>
      </w:r>
    </w:p>
    <w:p>
      <w:pPr>
        <w:sectPr>
          <w:pgSz w:w="11900" w:h="16838" w:orient="portrait"/>
          <w:cols w:equalWidth="0" w:num="2">
            <w:col w:w="3900" w:space="220"/>
            <w:col w:w="6099"/>
          </w:cols>
          <w:pgMar w:left="240" w:top="339" w:right="1440" w:bottom="1440" w:gutter="0" w:footer="0" w:header="0"/>
          <w:type w:val="continuous"/>
        </w:sectPr>
      </w:pPr>
    </w:p>
    <w:bookmarkStart w:id="36" w:name="page37"/>
    <w:bookmarkEnd w:id="36"/>
    <w:p>
      <w:pPr>
        <w:jc w:val="right"/>
        <w:ind w:right="1779"/>
        <w:spacing w:after="0"/>
        <w:rPr>
          <w:sz w:val="20"/>
          <w:szCs w:val="20"/>
          <w:color w:val="auto"/>
        </w:rPr>
      </w:pPr>
      <w:r>
        <w:rPr>
          <w:rFonts w:ascii="Courier New" w:cs="Courier New" w:eastAsia="Courier New" w:hAnsi="Courier New"/>
          <w:sz w:val="18"/>
          <w:szCs w:val="18"/>
          <w:color w:val="auto"/>
        </w:rPr>
        <w:t>Exhibit 31.1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James A. Donahue, certify that:</w:t>
      </w:r>
    </w:p>
    <w:p>
      <w:pPr>
        <w:spacing w:after="0" w:line="201" w:lineRule="exact"/>
        <w:rPr>
          <w:sz w:val="20"/>
          <w:szCs w:val="20"/>
          <w:color w:val="auto"/>
        </w:rPr>
      </w:pPr>
    </w:p>
    <w:p>
      <w:pPr>
        <w:ind w:left="1060" w:hanging="525"/>
        <w:spacing w:after="0"/>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firstLine="8"/>
        <w:spacing w:after="0" w:line="272" w:lineRule="auto"/>
        <w:tabs>
          <w:tab w:leader="none" w:pos="2001"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25,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ind w:left="220" w:hanging="212"/>
        <w:spacing w:after="0" w:line="238" w:lineRule="auto"/>
        <w:tabs>
          <w:tab w:leader="none" w:pos="2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James A. Donahue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ectPr>
          <w:pgSz w:w="11900" w:h="16838" w:orient="portrait"/>
          <w:cols w:equalWidth="0" w:num="1">
            <w:col w:w="10219"/>
          </w:cols>
          <w:pgMar w:left="240" w:top="339" w:right="1440" w:bottom="1440" w:gutter="0" w:footer="0" w:header="0"/>
        </w:sectPr>
      </w:pPr>
    </w:p>
    <w:bookmarkStart w:id="37" w:name="page38"/>
    <w:bookmarkEnd w:id="37"/>
    <w:p>
      <w:pPr>
        <w:jc w:val="right"/>
        <w:ind w:right="1779"/>
        <w:spacing w:after="0"/>
        <w:rPr>
          <w:sz w:val="20"/>
          <w:szCs w:val="20"/>
          <w:color w:val="auto"/>
        </w:rPr>
      </w:pPr>
      <w:r>
        <w:rPr>
          <w:rFonts w:ascii="Courier New" w:cs="Courier New" w:eastAsia="Courier New" w:hAnsi="Courier New"/>
          <w:sz w:val="18"/>
          <w:szCs w:val="18"/>
          <w:color w:val="auto"/>
        </w:rPr>
        <w:t>Exhibit 31.2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SARBANES-OXLEY ACT SECTION 302(a)</w:t>
      </w:r>
    </w:p>
    <w:p>
      <w:pPr>
        <w:jc w:val="center"/>
        <w:ind w:right="1659"/>
        <w:spacing w:after="0"/>
        <w:rPr>
          <w:sz w:val="20"/>
          <w:szCs w:val="20"/>
          <w:color w:val="auto"/>
        </w:rPr>
      </w:pPr>
      <w:r>
        <w:rPr>
          <w:rFonts w:ascii="Courier New" w:cs="Courier New" w:eastAsia="Courier New" w:hAnsi="Courier New"/>
          <w:sz w:val="18"/>
          <w:szCs w:val="18"/>
          <w:color w:val="auto"/>
        </w:rPr>
        <w:t>CERTIFICATION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John H. Allen, certify that:</w:t>
      </w:r>
    </w:p>
    <w:p>
      <w:pPr>
        <w:spacing w:after="0" w:line="201" w:lineRule="exact"/>
        <w:rPr>
          <w:sz w:val="20"/>
          <w:szCs w:val="20"/>
          <w:color w:val="auto"/>
        </w:rPr>
      </w:pPr>
    </w:p>
    <w:p>
      <w:pPr>
        <w:ind w:left="1060" w:hanging="525"/>
        <w:spacing w:after="0"/>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Form 10-Q of Cohu, Inc.;</w:t>
      </w:r>
    </w:p>
    <w:p>
      <w:pPr>
        <w:spacing w:after="0" w:line="206" w:lineRule="exact"/>
        <w:rPr>
          <w:rFonts w:ascii="Courier New" w:cs="Courier New" w:eastAsia="Courier New" w:hAnsi="Courier New"/>
          <w:sz w:val="18"/>
          <w:szCs w:val="18"/>
          <w:color w:val="auto"/>
        </w:rPr>
      </w:pPr>
    </w:p>
    <w:p>
      <w:pPr>
        <w:ind w:left="1060" w:right="1879" w:hanging="525"/>
        <w:spacing w:after="0" w:line="237"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207" w:lineRule="exact"/>
        <w:rPr>
          <w:rFonts w:ascii="Courier New" w:cs="Courier New" w:eastAsia="Courier New" w:hAnsi="Courier New"/>
          <w:sz w:val="18"/>
          <w:szCs w:val="18"/>
          <w:color w:val="auto"/>
        </w:rPr>
      </w:pPr>
    </w:p>
    <w:p>
      <w:pPr>
        <w:ind w:left="1580" w:right="1879" w:firstLine="8"/>
        <w:spacing w:after="0" w:line="272" w:lineRule="auto"/>
        <w:tabs>
          <w:tab w:leader="none" w:pos="2001"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1580" w:right="2099" w:firstLine="8"/>
        <w:spacing w:after="0" w:line="237" w:lineRule="auto"/>
        <w:tabs>
          <w:tab w:leader="none" w:pos="2001"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Courier New" w:cs="Courier New" w:eastAsia="Courier New" w:hAnsi="Courier New"/>
          <w:sz w:val="18"/>
          <w:szCs w:val="18"/>
          <w:color w:val="auto"/>
        </w:rPr>
      </w:pPr>
    </w:p>
    <w:p>
      <w:pPr>
        <w:ind w:left="1580" w:right="1999" w:firstLine="8"/>
        <w:spacing w:after="0" w:line="237" w:lineRule="auto"/>
        <w:tabs>
          <w:tab w:leader="none" w:pos="2001"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Courier New" w:cs="Courier New" w:eastAsia="Courier New" w:hAnsi="Courier New"/>
          <w:sz w:val="18"/>
          <w:szCs w:val="18"/>
          <w:color w:val="auto"/>
        </w:rPr>
      </w:pPr>
    </w:p>
    <w:p>
      <w:pPr>
        <w:ind w:left="1060" w:right="1779" w:hanging="525"/>
        <w:spacing w:after="0" w:line="237" w:lineRule="auto"/>
        <w:tabs>
          <w:tab w:leader="none" w:pos="106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1580" w:right="1879" w:firstLine="8"/>
        <w:spacing w:after="0" w:line="237" w:lineRule="auto"/>
        <w:tabs>
          <w:tab w:leader="none" w:pos="2001"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8" w:lineRule="exact"/>
        <w:rPr>
          <w:rFonts w:ascii="Courier New" w:cs="Courier New" w:eastAsia="Courier New" w:hAnsi="Courier New"/>
          <w:sz w:val="18"/>
          <w:szCs w:val="18"/>
          <w:color w:val="auto"/>
        </w:rPr>
      </w:pPr>
    </w:p>
    <w:p>
      <w:pPr>
        <w:ind w:left="1580" w:right="1879" w:firstLine="8"/>
        <w:spacing w:after="0" w:line="236" w:lineRule="auto"/>
        <w:tabs>
          <w:tab w:leader="none" w:pos="2001"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25,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ind w:left="220" w:hanging="212"/>
        <w:spacing w:after="0" w:line="238" w:lineRule="auto"/>
        <w:tabs>
          <w:tab w:leader="none" w:pos="22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H. Allen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 &amp; Chief Financial Officer</w:t>
      </w:r>
    </w:p>
    <w:p>
      <w:pPr>
        <w:sectPr>
          <w:pgSz w:w="11900" w:h="16838" w:orient="portrait"/>
          <w:cols w:equalWidth="0" w:num="1">
            <w:col w:w="10219"/>
          </w:cols>
          <w:pgMar w:left="240" w:top="541" w:right="1440" w:bottom="1440" w:gutter="0" w:footer="0" w:header="0"/>
        </w:sectPr>
      </w:pPr>
    </w:p>
    <w:bookmarkStart w:id="38" w:name="page39"/>
    <w:bookmarkEnd w:id="38"/>
    <w:p>
      <w:pPr>
        <w:jc w:val="right"/>
        <w:ind w:right="1779"/>
        <w:spacing w:after="0"/>
        <w:rPr>
          <w:sz w:val="20"/>
          <w:szCs w:val="20"/>
          <w:color w:val="auto"/>
        </w:rPr>
      </w:pPr>
      <w:r>
        <w:rPr>
          <w:rFonts w:ascii="Courier New" w:cs="Courier New" w:eastAsia="Courier New" w:hAnsi="Courier New"/>
          <w:sz w:val="18"/>
          <w:szCs w:val="18"/>
          <w:color w:val="auto"/>
        </w:rPr>
        <w:t>Exhibit 32.1</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EXECUTIVE OFFICER</w:t>
      </w:r>
    </w:p>
    <w:p>
      <w:pPr>
        <w:spacing w:after="0" w:line="207" w:lineRule="exact"/>
        <w:rPr>
          <w:sz w:val="20"/>
          <w:szCs w:val="20"/>
          <w:color w:val="auto"/>
        </w:rPr>
      </w:pPr>
    </w:p>
    <w:p>
      <w:pPr>
        <w:ind w:right="1999"/>
        <w:spacing w:after="0" w:line="279" w:lineRule="auto"/>
        <w:rPr>
          <w:sz w:val="20"/>
          <w:szCs w:val="20"/>
          <w:color w:val="auto"/>
        </w:rPr>
      </w:pPr>
      <w:r>
        <w:rPr>
          <w:rFonts w:ascii="Courier New" w:cs="Courier New" w:eastAsia="Courier New" w:hAnsi="Courier New"/>
          <w:sz w:val="16"/>
          <w:szCs w:val="16"/>
          <w:color w:val="auto"/>
        </w:rPr>
        <w:t>I, James A. Donahue, Chief Executive Officer of Cohu, Inc. (the "Registrant"), do hereby certify in accordance with 18 U.S.C. 1350, as adopted pursuant to Section 906 of the Sarbanes-Oxley Act of 2002, that, based on my knowledge:</w:t>
      </w:r>
    </w:p>
    <w:p>
      <w:pPr>
        <w:spacing w:after="0" w:line="178" w:lineRule="exact"/>
        <w:rPr>
          <w:sz w:val="20"/>
          <w:szCs w:val="20"/>
          <w:color w:val="auto"/>
        </w:rPr>
      </w:pPr>
    </w:p>
    <w:p>
      <w:pPr>
        <w:jc w:val="both"/>
        <w:ind w:left="960" w:right="1879" w:hanging="4"/>
        <w:spacing w:after="0" w:line="237" w:lineRule="auto"/>
        <w:tabs>
          <w:tab w:leader="none" w:pos="138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25,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James A. Donahue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James A. Donahue</w:t>
      </w:r>
    </w:p>
    <w:p>
      <w:pPr>
        <w:spacing w:after="0" w:line="238" w:lineRule="auto"/>
        <w:rPr>
          <w:sz w:val="20"/>
          <w:szCs w:val="20"/>
          <w:color w:val="auto"/>
        </w:rPr>
      </w:pPr>
      <w:r>
        <w:rPr>
          <w:rFonts w:ascii="Courier New" w:cs="Courier New" w:eastAsia="Courier New" w:hAnsi="Courier New"/>
          <w:sz w:val="18"/>
          <w:szCs w:val="18"/>
          <w:color w:val="auto"/>
        </w:rPr>
        <w:t>President &amp; Chief Executive Officer</w:t>
      </w:r>
    </w:p>
    <w:p>
      <w:pPr>
        <w:spacing w:after="0" w:line="200" w:lineRule="exact"/>
        <w:rPr>
          <w:sz w:val="20"/>
          <w:szCs w:val="20"/>
          <w:color w:val="auto"/>
        </w:rPr>
      </w:pPr>
    </w:p>
    <w:p>
      <w:pPr>
        <w:sectPr>
          <w:pgSz w:w="11900" w:h="16838" w:orient="portrait"/>
          <w:cols w:equalWidth="0" w:num="2">
            <w:col w:w="3820" w:space="720"/>
            <w:col w:w="5679"/>
          </w:cols>
          <w:pgMar w:left="240" w:top="541" w:right="1440" w:bottom="1440" w:gutter="0" w:footer="0" w:header="0"/>
          <w:type w:val="continuous"/>
        </w:sectPr>
      </w:pP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Cohu, Inc. and will be retained by Cohu, Inc. and furnished to the Securities and Exchange Commission or its staff upon request.</w:t>
      </w:r>
    </w:p>
    <w:p>
      <w:pPr>
        <w:sectPr>
          <w:pgSz w:w="11900" w:h="16838" w:orient="portrait"/>
          <w:cols w:equalWidth="0" w:num="1">
            <w:col w:w="10219"/>
          </w:cols>
          <w:pgMar w:left="240" w:top="541" w:right="1440" w:bottom="1440" w:gutter="0" w:footer="0" w:header="0"/>
          <w:type w:val="continuous"/>
        </w:sectPr>
      </w:pPr>
    </w:p>
    <w:bookmarkStart w:id="39" w:name="page40"/>
    <w:bookmarkEnd w:id="39"/>
    <w:p>
      <w:pPr>
        <w:jc w:val="right"/>
        <w:ind w:right="1779"/>
        <w:spacing w:after="0"/>
        <w:rPr>
          <w:sz w:val="20"/>
          <w:szCs w:val="20"/>
          <w:color w:val="auto"/>
        </w:rPr>
      </w:pPr>
      <w:r>
        <w:rPr>
          <w:rFonts w:ascii="Courier New" w:cs="Courier New" w:eastAsia="Courier New" w:hAnsi="Courier New"/>
          <w:sz w:val="18"/>
          <w:szCs w:val="18"/>
          <w:color w:val="auto"/>
        </w:rPr>
        <w:t>Exhibit 32.2</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COHU,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SARBANES-OXLEY ACT SECTION 906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CERTIFICATION OF CHIEF FINANCIAL OFFICER</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 John H. Allen, Chief Financial Officer of Cohu, Inc. (the "Registrant"), do hereby certify in accordance with 18 U.S.C. 1350, as adopted pursuant to Section 906 of the Sarbanes-Oxley Act of 2002, that, based on my knowledge:</w:t>
      </w:r>
    </w:p>
    <w:p>
      <w:pPr>
        <w:spacing w:after="0" w:line="209" w:lineRule="exact"/>
        <w:rPr>
          <w:sz w:val="20"/>
          <w:szCs w:val="20"/>
          <w:color w:val="auto"/>
        </w:rPr>
      </w:pPr>
    </w:p>
    <w:p>
      <w:pPr>
        <w:jc w:val="both"/>
        <w:ind w:left="960" w:right="1879" w:hanging="4"/>
        <w:spacing w:after="0" w:line="237" w:lineRule="auto"/>
        <w:tabs>
          <w:tab w:leader="none" w:pos="1381"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Registrant, to which this certification is attached as an exhibit (the "Report"), fully complies with the requirements of Section 13(a) or 15(d) of the Securities Exchange Act of 1934 (15 U.S.C. 78m); and</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w:t>
      </w:r>
    </w:p>
    <w:p>
      <w:pPr>
        <w:spacing w:after="0" w:line="4" w:lineRule="exact"/>
        <w:rPr>
          <w:rFonts w:ascii="Courier New" w:cs="Courier New" w:eastAsia="Courier New" w:hAnsi="Courier New"/>
          <w:sz w:val="18"/>
          <w:szCs w:val="18"/>
          <w:color w:val="auto"/>
        </w:rPr>
      </w:pPr>
    </w:p>
    <w:p>
      <w:pPr>
        <w:ind w:left="9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respects, the financial condition and results of operations of the Registrant.</w:t>
      </w:r>
    </w:p>
    <w:p>
      <w:pPr>
        <w:sectPr>
          <w:pgSz w:w="11900" w:h="16838" w:orient="portrait"/>
          <w:cols w:equalWidth="0" w:num="1">
            <w:col w:w="10219"/>
          </w:cols>
          <w:pgMar w:left="240" w:top="541"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25, 2003</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H. Allen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H. Allen</w:t>
      </w:r>
    </w:p>
    <w:p>
      <w:pPr>
        <w:spacing w:after="0" w:line="238" w:lineRule="auto"/>
        <w:rPr>
          <w:sz w:val="20"/>
          <w:szCs w:val="20"/>
          <w:color w:val="auto"/>
        </w:rPr>
      </w:pPr>
      <w:r>
        <w:rPr>
          <w:rFonts w:ascii="Courier New" w:cs="Courier New" w:eastAsia="Courier New" w:hAnsi="Courier New"/>
          <w:sz w:val="18"/>
          <w:szCs w:val="18"/>
          <w:color w:val="auto"/>
        </w:rPr>
        <w:t>Vice President Finance &amp;</w:t>
      </w:r>
    </w:p>
    <w:p>
      <w:pPr>
        <w:spacing w:after="0"/>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ectPr>
          <w:pgSz w:w="11900" w:h="16838" w:orient="portrait"/>
          <w:cols w:equalWidth="0" w:num="2">
            <w:col w:w="4560" w:space="720"/>
            <w:col w:w="4939"/>
          </w:cols>
          <w:pgMar w:left="240" w:top="541" w:right="1440" w:bottom="1440" w:gutter="0" w:footer="0" w:header="0"/>
          <w:type w:val="continuous"/>
        </w:sectPr>
      </w:pP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Cohu, Inc. and will be retained by Cohu, Inc. and furnished to the Securities and Exchange Commission or its staff upon request.</w:t>
      </w:r>
    </w:p>
    <w:sectPr>
      <w:pgSz w:w="11900" w:h="16838" w:orient="portrait"/>
      <w:cols w:equalWidth="0" w:num="1">
        <w:col w:w="10219"/>
      </w:cols>
      <w:pgMar w:left="240" w:top="5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1."/>
      <w:numFmt w:val="decimal"/>
      <w:start w:val="5"/>
    </w:lvl>
  </w:abstractNum>
  <w:abstractNum w:abstractNumId="6">
    <w:nsid w:val="431BD7B7"/>
    <w:multiLevelType w:val="hybridMultilevel"/>
    <w:lvl w:ilvl="0">
      <w:lvlJc w:val="left"/>
      <w:lvlText w:val="%1."/>
      <w:numFmt w:val="decimal"/>
      <w:start w:val="6"/>
    </w:lvl>
  </w:abstractNum>
  <w:abstractNum w:abstractNumId="7">
    <w:nsid w:val="3F2DBA31"/>
    <w:multiLevelType w:val="hybridMultilevel"/>
    <w:lvl w:ilvl="0">
      <w:lvlJc w:val="left"/>
      <w:lvlText w:val="%1."/>
      <w:numFmt w:val="decimal"/>
      <w:start w:val="7"/>
    </w:lvl>
  </w:abstractNum>
  <w:abstractNum w:abstractNumId="8">
    <w:nsid w:val="7C83E458"/>
    <w:multiLevelType w:val="hybridMultilevel"/>
    <w:lvl w:ilvl="0">
      <w:lvlJc w:val="left"/>
      <w:lvlText w:val="%1."/>
      <w:numFmt w:val="decimal"/>
      <w:start w:val="8"/>
    </w:lvl>
  </w:abstractNum>
  <w:abstractNum w:abstractNumId="9">
    <w:nsid w:val="257130A3"/>
    <w:multiLevelType w:val="hybridMultilevel"/>
    <w:lvl w:ilvl="0">
      <w:lvlJc w:val="left"/>
      <w:lvlText w:val="%1."/>
      <w:numFmt w:val="decimal"/>
      <w:start w:val="9"/>
    </w:lvl>
  </w:abstractNum>
  <w:abstractNum w:abstractNumId="10">
    <w:nsid w:val="62BBD95A"/>
    <w:multiLevelType w:val="hybridMultilevel"/>
    <w:lvl w:ilvl="0">
      <w:lvlJc w:val="left"/>
      <w:lvlText w:val="%1."/>
      <w:numFmt w:val="decimal"/>
      <w:start w:val="10"/>
    </w:lvl>
  </w:abstractNum>
  <w:abstractNum w:abstractNumId="11">
    <w:nsid w:val="436C6125"/>
    <w:multiLevelType w:val="hybridMultilevel"/>
    <w:lvl w:ilvl="0">
      <w:lvlJc w:val="left"/>
      <w:lvlText w:val="%1."/>
      <w:numFmt w:val="decimal"/>
      <w:start w:val="1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lowerLetter"/>
      <w:start w:val="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lowerLetter"/>
      <w:start w:val="4"/>
    </w:lvl>
    <w:lvl w:ilvl="1">
      <w:lvlJc w:val="left"/>
      <w:lvlText w:val="(%2)"/>
      <w:numFmt w:val="lowerLetter"/>
      <w:start w:val="9"/>
    </w:lvl>
  </w:abstractNum>
  <w:abstractNum w:abstractNumId="18">
    <w:nsid w:val="75A2A8D4"/>
    <w:multiLevelType w:val="hybridMultilevel"/>
    <w:lvl w:ilvl="0">
      <w:lvlJc w:val="left"/>
      <w:lvlText w:val="(%1)"/>
      <w:numFmt w:val="lowerRoman"/>
      <w:start w:val="2"/>
    </w:lvl>
  </w:abstractNum>
  <w:abstractNum w:abstractNumId="19">
    <w:nsid w:val="8EDBDAB"/>
    <w:multiLevelType w:val="hybridMultilevel"/>
    <w:lvl w:ilvl="0">
      <w:lvlJc w:val="left"/>
      <w:lvlText w:val="%1."/>
      <w:numFmt w:val="decimal"/>
      <w:start w:val="7"/>
    </w:lvl>
  </w:abstractNum>
  <w:abstractNum w:abstractNumId="20">
    <w:nsid w:val="79838CB2"/>
    <w:multiLevelType w:val="hybridMultilevel"/>
    <w:lvl w:ilvl="0">
      <w:lvlJc w:val="left"/>
      <w:lvlText w:val="%1."/>
      <w:numFmt w:val="decimal"/>
      <w:start w:val="10"/>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2019-12-11T17:47:45Z</dcterms:created>
  <dcterms:modified xsi:type="dcterms:W3CDTF">2019-12-11T17:47:45Z</dcterms:modified>
</cp:coreProperties>
</file>