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984"/>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ind w:left="4224"/>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0"/>
          <w:szCs w:val="20"/>
          <w:color w:val="auto"/>
        </w:rPr>
      </w:pPr>
    </w:p>
    <w:p>
      <w:pPr>
        <w:ind w:left="4804"/>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0"/>
          <w:szCs w:val="20"/>
          <w:color w:val="auto"/>
        </w:rPr>
      </w:pPr>
    </w:p>
    <w:p>
      <w:pPr>
        <w:jc w:val="right"/>
        <w:ind w:right="87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14" w:lineRule="exact"/>
        <w:rPr>
          <w:sz w:val="20"/>
          <w:szCs w:val="20"/>
          <w:color w:val="auto"/>
        </w:rPr>
      </w:pPr>
    </w:p>
    <w:p>
      <w:pPr>
        <w:jc w:val="center"/>
        <w:ind w:left="2320" w:right="420"/>
        <w:spacing w:after="0" w:line="234" w:lineRule="auto"/>
        <w:rPr>
          <w:sz w:val="20"/>
          <w:szCs w:val="20"/>
          <w:color w:val="auto"/>
        </w:rPr>
      </w:pPr>
      <w:r>
        <w:rPr>
          <w:rFonts w:ascii="Arial" w:cs="Arial" w:eastAsia="Arial" w:hAnsi="Arial"/>
          <w:sz w:val="22"/>
          <w:szCs w:val="22"/>
          <w:b w:val="1"/>
          <w:bCs w:val="1"/>
          <w:color w:val="auto"/>
        </w:rPr>
        <w:t>TO RULES 13d-1(b), (c), AND (d) AND AMENDMENTS THERETO FILED PURSUANT TO RULE 13d-2 (Amendment No. 9)</w:t>
      </w:r>
    </w:p>
    <w:p>
      <w:pPr>
        <w:spacing w:after="0" w:line="300" w:lineRule="exact"/>
        <w:rPr>
          <w:sz w:val="20"/>
          <w:szCs w:val="20"/>
          <w:color w:val="auto"/>
        </w:rPr>
      </w:pPr>
    </w:p>
    <w:p>
      <w:pPr>
        <w:ind w:left="4944"/>
        <w:spacing w:after="0"/>
        <w:rPr>
          <w:sz w:val="20"/>
          <w:szCs w:val="20"/>
          <w:color w:val="auto"/>
        </w:rPr>
      </w:pPr>
      <w:r>
        <w:rPr>
          <w:rFonts w:ascii="Arial" w:cs="Arial" w:eastAsia="Arial" w:hAnsi="Arial"/>
          <w:sz w:val="25"/>
          <w:szCs w:val="25"/>
          <w:color w:val="auto"/>
        </w:rPr>
        <w:t>Cohu, Inc.</w:t>
      </w:r>
    </w:p>
    <w:p>
      <w:pPr>
        <w:spacing w:after="0" w:line="39"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left="4304"/>
        <w:spacing w:after="0"/>
        <w:rPr>
          <w:sz w:val="20"/>
          <w:szCs w:val="20"/>
          <w:color w:val="auto"/>
        </w:rPr>
      </w:pPr>
      <w:r>
        <w:rPr>
          <w:rFonts w:ascii="Arial" w:cs="Arial" w:eastAsia="Arial" w:hAnsi="Arial"/>
          <w:sz w:val="18"/>
          <w:szCs w:val="18"/>
          <w:color w:val="auto"/>
        </w:rPr>
        <w:t>Common Stock, $1.00 Par Value</w:t>
      </w:r>
    </w:p>
    <w:p>
      <w:pPr>
        <w:spacing w:after="0" w:line="36" w:lineRule="exact"/>
        <w:rPr>
          <w:sz w:val="20"/>
          <w:szCs w:val="20"/>
          <w:color w:val="auto"/>
        </w:rPr>
      </w:pPr>
    </w:p>
    <w:p>
      <w:pPr>
        <w:ind w:left="4464"/>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001751-19257610</w:t>
      </w:r>
    </w:p>
    <w:p>
      <w:pPr>
        <w:spacing w:after="0" w:line="36"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December 31, 2007</w:t>
      </w:r>
    </w:p>
    <w:p>
      <w:pPr>
        <w:spacing w:after="0" w:line="36" w:lineRule="exact"/>
        <w:rPr>
          <w:sz w:val="20"/>
          <w:szCs w:val="20"/>
          <w:color w:val="auto"/>
        </w:rPr>
      </w:pPr>
    </w:p>
    <w:p>
      <w:pPr>
        <w:ind w:left="3404"/>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0"/>
          <w:szCs w:val="20"/>
          <w:color w:val="auto"/>
        </w:rPr>
      </w:pPr>
    </w:p>
    <w:p>
      <w:pPr>
        <w:ind w:left="4"/>
        <w:spacing w:after="0"/>
        <w:tabs>
          <w:tab w:leader="none" w:pos="243"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Rule 13d-1(b)</w:t>
      </w:r>
    </w:p>
    <w:p>
      <w:pPr>
        <w:spacing w:after="0" w:line="131" w:lineRule="exact"/>
        <w:rPr>
          <w:sz w:val="20"/>
          <w:szCs w:val="20"/>
          <w:color w:val="auto"/>
        </w:rPr>
      </w:pPr>
    </w:p>
    <w:p>
      <w:pPr>
        <w:jc w:val="both"/>
        <w:ind w:left="4" w:right="8699" w:hanging="4"/>
        <w:spacing w:after="0" w:line="500" w:lineRule="auto"/>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2540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3"/>
          </w:cols>
          <w:pgMar w:left="476" w:top="92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CUSIP No.</w:t>
            </w:r>
          </w:p>
        </w:tc>
        <w:tc>
          <w:tcPr>
            <w:tcW w:w="216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001751-19257610</w:t>
            </w:r>
          </w:p>
        </w:tc>
        <w:tc>
          <w:tcPr>
            <w:tcW w:w="3060" w:type="dxa"/>
            <w:vAlign w:val="bottom"/>
          </w:tcPr>
          <w:p>
            <w:pPr>
              <w:ind w:left="274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267575" cy="6238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623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Names of Reporting Persons/I.R.S. Identification Nos. of Above Persons (Entities Only)</w:t>
      </w:r>
    </w:p>
    <w:p>
      <w:pPr>
        <w:ind w:left="240"/>
        <w:spacing w:after="0" w:line="198" w:lineRule="auto"/>
        <w:rPr>
          <w:sz w:val="20"/>
          <w:szCs w:val="20"/>
          <w:color w:val="auto"/>
        </w:rPr>
      </w:pPr>
      <w:r>
        <w:rPr>
          <w:rFonts w:ascii="Arial" w:cs="Arial" w:eastAsia="Arial" w:hAnsi="Arial"/>
          <w:sz w:val="32"/>
          <w:szCs w:val="32"/>
          <w:color w:val="auto"/>
        </w:rPr>
        <w:t>1</w:t>
      </w:r>
    </w:p>
    <w:p>
      <w:pPr>
        <w:ind w:left="740"/>
        <w:spacing w:after="0"/>
        <w:rPr>
          <w:sz w:val="20"/>
          <w:szCs w:val="20"/>
          <w:color w:val="auto"/>
        </w:rPr>
      </w:pPr>
      <w:r>
        <w:rPr>
          <w:rFonts w:ascii="Arial" w:cs="Arial" w:eastAsia="Arial" w:hAnsi="Arial"/>
          <w:sz w:val="18"/>
          <w:szCs w:val="18"/>
          <w:color w:val="auto"/>
        </w:rPr>
        <w:t>Nicholas J. Cedrone</w:t>
      </w:r>
    </w:p>
    <w:p>
      <w:pPr>
        <w:spacing w:after="0" w:line="3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ind w:left="740" w:hanging="509"/>
        <w:spacing w:after="0" w:line="183" w:lineRule="auto"/>
        <w:tabs>
          <w:tab w:leader="none" w:pos="740" w:val="left"/>
        </w:tabs>
        <w:numPr>
          <w:ilvl w:val="0"/>
          <w:numId w:val="2"/>
        </w:numPr>
        <w:rPr>
          <w:rFonts w:ascii="Arial" w:cs="Arial" w:eastAsia="Arial" w:hAnsi="Arial"/>
          <w:sz w:val="55"/>
          <w:szCs w:val="55"/>
          <w:color w:val="auto"/>
          <w:vertAlign w:val="superscript"/>
        </w:rPr>
      </w:pPr>
      <w:r>
        <w:rPr>
          <w:rFonts w:ascii="Arial" w:cs="Arial" w:eastAsia="Arial" w:hAnsi="Arial"/>
          <w:sz w:val="17"/>
          <w:szCs w:val="17"/>
          <w:color w:val="auto"/>
        </w:rPr>
        <w:t xml:space="preserve">(a)  </w:t>
      </w:r>
      <w:r>
        <w:rPr>
          <w:rFonts w:ascii="Arial" w:cs="Arial" w:eastAsia="Arial" w:hAnsi="Arial"/>
          <w:sz w:val="16"/>
          <w:szCs w:val="16"/>
          <w:color w:val="auto"/>
        </w:rPr>
        <w:t>o</w:t>
      </w:r>
    </w:p>
    <w:p>
      <w:pPr>
        <w:spacing w:after="0" w:line="29" w:lineRule="exact"/>
        <w:rPr>
          <w:rFonts w:ascii="Arial" w:cs="Arial" w:eastAsia="Arial" w:hAnsi="Arial"/>
          <w:sz w:val="55"/>
          <w:szCs w:val="55"/>
          <w:color w:val="auto"/>
          <w:vertAlign w:val="superscript"/>
        </w:rPr>
      </w:pPr>
    </w:p>
    <w:p>
      <w:pPr>
        <w:ind w:left="1080" w:hanging="343"/>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ectPr>
          <w:pgSz w:w="11900" w:h="16838" w:orient="portrait"/>
          <w:cols w:equalWidth="0" w:num="1">
            <w:col w:w="10219"/>
          </w:cols>
          <w:pgMar w:left="240" w:top="1143" w:right="1440" w:bottom="1440" w:gutter="0" w:footer="0" w:header="0"/>
        </w:sect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28"/>
          <w:szCs w:val="28"/>
          <w:color w:val="auto"/>
        </w:rPr>
        <w:t>3</w:t>
      </w: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Arial" w:cs="Arial" w:eastAsia="Arial" w:hAnsi="Arial"/>
          <w:sz w:val="28"/>
          <w:szCs w:val="28"/>
          <w:color w:val="auto"/>
        </w:rPr>
        <w:t>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Citizenship or Place of Organization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1" w:lineRule="exact"/>
        <w:rPr>
          <w:sz w:val="20"/>
          <w:szCs w:val="20"/>
          <w:color w:val="auto"/>
        </w:rPr>
      </w:pPr>
    </w:p>
    <w:p>
      <w:pPr>
        <w:sectPr>
          <w:pgSz w:w="11900" w:h="16838" w:orient="portrait"/>
          <w:cols w:equalWidth="0" w:num="2">
            <w:col w:w="400" w:space="340"/>
            <w:col w:w="9479"/>
          </w:cols>
          <w:pgMar w:left="240" w:top="1143" w:right="1440"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Number of</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Shares</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48"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486" w:hanging="486"/>
        <w:spacing w:after="0" w:line="180" w:lineRule="auto"/>
        <w:tabs>
          <w:tab w:leader="none" w:pos="486" w:val="left"/>
        </w:tabs>
        <w:numPr>
          <w:ilvl w:val="0"/>
          <w:numId w:val="3"/>
        </w:numPr>
        <w:rPr>
          <w:rFonts w:ascii="Arial" w:cs="Arial" w:eastAsia="Arial" w:hAnsi="Arial"/>
          <w:sz w:val="37"/>
          <w:szCs w:val="37"/>
          <w:color w:val="auto"/>
          <w:vertAlign w:val="subscript"/>
        </w:rPr>
      </w:pPr>
      <w:r>
        <w:rPr>
          <w:rFonts w:ascii="Arial" w:cs="Arial" w:eastAsia="Arial" w:hAnsi="Arial"/>
          <w:sz w:val="15"/>
          <w:szCs w:val="15"/>
          <w:color w:val="auto"/>
        </w:rPr>
        <w:t>Sole Voting Power</w:t>
      </w:r>
    </w:p>
    <w:p>
      <w:pPr>
        <w:spacing w:after="0" w:line="273" w:lineRule="exact"/>
        <w:rPr>
          <w:sz w:val="20"/>
          <w:szCs w:val="20"/>
          <w:color w:val="auto"/>
        </w:rPr>
      </w:pPr>
    </w:p>
    <w:p>
      <w:pPr>
        <w:ind w:left="486"/>
        <w:spacing w:after="0"/>
        <w:rPr>
          <w:sz w:val="20"/>
          <w:szCs w:val="20"/>
          <w:color w:val="auto"/>
        </w:rPr>
      </w:pPr>
      <w:r>
        <w:rPr>
          <w:rFonts w:ascii="Arial" w:cs="Arial" w:eastAsia="Arial" w:hAnsi="Arial"/>
          <w:sz w:val="18"/>
          <w:szCs w:val="18"/>
          <w:color w:val="auto"/>
        </w:rPr>
        <w:t>1,286,138</w:t>
      </w:r>
    </w:p>
    <w:p>
      <w:pPr>
        <w:ind w:left="486" w:hanging="486"/>
        <w:spacing w:after="0" w:line="181" w:lineRule="auto"/>
        <w:tabs>
          <w:tab w:leader="none" w:pos="486" w:val="left"/>
        </w:tabs>
        <w:numPr>
          <w:ilvl w:val="0"/>
          <w:numId w:val="4"/>
        </w:numPr>
        <w:rPr>
          <w:rFonts w:ascii="Arial" w:cs="Arial" w:eastAsia="Arial" w:hAnsi="Arial"/>
          <w:sz w:val="35"/>
          <w:szCs w:val="35"/>
          <w:color w:val="auto"/>
          <w:vertAlign w:val="subscript"/>
        </w:rPr>
      </w:pPr>
      <w:r>
        <w:rPr>
          <w:rFonts w:ascii="Arial" w:cs="Arial" w:eastAsia="Arial" w:hAnsi="Arial"/>
          <w:sz w:val="15"/>
          <w:szCs w:val="15"/>
          <w:color w:val="auto"/>
        </w:rPr>
        <w:t>Shared Voting Power</w:t>
      </w:r>
    </w:p>
    <w:p>
      <w:pPr>
        <w:spacing w:after="0" w:line="37" w:lineRule="exact"/>
        <w:rPr>
          <w:sz w:val="20"/>
          <w:szCs w:val="20"/>
          <w:color w:val="auto"/>
        </w:rPr>
      </w:pPr>
    </w:p>
    <w:p>
      <w:pPr>
        <w:ind w:left="486" w:hanging="486"/>
        <w:spacing w:after="0"/>
        <w:tabs>
          <w:tab w:leader="none" w:pos="486" w:val="left"/>
        </w:tabs>
        <w:numPr>
          <w:ilvl w:val="0"/>
          <w:numId w:val="5"/>
        </w:numPr>
        <w:rPr>
          <w:rFonts w:ascii="Arial" w:cs="Arial" w:eastAsia="Arial" w:hAnsi="Arial"/>
          <w:sz w:val="65"/>
          <w:szCs w:val="65"/>
          <w:color w:val="auto"/>
          <w:vertAlign w:val="subscript"/>
        </w:rPr>
      </w:pPr>
      <w:r>
        <w:rPr>
          <w:rFonts w:ascii="Arial" w:cs="Arial" w:eastAsia="Arial" w:hAnsi="Arial"/>
          <w:sz w:val="18"/>
          <w:szCs w:val="18"/>
          <w:color w:val="auto"/>
        </w:rPr>
        <w:t>Sole Dispositive Power</w:t>
      </w:r>
    </w:p>
    <w:p>
      <w:pPr>
        <w:spacing w:after="0" w:line="272" w:lineRule="exact"/>
        <w:rPr>
          <w:sz w:val="20"/>
          <w:szCs w:val="20"/>
          <w:color w:val="auto"/>
        </w:rPr>
      </w:pPr>
    </w:p>
    <w:p>
      <w:pPr>
        <w:ind w:left="486"/>
        <w:spacing w:after="0"/>
        <w:rPr>
          <w:sz w:val="20"/>
          <w:szCs w:val="20"/>
          <w:color w:val="auto"/>
        </w:rPr>
      </w:pPr>
      <w:r>
        <w:rPr>
          <w:rFonts w:ascii="Arial" w:cs="Arial" w:eastAsia="Arial" w:hAnsi="Arial"/>
          <w:sz w:val="18"/>
          <w:szCs w:val="18"/>
          <w:color w:val="auto"/>
        </w:rPr>
        <w:t>1,286,138</w:t>
      </w:r>
    </w:p>
    <w:p>
      <w:pPr>
        <w:ind w:left="486" w:hanging="486"/>
        <w:spacing w:after="0" w:line="181" w:lineRule="auto"/>
        <w:tabs>
          <w:tab w:leader="none" w:pos="486" w:val="left"/>
        </w:tabs>
        <w:numPr>
          <w:ilvl w:val="0"/>
          <w:numId w:val="6"/>
        </w:numPr>
        <w:rPr>
          <w:rFonts w:ascii="Arial" w:cs="Arial" w:eastAsia="Arial" w:hAnsi="Arial"/>
          <w:sz w:val="35"/>
          <w:szCs w:val="35"/>
          <w:color w:val="auto"/>
          <w:vertAlign w:val="subscript"/>
        </w:rPr>
      </w:pPr>
      <w:r>
        <w:rPr>
          <w:rFonts w:ascii="Arial" w:cs="Arial" w:eastAsia="Arial" w:hAnsi="Arial"/>
          <w:sz w:val="15"/>
          <w:szCs w:val="15"/>
          <w:color w:val="auto"/>
        </w:rPr>
        <w:t>Shared Dispositive Power</w:t>
      </w:r>
    </w:p>
    <w:p>
      <w:pPr>
        <w:spacing w:after="0" w:line="200" w:lineRule="exact"/>
        <w:rPr>
          <w:sz w:val="20"/>
          <w:szCs w:val="20"/>
          <w:color w:val="auto"/>
        </w:rPr>
      </w:pPr>
    </w:p>
    <w:p>
      <w:pPr>
        <w:sectPr>
          <w:pgSz w:w="11900" w:h="16838" w:orient="portrait"/>
          <w:cols w:equalWidth="0" w:num="2">
            <w:col w:w="1100" w:space="394"/>
            <w:col w:w="8726"/>
          </w:cols>
          <w:pgMar w:left="240" w:top="1143" w:right="1440"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28"/>
          <w:szCs w:val="28"/>
          <w:color w:val="auto"/>
        </w:rPr>
        <w:t>9</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Beneficially Owned by Each Reporting Person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1,286,138</w:t>
      </w:r>
    </w:p>
    <w:p>
      <w:pPr>
        <w:spacing w:after="0" w:line="90" w:lineRule="exact"/>
        <w:rPr>
          <w:sz w:val="20"/>
          <w:szCs w:val="20"/>
          <w:color w:val="auto"/>
        </w:rPr>
      </w:pPr>
    </w:p>
    <w:p>
      <w:pPr>
        <w:sectPr>
          <w:pgSz w:w="11900" w:h="16838" w:orient="portrait"/>
          <w:cols w:equalWidth="0" w:num="2">
            <w:col w:w="400" w:space="340"/>
            <w:col w:w="9479"/>
          </w:cols>
          <w:pgMar w:left="240" w:top="1143" w:right="1440" w:bottom="1440" w:gutter="0" w:footer="0" w:header="0"/>
          <w:type w:val="continuous"/>
        </w:sectPr>
      </w:pPr>
    </w:p>
    <w:p>
      <w:pPr>
        <w:spacing w:after="0" w:line="143" w:lineRule="exact"/>
        <w:rPr>
          <w:sz w:val="20"/>
          <w:szCs w:val="20"/>
          <w:color w:val="auto"/>
        </w:rPr>
      </w:pPr>
    </w:p>
    <w:p>
      <w:pPr>
        <w:ind w:left="140"/>
        <w:spacing w:after="0"/>
        <w:rPr>
          <w:sz w:val="20"/>
          <w:szCs w:val="20"/>
          <w:color w:val="auto"/>
        </w:rPr>
      </w:pPr>
      <w:r>
        <w:rPr>
          <w:rFonts w:ascii="Arial" w:cs="Arial" w:eastAsia="Arial" w:hAnsi="Arial"/>
          <w:sz w:val="30"/>
          <w:szCs w:val="30"/>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Check if the Aggregate Amount in Row (9) excludes Certain Shares (</w:t>
      </w:r>
      <w:r>
        <w:rPr>
          <w:rFonts w:ascii="Arial" w:cs="Arial" w:eastAsia="Arial" w:hAnsi="Arial"/>
          <w:sz w:val="16"/>
          <w:szCs w:val="16"/>
          <w:i w:val="1"/>
          <w:iCs w:val="1"/>
          <w:color w:val="auto"/>
        </w:rPr>
        <w:t>See</w:t>
      </w:r>
      <w:r>
        <w:rPr>
          <w:rFonts w:ascii="Arial" w:cs="Arial" w:eastAsia="Arial" w:hAnsi="Arial"/>
          <w:sz w:val="16"/>
          <w:szCs w:val="16"/>
          <w:color w:val="auto"/>
        </w:rPr>
        <w:t xml:space="preserve"> Instructions)</w:t>
      </w:r>
    </w:p>
    <w:p>
      <w:pPr>
        <w:spacing w:after="0" w:line="322" w:lineRule="exact"/>
        <w:rPr>
          <w:sz w:val="20"/>
          <w:szCs w:val="20"/>
          <w:color w:val="auto"/>
        </w:rPr>
      </w:pPr>
    </w:p>
    <w:p>
      <w:pPr>
        <w:sectPr>
          <w:pgSz w:w="11900" w:h="16838" w:orient="portrait"/>
          <w:cols w:equalWidth="0" w:num="2">
            <w:col w:w="480" w:space="260"/>
            <w:col w:w="9479"/>
          </w:cols>
          <w:pgMar w:left="240" w:top="1143" w:right="1440"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26"/>
          <w:szCs w:val="26"/>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Percent of Class Represented by Amount in Row (9)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5.59%</w:t>
      </w:r>
    </w:p>
    <w:p>
      <w:pPr>
        <w:spacing w:after="0" w:line="90" w:lineRule="exact"/>
        <w:rPr>
          <w:sz w:val="20"/>
          <w:szCs w:val="20"/>
          <w:color w:val="auto"/>
        </w:rPr>
      </w:pPr>
    </w:p>
    <w:p>
      <w:pPr>
        <w:sectPr>
          <w:pgSz w:w="11900" w:h="16838" w:orient="portrait"/>
          <w:cols w:equalWidth="0" w:num="2">
            <w:col w:w="460" w:space="280"/>
            <w:col w:w="9479"/>
          </w:cols>
          <w:pgMar w:left="240" w:top="1143" w:right="1440" w:bottom="1440" w:gutter="0" w:footer="0" w:header="0"/>
          <w:type w:val="continuous"/>
        </w:sectPr>
      </w:pPr>
    </w:p>
    <w:p>
      <w:pPr>
        <w:spacing w:after="0" w:line="143" w:lineRule="exact"/>
        <w:rPr>
          <w:sz w:val="20"/>
          <w:szCs w:val="20"/>
          <w:color w:val="auto"/>
        </w:rPr>
      </w:pPr>
    </w:p>
    <w:p>
      <w:pPr>
        <w:ind w:left="140"/>
        <w:spacing w:after="0"/>
        <w:rPr>
          <w:sz w:val="20"/>
          <w:szCs w:val="20"/>
          <w:color w:val="auto"/>
        </w:rPr>
      </w:pPr>
      <w:r>
        <w:rPr>
          <w:rFonts w:ascii="Arial" w:cs="Arial" w:eastAsia="Arial" w:hAnsi="Arial"/>
          <w:sz w:val="30"/>
          <w:szCs w:val="30"/>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w:t>
      </w:r>
      <w:r>
        <w:rPr>
          <w:rFonts w:ascii="Arial" w:cs="Arial" w:eastAsia="Arial" w:hAnsi="Arial"/>
          <w:sz w:val="16"/>
          <w:szCs w:val="16"/>
          <w:i w:val="1"/>
          <w:iCs w:val="1"/>
          <w:color w:val="auto"/>
        </w:rPr>
        <w:t>See</w:t>
      </w:r>
      <w:r>
        <w:rPr>
          <w:rFonts w:ascii="Arial" w:cs="Arial" w:eastAsia="Arial" w:hAnsi="Arial"/>
          <w:sz w:val="16"/>
          <w:szCs w:val="16"/>
          <w:color w:val="auto"/>
        </w:rPr>
        <w:t xml:space="preserve"> Instructions)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167005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0" w:space="260"/>
            <w:col w:w="9479"/>
          </w:cols>
          <w:pgMar w:left="240" w:top="1143"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20"/>
                <w:szCs w:val="20"/>
                <w:color w:val="auto"/>
              </w:rPr>
            </w:pPr>
            <w:r>
              <w:rPr>
                <w:rFonts w:ascii="Arial" w:cs="Arial" w:eastAsia="Arial" w:hAnsi="Arial"/>
                <w:sz w:val="18"/>
                <w:szCs w:val="18"/>
                <w:color w:val="auto"/>
              </w:rPr>
              <w:t>It</w:t>
            </w:r>
            <w:r>
              <w:rPr>
                <w:rFonts w:ascii="Arial" w:cs="Arial" w:eastAsia="Arial" w:hAnsi="Arial"/>
                <w:sz w:val="18"/>
                <w:szCs w:val="18"/>
                <w:b w:val="1"/>
                <w:bCs w:val="1"/>
                <w:color w:val="auto"/>
              </w:rPr>
              <w:t>em 1(a)</w:t>
            </w:r>
          </w:p>
        </w:tc>
        <w:tc>
          <w:tcPr>
            <w:tcW w:w="4920" w:type="dxa"/>
            <w:vAlign w:val="bottom"/>
            <w:gridSpan w:val="10"/>
          </w:tcPr>
          <w:p>
            <w:pPr>
              <w:spacing w:after="0"/>
              <w:rPr>
                <w:sz w:val="20"/>
                <w:szCs w:val="20"/>
                <w:color w:val="auto"/>
              </w:rPr>
            </w:pPr>
            <w:r>
              <w:rPr>
                <w:rFonts w:ascii="Arial" w:cs="Arial" w:eastAsia="Arial" w:hAnsi="Arial"/>
                <w:sz w:val="18"/>
                <w:szCs w:val="18"/>
                <w:color w:val="auto"/>
              </w:rPr>
              <w:t>Name of Issuer:</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Cohu, Inc.</w:t>
            </w:r>
          </w:p>
        </w:tc>
        <w:tc>
          <w:tcPr>
            <w:tcW w:w="1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920" w:type="dxa"/>
            <w:vAlign w:val="bottom"/>
            <w:gridSpan w:val="10"/>
          </w:tcPr>
          <w:p>
            <w:pPr>
              <w:spacing w:after="0"/>
              <w:rPr>
                <w:sz w:val="20"/>
                <w:szCs w:val="20"/>
                <w:color w:val="auto"/>
              </w:rPr>
            </w:pPr>
            <w:r>
              <w:rPr>
                <w:rFonts w:ascii="Arial" w:cs="Arial" w:eastAsia="Arial" w:hAnsi="Arial"/>
                <w:sz w:val="18"/>
                <w:szCs w:val="18"/>
                <w:color w:val="auto"/>
              </w:rPr>
              <w:t>Address of Issuer’s Principal Executive Offices: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4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12367 Crosthwaite Circle, Poway, CA 92064</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920" w:type="dxa"/>
            <w:vAlign w:val="bottom"/>
            <w:gridSpan w:val="10"/>
          </w:tcPr>
          <w:p>
            <w:pPr>
              <w:spacing w:after="0"/>
              <w:rPr>
                <w:sz w:val="20"/>
                <w:szCs w:val="20"/>
                <w:color w:val="auto"/>
              </w:rPr>
            </w:pPr>
            <w:r>
              <w:rPr>
                <w:rFonts w:ascii="Arial" w:cs="Arial" w:eastAsia="Arial" w:hAnsi="Arial"/>
                <w:sz w:val="18"/>
                <w:szCs w:val="18"/>
                <w:color w:val="auto"/>
              </w:rPr>
              <w:t>Name of Person Filing:</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4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Nicholas J. Cedrone</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4920" w:type="dxa"/>
            <w:vAlign w:val="bottom"/>
            <w:gridSpan w:val="10"/>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4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100 Business Park Drive, Tyngsborough, MA 01879</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980" w:type="dxa"/>
            <w:vAlign w:val="bottom"/>
          </w:tcPr>
          <w:p>
            <w:pPr>
              <w:spacing w:after="0"/>
              <w:rPr>
                <w:sz w:val="20"/>
                <w:szCs w:val="20"/>
                <w:color w:val="auto"/>
              </w:rPr>
            </w:pPr>
            <w:r>
              <w:rPr>
                <w:rFonts w:ascii="Arial" w:cs="Arial" w:eastAsia="Arial" w:hAnsi="Arial"/>
                <w:sz w:val="18"/>
                <w:szCs w:val="18"/>
                <w:color w:val="auto"/>
              </w:rPr>
              <w:t>Citizenship:</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United States</w:t>
            </w:r>
          </w:p>
        </w:tc>
        <w:tc>
          <w:tcPr>
            <w:tcW w:w="1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920" w:type="dxa"/>
            <w:vAlign w:val="bottom"/>
            <w:gridSpan w:val="10"/>
          </w:tcPr>
          <w:p>
            <w:pPr>
              <w:spacing w:after="0"/>
              <w:rPr>
                <w:sz w:val="20"/>
                <w:szCs w:val="20"/>
                <w:color w:val="auto"/>
              </w:rPr>
            </w:pPr>
            <w:r>
              <w:rPr>
                <w:rFonts w:ascii="Arial" w:cs="Arial" w:eastAsia="Arial" w:hAnsi="Arial"/>
                <w:sz w:val="18"/>
                <w:szCs w:val="18"/>
                <w:color w:val="auto"/>
              </w:rPr>
              <w:t>Title of Class of Securities: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4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Common Stock, $1.00 par value</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920" w:type="dxa"/>
            <w:vAlign w:val="bottom"/>
            <w:gridSpan w:val="10"/>
          </w:tcPr>
          <w:p>
            <w:pPr>
              <w:spacing w:after="0"/>
              <w:rPr>
                <w:sz w:val="20"/>
                <w:szCs w:val="20"/>
                <w:color w:val="auto"/>
              </w:rPr>
            </w:pPr>
            <w:r>
              <w:rPr>
                <w:rFonts w:ascii="Arial" w:cs="Arial" w:eastAsia="Arial" w:hAnsi="Arial"/>
                <w:sz w:val="18"/>
                <w:szCs w:val="18"/>
                <w:color w:val="auto"/>
              </w:rPr>
              <w:t>CUSIP Number:</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001751-19257610</w:t>
            </w: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r>
      <w:tr>
        <w:trPr>
          <w:trHeight w:val="459"/>
        </w:trPr>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60" w:type="dxa"/>
            <w:vAlign w:val="bottom"/>
            <w:gridSpan w:val="14"/>
          </w:tcPr>
          <w:p>
            <w:pPr>
              <w:spacing w:after="0" w:line="207" w:lineRule="exact"/>
              <w:rPr>
                <w:sz w:val="20"/>
                <w:szCs w:val="20"/>
                <w:color w:val="auto"/>
              </w:rPr>
            </w:pPr>
            <w:r>
              <w:rPr>
                <w:rFonts w:ascii="Arial" w:cs="Arial" w:eastAsia="Arial" w:hAnsi="Arial"/>
                <w:sz w:val="18"/>
                <w:szCs w:val="18"/>
                <w:b w:val="1"/>
                <w:bCs w:val="1"/>
                <w:color w:val="auto"/>
              </w:rPr>
              <w:t xml:space="preserve">If this statement is filed pursuant to Rule 13d-1(c), check this box </w:t>
            </w:r>
            <w:r>
              <w:rPr>
                <w:rFonts w:ascii="MS PGothic" w:cs="MS PGothic" w:eastAsia="MS PGothic" w:hAnsi="MS PGothic"/>
                <w:sz w:val="18"/>
                <w:szCs w:val="18"/>
                <w:color w:val="auto"/>
              </w:rPr>
              <w:t>☑</w:t>
            </w:r>
          </w:p>
        </w:tc>
      </w:tr>
      <w:tr>
        <w:trPr>
          <w:trHeight w:val="41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80" w:type="dxa"/>
            <w:vAlign w:val="bottom"/>
          </w:tcPr>
          <w:p>
            <w:pPr>
              <w:spacing w:after="0"/>
              <w:rPr>
                <w:sz w:val="20"/>
                <w:szCs w:val="20"/>
                <w:color w:val="auto"/>
              </w:rPr>
            </w:pPr>
            <w:r>
              <w:rPr>
                <w:rFonts w:ascii="Arial" w:cs="Arial" w:eastAsia="Arial" w:hAnsi="Arial"/>
                <w:sz w:val="18"/>
                <w:szCs w:val="18"/>
                <w:b w:val="1"/>
                <w:bCs w:val="1"/>
                <w:color w:val="auto"/>
              </w:rPr>
              <w:t>Ownership</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10260" w:type="dxa"/>
            <w:vAlign w:val="bottom"/>
            <w:gridSpan w:val="14"/>
          </w:tcPr>
          <w:p>
            <w:pPr>
              <w:spacing w:after="0"/>
              <w:rPr>
                <w:sz w:val="20"/>
                <w:szCs w:val="20"/>
                <w:color w:val="auto"/>
              </w:rPr>
            </w:pPr>
            <w:r>
              <w:rPr>
                <w:rFonts w:ascii="Arial" w:cs="Arial" w:eastAsia="Arial" w:hAnsi="Arial"/>
                <w:sz w:val="18"/>
                <w:szCs w:val="18"/>
                <w:color w:val="auto"/>
                <w:w w:val="93"/>
              </w:rPr>
              <w:t>The aggregate number and percentage of the class of securities of the issuer identified in Item 1 owned by Mr. Cedrone on December 31,</w:t>
            </w:r>
          </w:p>
        </w:tc>
      </w:tr>
      <w:tr>
        <w:trPr>
          <w:trHeight w:val="230"/>
        </w:trPr>
        <w:tc>
          <w:tcPr>
            <w:tcW w:w="1160" w:type="dxa"/>
            <w:vAlign w:val="bottom"/>
          </w:tcPr>
          <w:p>
            <w:pPr>
              <w:spacing w:after="0"/>
              <w:rPr>
                <w:sz w:val="20"/>
                <w:szCs w:val="20"/>
                <w:color w:val="auto"/>
              </w:rPr>
            </w:pPr>
          </w:p>
        </w:tc>
        <w:tc>
          <w:tcPr>
            <w:tcW w:w="4920" w:type="dxa"/>
            <w:vAlign w:val="bottom"/>
            <w:gridSpan w:val="10"/>
          </w:tcPr>
          <w:p>
            <w:pPr>
              <w:spacing w:after="0"/>
              <w:rPr>
                <w:sz w:val="20"/>
                <w:szCs w:val="20"/>
                <w:color w:val="auto"/>
              </w:rPr>
            </w:pPr>
            <w:r>
              <w:rPr>
                <w:rFonts w:ascii="Arial" w:cs="Arial" w:eastAsia="Arial" w:hAnsi="Arial"/>
                <w:sz w:val="18"/>
                <w:szCs w:val="18"/>
                <w:color w:val="auto"/>
              </w:rPr>
              <w:t>2007 was as follows: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84"/>
        </w:trPr>
        <w:tc>
          <w:tcPr>
            <w:tcW w:w="116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rPr>
              <w:t>(a)</w:t>
            </w:r>
          </w:p>
        </w:tc>
        <w:tc>
          <w:tcPr>
            <w:tcW w:w="3940" w:type="dxa"/>
            <w:vAlign w:val="bottom"/>
            <w:gridSpan w:val="9"/>
          </w:tcPr>
          <w:p>
            <w:pPr>
              <w:ind w:left="20"/>
              <w:spacing w:after="0"/>
              <w:rPr>
                <w:sz w:val="20"/>
                <w:szCs w:val="20"/>
                <w:color w:val="auto"/>
              </w:rPr>
            </w:pPr>
            <w:r>
              <w:rPr>
                <w:rFonts w:ascii="Arial" w:cs="Arial" w:eastAsia="Arial" w:hAnsi="Arial"/>
                <w:sz w:val="18"/>
                <w:szCs w:val="18"/>
                <w:color w:val="auto"/>
              </w:rPr>
              <w:t>Amount beneficially owned: 1,286,138 .</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18"/>
        </w:trPr>
        <w:tc>
          <w:tcPr>
            <w:tcW w:w="116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rPr>
              <w:t>(b)</w:t>
            </w:r>
          </w:p>
        </w:tc>
        <w:tc>
          <w:tcPr>
            <w:tcW w:w="2120" w:type="dxa"/>
            <w:vAlign w:val="bottom"/>
            <w:gridSpan w:val="3"/>
          </w:tcPr>
          <w:p>
            <w:pPr>
              <w:ind w:left="20"/>
              <w:spacing w:after="0"/>
              <w:rPr>
                <w:sz w:val="20"/>
                <w:szCs w:val="20"/>
                <w:color w:val="auto"/>
              </w:rPr>
            </w:pPr>
            <w:r>
              <w:rPr>
                <w:rFonts w:ascii="Arial" w:cs="Arial" w:eastAsia="Arial" w:hAnsi="Arial"/>
                <w:sz w:val="18"/>
                <w:szCs w:val="18"/>
                <w:color w:val="auto"/>
              </w:rPr>
              <w:t>Percent of class: 5.59%.</w:t>
            </w:r>
          </w:p>
        </w:tc>
        <w:tc>
          <w:tcPr>
            <w:tcW w:w="760" w:type="dxa"/>
            <w:vAlign w:val="bottom"/>
            <w:tcBorders>
              <w:top w:val="single" w:sz="8" w:color="auto"/>
            </w:tcBorders>
            <w:gridSpan w:val="2"/>
          </w:tcPr>
          <w:p>
            <w:pPr>
              <w:spacing w:after="0"/>
              <w:rPr>
                <w:sz w:val="24"/>
                <w:szCs w:val="24"/>
                <w:color w:val="auto"/>
              </w:rPr>
            </w:pPr>
          </w:p>
        </w:tc>
        <w:tc>
          <w:tcPr>
            <w:tcW w:w="10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rPr>
              <w:t>(c)</w:t>
            </w:r>
          </w:p>
        </w:tc>
        <w:tc>
          <w:tcPr>
            <w:tcW w:w="3940" w:type="dxa"/>
            <w:vAlign w:val="bottom"/>
            <w:gridSpan w:val="9"/>
          </w:tcPr>
          <w:p>
            <w:pPr>
              <w:ind w:left="20"/>
              <w:spacing w:after="0"/>
              <w:rPr>
                <w:sz w:val="20"/>
                <w:szCs w:val="20"/>
                <w:color w:val="auto"/>
              </w:rPr>
            </w:pPr>
            <w:r>
              <w:rPr>
                <w:rFonts w:ascii="Arial" w:cs="Arial" w:eastAsia="Arial" w:hAnsi="Arial"/>
                <w:sz w:val="18"/>
                <w:szCs w:val="18"/>
                <w:color w:val="auto"/>
              </w:rPr>
              <w:t>Number of shares as to which the person has: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97"/>
        </w:trPr>
        <w:tc>
          <w:tcPr>
            <w:tcW w:w="116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rPr>
              <w:t>(i)</w:t>
            </w:r>
          </w:p>
        </w:tc>
        <w:tc>
          <w:tcPr>
            <w:tcW w:w="3940" w:type="dxa"/>
            <w:vAlign w:val="bottom"/>
            <w:gridSpan w:val="9"/>
          </w:tcPr>
          <w:p>
            <w:pPr>
              <w:ind w:left="20"/>
              <w:spacing w:after="0"/>
              <w:rPr>
                <w:sz w:val="20"/>
                <w:szCs w:val="20"/>
                <w:color w:val="auto"/>
              </w:rPr>
            </w:pPr>
            <w:r>
              <w:rPr>
                <w:rFonts w:ascii="Arial" w:cs="Arial" w:eastAsia="Arial" w:hAnsi="Arial"/>
                <w:sz w:val="18"/>
                <w:szCs w:val="18"/>
                <w:color w:val="auto"/>
                <w:w w:val="96"/>
              </w:rPr>
              <w:t>Sole power to vote or to direct the vote 1,286,138 .</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318"/>
        </w:trPr>
        <w:tc>
          <w:tcPr>
            <w:tcW w:w="116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rPr>
              <w:t>(ii)</w:t>
            </w:r>
          </w:p>
        </w:tc>
        <w:tc>
          <w:tcPr>
            <w:tcW w:w="3040" w:type="dxa"/>
            <w:vAlign w:val="bottom"/>
            <w:gridSpan w:val="6"/>
          </w:tcPr>
          <w:p>
            <w:pPr>
              <w:ind w:left="20"/>
              <w:spacing w:after="0"/>
              <w:rPr>
                <w:sz w:val="20"/>
                <w:szCs w:val="20"/>
                <w:color w:val="auto"/>
              </w:rPr>
            </w:pPr>
            <w:r>
              <w:rPr>
                <w:rFonts w:ascii="Arial" w:cs="Arial" w:eastAsia="Arial" w:hAnsi="Arial"/>
                <w:sz w:val="18"/>
                <w:szCs w:val="18"/>
                <w:color w:val="auto"/>
                <w:w w:val="90"/>
              </w:rPr>
              <w:t>Shared power to vote or to direct the vote</w:t>
            </w:r>
          </w:p>
        </w:tc>
        <w:tc>
          <w:tcPr>
            <w:tcW w:w="900" w:type="dxa"/>
            <w:vAlign w:val="bottom"/>
            <w:tcBorders>
              <w:bottom w:val="single" w:sz="8" w:color="auto"/>
            </w:tcBorders>
            <w:gridSpan w:val="3"/>
          </w:tcPr>
          <w:p>
            <w:pPr>
              <w:spacing w:after="0"/>
              <w:rPr>
                <w:sz w:val="24"/>
                <w:szCs w:val="24"/>
                <w:color w:val="auto"/>
              </w:rPr>
            </w:pPr>
          </w:p>
        </w:tc>
        <w:tc>
          <w:tcPr>
            <w:tcW w:w="600" w:type="dxa"/>
            <w:vAlign w:val="bottom"/>
            <w:gridSpan w:val="2"/>
          </w:tcPr>
          <w:p>
            <w:pPr>
              <w:jc w:val="right"/>
              <w:ind w:right="540"/>
              <w:spacing w:after="0"/>
              <w:rPr>
                <w:sz w:val="20"/>
                <w:szCs w:val="20"/>
                <w:color w:val="auto"/>
              </w:rPr>
            </w:pPr>
            <w:r>
              <w:rPr>
                <w:rFonts w:ascii="Arial" w:cs="Arial" w:eastAsia="Arial" w:hAnsi="Arial"/>
                <w:sz w:val="18"/>
                <w:szCs w:val="18"/>
                <w:color w:val="auto"/>
                <w:w w:val="78"/>
              </w:rPr>
              <w:t>.</w:t>
            </w: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18"/>
        </w:trPr>
        <w:tc>
          <w:tcPr>
            <w:tcW w:w="116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rPr>
              <w:t>(iii)</w:t>
            </w:r>
          </w:p>
        </w:tc>
        <w:tc>
          <w:tcPr>
            <w:tcW w:w="9280" w:type="dxa"/>
            <w:vAlign w:val="bottom"/>
            <w:gridSpan w:val="13"/>
          </w:tcPr>
          <w:p>
            <w:pPr>
              <w:ind w:left="20"/>
              <w:spacing w:after="0"/>
              <w:rPr>
                <w:sz w:val="20"/>
                <w:szCs w:val="20"/>
                <w:color w:val="auto"/>
              </w:rPr>
            </w:pPr>
            <w:r>
              <w:rPr>
                <w:rFonts w:ascii="Arial" w:cs="Arial" w:eastAsia="Arial" w:hAnsi="Arial"/>
                <w:sz w:val="18"/>
                <w:szCs w:val="18"/>
                <w:color w:val="auto"/>
              </w:rPr>
              <w:t>Sole power to dispose or to direct the disposition of 1,286,138 .</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318"/>
        </w:trPr>
        <w:tc>
          <w:tcPr>
            <w:tcW w:w="116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rPr>
              <w:t>(iv)</w:t>
            </w:r>
          </w:p>
        </w:tc>
        <w:tc>
          <w:tcPr>
            <w:tcW w:w="3940" w:type="dxa"/>
            <w:vAlign w:val="bottom"/>
            <w:gridSpan w:val="9"/>
          </w:tcPr>
          <w:p>
            <w:pPr>
              <w:ind w:left="20"/>
              <w:spacing w:after="0"/>
              <w:rPr>
                <w:sz w:val="20"/>
                <w:szCs w:val="20"/>
                <w:color w:val="auto"/>
              </w:rPr>
            </w:pPr>
            <w:r>
              <w:rPr>
                <w:rFonts w:ascii="Arial" w:cs="Arial" w:eastAsia="Arial" w:hAnsi="Arial"/>
                <w:sz w:val="18"/>
                <w:szCs w:val="18"/>
                <w:color w:val="auto"/>
                <w:w w:val="90"/>
              </w:rPr>
              <w:t>Shared power to dispose or to direct the disposition of</w:t>
            </w:r>
          </w:p>
        </w:tc>
        <w:tc>
          <w:tcPr>
            <w:tcW w:w="5340" w:type="dxa"/>
            <w:vAlign w:val="bottom"/>
            <w:gridSpan w:val="4"/>
          </w:tcPr>
          <w:p>
            <w:pPr>
              <w:jc w:val="right"/>
              <w:ind w:right="4380"/>
              <w:spacing w:after="0"/>
              <w:rPr>
                <w:sz w:val="20"/>
                <w:szCs w:val="20"/>
                <w:color w:val="auto"/>
              </w:rPr>
            </w:pPr>
            <w:r>
              <w:rPr>
                <w:rFonts w:ascii="Arial" w:cs="Arial" w:eastAsia="Arial" w:hAnsi="Arial"/>
                <w:sz w:val="18"/>
                <w:szCs w:val="18"/>
                <w:color w:val="auto"/>
              </w:rPr>
              <w:t>.</w:t>
            </w:r>
          </w:p>
        </w:tc>
      </w:tr>
      <w:tr>
        <w:trPr>
          <w:trHeight w:val="652"/>
        </w:trPr>
        <w:tc>
          <w:tcPr>
            <w:tcW w:w="1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80" w:type="dxa"/>
            <w:vAlign w:val="bottom"/>
            <w:tcBorders>
              <w:top w:val="single" w:sz="8" w:color="auto"/>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January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/s/ 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sectPr>
      <w:pgSz w:w="11900" w:h="16838" w:orient="portrait"/>
      <w:cols w:equalWidth="0" w:num="1">
        <w:col w:w="11300"/>
      </w:cols>
      <w:pgMar w:left="240" w:top="114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2"/>
      <w:numFmt w:val="bullet"/>
      <w:start w:val="1"/>
    </w:lvl>
    <w:lvl w:ilvl="1">
      <w:lvlJc w:val="left"/>
      <w:lvlText w:val="(%2)"/>
      <w:numFmt w:val="lowerLetter"/>
      <w:start w:val="2"/>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6"/>
      <w:numFmt w:val="bullet"/>
      <w:start w:val="1"/>
    </w:lvl>
  </w:abstractNum>
  <w:abstractNum w:abstractNumId="4">
    <w:nsid w:val="3D1B58BA"/>
    <w:multiLevelType w:val="hybridMultilevel"/>
    <w:lvl w:ilvl="0">
      <w:lvlJc w:val="left"/>
      <w:lvlText w:val="7"/>
      <w:numFmt w:val="bullet"/>
      <w:start w:val="1"/>
    </w:lvl>
  </w:abstractNum>
  <w:abstractNum w:abstractNumId="5">
    <w:nsid w:val="507ED7AB"/>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2019-12-11T11:20:13Z</dcterms:created>
  <dcterms:modified xsi:type="dcterms:W3CDTF">2019-12-11T11:20:13Z</dcterms:modified>
</cp:coreProperties>
</file>