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0" w:lineRule="exact"/>
        <w:rPr>
          <w:sz w:val="24"/>
          <w:szCs w:val="24"/>
          <w:color w:val="auto"/>
        </w:rPr>
      </w:pPr>
    </w:p>
    <w:p>
      <w:pPr>
        <w:ind w:left="4020" w:right="1980" w:hanging="4012"/>
        <w:spacing w:after="0" w:line="261"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26, 2015</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9"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1-4298</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r>
        <w:rPr>
          <w:rFonts w:ascii="Arial" w:cs="Arial" w:eastAsia="Arial" w:hAnsi="Arial"/>
          <w:sz w:val="32"/>
          <w:szCs w:val="32"/>
          <w:color w:val="auto"/>
        </w:rPr>
        <w:t>.</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tcPr>
          <w:p>
            <w:pPr>
              <w:jc w:val="center"/>
              <w:ind w:left="135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840" w:type="dxa"/>
            <w:vAlign w:val="bottom"/>
          </w:tcPr>
          <w:p>
            <w:pPr>
              <w:ind w:left="780"/>
              <w:spacing w:after="0"/>
              <w:rPr>
                <w:sz w:val="20"/>
                <w:szCs w:val="20"/>
                <w:color w:val="auto"/>
              </w:rPr>
            </w:pPr>
            <w:r>
              <w:rPr>
                <w:rFonts w:ascii="Arial" w:cs="Arial" w:eastAsia="Arial" w:hAnsi="Arial"/>
                <w:sz w:val="18"/>
                <w:szCs w:val="18"/>
                <w:i w:val="1"/>
                <w:iCs w:val="1"/>
                <w:color w:val="auto"/>
              </w:rPr>
              <w:t>(State or other jurisdiction of</w:t>
            </w:r>
          </w:p>
        </w:tc>
        <w:tc>
          <w:tcPr>
            <w:tcW w:w="4020" w:type="dxa"/>
            <w:vAlign w:val="bottom"/>
          </w:tcPr>
          <w:p>
            <w:pPr>
              <w:jc w:val="center"/>
              <w:ind w:left="13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840" w:type="dxa"/>
            <w:vAlign w:val="bottom"/>
          </w:tcPr>
          <w:p>
            <w:pPr>
              <w:jc w:val="center"/>
              <w:ind w:right="1030"/>
              <w:spacing w:after="0"/>
              <w:rPr>
                <w:sz w:val="20"/>
                <w:szCs w:val="20"/>
                <w:color w:val="auto"/>
              </w:rPr>
            </w:pPr>
            <w:r>
              <w:rPr>
                <w:rFonts w:ascii="Arial" w:cs="Arial" w:eastAsia="Arial" w:hAnsi="Arial"/>
                <w:sz w:val="18"/>
                <w:szCs w:val="18"/>
                <w:i w:val="1"/>
                <w:iCs w:val="1"/>
                <w:color w:val="auto"/>
                <w:w w:val="95"/>
              </w:rPr>
              <w:t>Incorporation or Organization)</w:t>
            </w:r>
          </w:p>
        </w:tc>
        <w:tc>
          <w:tcPr>
            <w:tcW w:w="4020" w:type="dxa"/>
            <w:vAlign w:val="bottom"/>
          </w:tcPr>
          <w:p>
            <w:pPr>
              <w:spacing w:after="0"/>
              <w:rPr>
                <w:sz w:val="20"/>
                <w:szCs w:val="20"/>
                <w:color w:val="auto"/>
              </w:rPr>
            </w:pPr>
          </w:p>
        </w:tc>
      </w:tr>
      <w:tr>
        <w:trPr>
          <w:trHeight w:val="418"/>
        </w:trPr>
        <w:tc>
          <w:tcPr>
            <w:tcW w:w="4840" w:type="dxa"/>
            <w:vAlign w:val="bottom"/>
          </w:tcPr>
          <w:p>
            <w:pPr>
              <w:spacing w:after="0"/>
              <w:rPr>
                <w:sz w:val="20"/>
                <w:szCs w:val="20"/>
                <w:color w:val="auto"/>
              </w:rPr>
            </w:pPr>
            <w:r>
              <w:rPr>
                <w:rFonts w:ascii="Arial" w:cs="Arial" w:eastAsia="Arial" w:hAnsi="Arial"/>
                <w:sz w:val="18"/>
                <w:szCs w:val="18"/>
                <w:b w:val="1"/>
                <w:bCs w:val="1"/>
                <w:color w:val="auto"/>
              </w:rPr>
              <w:t>12367 Crosthwaite Circle, Poway, California</w:t>
            </w:r>
          </w:p>
        </w:tc>
        <w:tc>
          <w:tcPr>
            <w:tcW w:w="402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840" w:type="dxa"/>
            <w:vAlign w:val="bottom"/>
          </w:tcPr>
          <w:p>
            <w:pPr>
              <w:jc w:val="center"/>
              <w:ind w:right="10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20" w:type="dxa"/>
            <w:vAlign w:val="bottom"/>
          </w:tcPr>
          <w:p>
            <w:pPr>
              <w:jc w:val="center"/>
              <w:ind w:left="13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tbl>
      <w:tblPr>
        <w:tblLayout w:type="fixed"/>
        <w:tblInd w:w="210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4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1"/>
              </w:rPr>
              <w:t>Title of Each Class</w:t>
            </w:r>
          </w:p>
        </w:tc>
        <w:tc>
          <w:tcPr>
            <w:tcW w:w="2500" w:type="dxa"/>
            <w:vAlign w:val="bottom"/>
          </w:tcPr>
          <w:p>
            <w:pPr>
              <w:spacing w:after="0"/>
              <w:rPr>
                <w:sz w:val="17"/>
                <w:szCs w:val="17"/>
                <w:color w:val="auto"/>
              </w:rPr>
            </w:pPr>
          </w:p>
        </w:tc>
        <w:tc>
          <w:tcPr>
            <w:tcW w:w="30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9"/>
              </w:rPr>
              <w:t>Name of Exchange on Which Registered</w:t>
            </w:r>
          </w:p>
        </w:tc>
      </w:tr>
      <w:tr>
        <w:trPr>
          <w:trHeight w:val="237"/>
        </w:trPr>
        <w:tc>
          <w:tcPr>
            <w:tcW w:w="446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0"/>
              </w:rPr>
              <w:t>Common Stock, $1.00 par value</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00"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6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firstLine="16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16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39" w:right="239" w:bottom="1130" w:gutter="0" w:footer="0" w:header="0"/>
        </w:sectPr>
      </w:pPr>
    </w:p>
    <w:p>
      <w:pPr>
        <w:spacing w:after="0" w:line="12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ind w:left="280"/>
        <w:spacing w:after="0" w:line="207" w:lineRule="exact"/>
        <w:tabs>
          <w:tab w:leader="none" w:pos="19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30" w:lineRule="exact"/>
        <w:rPr>
          <w:sz w:val="24"/>
          <w:szCs w:val="24"/>
          <w:color w:val="auto"/>
        </w:rPr>
      </w:pPr>
    </w:p>
    <w:p>
      <w:pPr>
        <w:ind w:left="92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06" w:lineRule="exact"/>
        <w:rPr>
          <w:sz w:val="24"/>
          <w:szCs w:val="24"/>
          <w:color w:val="auto"/>
        </w:rPr>
      </w:pPr>
    </w:p>
    <w:p>
      <w:pPr>
        <w:sectPr>
          <w:pgSz w:w="11900" w:h="16838" w:orient="portrait"/>
          <w:cols w:equalWidth="0" w:num="7">
            <w:col w:w="2080" w:space="180"/>
            <w:col w:w="540" w:space="720"/>
            <w:col w:w="1200" w:space="180"/>
            <w:col w:w="240" w:space="720"/>
            <w:col w:w="2580" w:space="400"/>
            <w:col w:w="1960" w:space="180"/>
            <w:col w:w="440"/>
          </w:cols>
          <w:pgMar w:left="240" w:top="639" w:right="239" w:bottom="1130" w:gutter="0" w:footer="0" w:header="0"/>
          <w:type w:val="continuous"/>
        </w:sectPr>
      </w:pPr>
    </w:p>
    <w:p>
      <w:pPr>
        <w:spacing w:after="0" w:line="32"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40" w:firstLine="168"/>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$193,000,000 based on the closing stock price as reported by the NASDAQ Stock Market LLC as of June 26, 2015.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8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11, 2016 the Registrant had 26,249,438 shares of its $1.00 par value common stock outstanding.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140" w:firstLine="168"/>
        <w:spacing w:after="0" w:line="290" w:lineRule="auto"/>
        <w:rPr>
          <w:sz w:val="20"/>
          <w:szCs w:val="20"/>
          <w:color w:val="auto"/>
        </w:rPr>
      </w:pPr>
      <w:r>
        <w:rPr>
          <w:rFonts w:ascii="Arial" w:cs="Arial" w:eastAsia="Arial" w:hAnsi="Arial"/>
          <w:sz w:val="17"/>
          <w:szCs w:val="17"/>
          <w:color w:val="auto"/>
        </w:rPr>
        <w:t>Portions of the Proxy Statement for Cohu, Inc.’s 2016 Annual Meeting of Stockholders to be held on May 11, 2016, and to be filed pursuant to Regulation 14A within 120 days after registrant’s fiscal year ended December 26, 2015,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692785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39" w:right="239" w:bottom="113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80" w:type="dxa"/>
            <w:vAlign w:val="bottom"/>
          </w:tcPr>
          <w:p>
            <w:pPr>
              <w:jc w:val="center"/>
              <w:ind w:left="610"/>
              <w:spacing w:after="0"/>
              <w:rPr>
                <w:sz w:val="20"/>
                <w:szCs w:val="20"/>
                <w:color w:val="auto"/>
              </w:rPr>
            </w:pPr>
            <w:r>
              <w:rPr>
                <w:rFonts w:ascii="Arial" w:cs="Arial" w:eastAsia="Arial" w:hAnsi="Arial"/>
                <w:sz w:val="18"/>
                <w:szCs w:val="18"/>
                <w:b w:val="1"/>
                <w:bCs w:val="1"/>
                <w:color w:val="auto"/>
              </w:rPr>
              <w:t>COHU, INC.</w:t>
            </w: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8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FORM 10-K FOR THE FISCAL YEAR ENDED DECEMBER 26, 2015</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8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TABLE OF CONTENTS</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spacing w:after="0"/>
              <w:rPr>
                <w:sz w:val="20"/>
                <w:szCs w:val="20"/>
                <w:color w:val="auto"/>
              </w:rPr>
            </w:pPr>
            <w:r>
              <w:rPr>
                <w:rFonts w:ascii="Arial" w:cs="Arial" w:eastAsia="Arial" w:hAnsi="Arial"/>
                <w:sz w:val="18"/>
                <w:szCs w:val="18"/>
                <w:color w:val="auto"/>
              </w:rPr>
              <w:t>Risk Factors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Unresolved Staff Comments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spacing w:after="0"/>
              <w:rPr>
                <w:sz w:val="20"/>
                <w:szCs w:val="20"/>
                <w:color w:val="auto"/>
              </w:rPr>
            </w:pPr>
            <w:r>
              <w:rPr>
                <w:rFonts w:ascii="Arial" w:cs="Arial" w:eastAsia="Arial" w:hAnsi="Arial"/>
                <w:sz w:val="18"/>
                <w:szCs w:val="18"/>
                <w:color w:val="auto"/>
              </w:rPr>
              <w:t>Properties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Legal Proceedings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spacing w:after="0"/>
              <w:rPr>
                <w:sz w:val="20"/>
                <w:szCs w:val="20"/>
                <w:color w:val="auto"/>
              </w:rPr>
            </w:pPr>
            <w:r>
              <w:rPr>
                <w:rFonts w:ascii="Arial" w:cs="Arial" w:eastAsia="Arial" w:hAnsi="Arial"/>
                <w:sz w:val="18"/>
                <w:szCs w:val="18"/>
                <w:color w:val="auto"/>
              </w:rPr>
              <w:t>Mine Safety Disclosures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Selected Financial Data</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9180" w:type="dxa"/>
            <w:vAlign w:val="bottom"/>
          </w:tcPr>
          <w:p>
            <w:pPr>
              <w:spacing w:after="0"/>
              <w:rPr>
                <w:sz w:val="20"/>
                <w:szCs w:val="20"/>
                <w:color w:val="auto"/>
              </w:rPr>
            </w:pPr>
            <w:r>
              <w:rPr>
                <w:rFonts w:ascii="Arial" w:cs="Arial" w:eastAsia="Arial" w:hAnsi="Arial"/>
                <w:sz w:val="18"/>
                <w:szCs w:val="18"/>
                <w:color w:val="auto"/>
              </w:rPr>
              <w:t>Financial Statements and Supplementary Data</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9A.</w:t>
            </w:r>
          </w:p>
        </w:tc>
        <w:tc>
          <w:tcPr>
            <w:tcW w:w="918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9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11.</w:t>
            </w:r>
          </w:p>
        </w:tc>
        <w:tc>
          <w:tcPr>
            <w:tcW w:w="918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13.</w:t>
            </w:r>
          </w:p>
        </w:tc>
        <w:tc>
          <w:tcPr>
            <w:tcW w:w="9180" w:type="dxa"/>
            <w:vAlign w:val="bottom"/>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Principal Accounting Fees and Services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9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Exhibits, Financial Statement Schedules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85"/>
              </w:rPr>
              <w:t>Signatures</w:t>
            </w:r>
          </w:p>
        </w:tc>
        <w:tc>
          <w:tcPr>
            <w:tcW w:w="91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91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2" w:name="page3"/>
    <w:bookmarkEnd w:id="2"/>
    <w:p>
      <w:pPr>
        <w:ind w:right="20"/>
        <w:spacing w:after="0" w:line="287"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business.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Over the last year and a half we increased the focus on our core business, selling our mobile microwave communications equipment business, Broadcast Microwave Services, Inc. (“BMS”) on June 10, 2015 and our video camera business, Cohu Electronics on June 6, 2014. Our decision to sell BMS and Cohu Electronics resulted from the determination that these businesses were no longer a strategic fit within our organization. The operating results of BMS and Cohu Electronics are being presented as discontinued operations and all prior period amounts have been reclassified accordingly. Unless otherwise noted all amounts presented are from continuing operations.</w:t>
      </w:r>
    </w:p>
    <w:p>
      <w:pPr>
        <w:spacing w:after="0" w:line="18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Subsequent to the sale of BMS and Cohu Electronics, we have one reportable segment, semiconductor equipment. Financial information on our reportable segment for each of the last three years is included in Note 8, “Segment and Geographic Information” in Part IV, Item 15(a) of this Form 10-K.</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Cohu is a leading supplier of semiconductor test and inspection handlers, micro-electro mechanical system (MEMS) test modules, test contactors and thermal sub-systems used by global semiconductor manufacturers and test subcontractors. We develop, manufacture, sell and service a broad line of equipment capable of handling a wide range of integrated circuits and light-emitting diodes (LEDs). Test handlers are electromechanical systems used to automate testing of integrated circuits and LEDs in the back-end of the semiconductor manufacturing process. Testing determines the quality and performance of the semiconductor device prior to shipment to customers. Testers are designed to verify the performance of semiconductor devices, such as microprocessors, logic, analog, memory or mixed signal devices. Handlers are automated systems engineered to thermally condition and present for testing the packaged semiconductor devices. The majority of test handlers use either pick-and-place, gravity-feed, turret or test-in-strip technologies. The type of packaged device, test parallelism, thermal requirements and signal interface requirements normally determines the appropriate handling approach.</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Pick-and-place handling is the predominant solution for devices with leads on all four sides, such as the quad flat pack, or with balls or pads on the bottom or top of the package, such as ball grid array packages, and quad flat no-lead packages as well as certain low profile devices with leads on two sides, such as the thin small outline package, and wafer-level packages. Pick-and-place handlers use robotic mechanisms to move devices from JEDEC (Joint Electron Device Engineering Council) standard trays and place them in precision transport boats or carriers for processing through the system. After testing, devices are sorted and reloaded into designated trays, based on test results.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3" w:name="page4"/>
    <w:bookmarkEnd w:id="3"/>
    <w:p>
      <w:pPr>
        <w:ind w:right="60"/>
        <w:spacing w:after="0" w:line="279" w:lineRule="auto"/>
        <w:rPr>
          <w:sz w:val="20"/>
          <w:szCs w:val="20"/>
          <w:color w:val="auto"/>
        </w:rPr>
      </w:pPr>
      <w:r>
        <w:rPr>
          <w:rFonts w:ascii="Arial" w:cs="Arial" w:eastAsia="Arial" w:hAnsi="Arial"/>
          <w:sz w:val="17"/>
          <w:szCs w:val="17"/>
          <w:color w:val="auto"/>
        </w:rPr>
        <w:t>Gravity-feed handling is the predominant solution for temperature testing of high performance small outline leaded and non-leaded packages, as well as for large packages with leads on only one or two sides as is common in high power devices. In gravity-feed handlers, devices are unloaded from plastic tubes, metal magazines or a bowl at the top of the machine and flow through the system, from top to bottom, propelled by the force of gravity. After testing, devices are sorted and reloaded into tubes, magazines, bulk or tape for additional process steps or final shipment.</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Turret handlers are ideally suited for high-volume and low-mix testing of smaller integrated circuit and LED devices. In turret handlers, devices are unloaded from tubes, a bowl, trays or film frame. Turret-based handlers use a rotating turret mechanism that provides very high device throughput and efficient integration of multiple back-end finishing operations.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Test-in-strip handlers accommodate devices in strips or panels prior to the final singulation step in the semiconductor manufacturing process flow and are typically used for high-parallel testing applications.</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MEMS test modules are independent physical stimuli units for testing sensor integrated circuits typically used in the automotive and consumer electronics industries. These MEMS test modules can be integrated to our gravity-feed, pick-and-place, turret or test-in-strip handlers for testing a variety of sensors, including pressure, acoustic, magnetic field hall effect, optical and others.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ensure quality, semiconductors are typically tested at hot and/or cold temperatures, which can simulate the final operating environment. Our test handler products are designed to provide a precisely controlled test environment, often over the range of -60 degrees Celsius to +175 degrees Celsius. As the speed and power of certain integrated circuits, such as microprocessors and mobile processors, have increased so has the need to actively manage the self-generated heat during the test process to maximize yield.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handling speed, flexibility, parallel test capability, alignment to the test contactors, system size, reliability and cost.</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Thermal sub-systems are used in advanced burn-in and system-level test applications to maintain and control the temperature of integrated circuits during the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 System-level testing is required for functional testing of high-end microprocessors as well as mobile processors combined with memory. This is typically the last test operation of complex, expensive integrated circuits prior to the final electronic integration process.</w:t>
      </w:r>
    </w:p>
    <w:p>
      <w:pPr>
        <w:spacing w:after="0" w:line="17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handlers, MEMS test modules and thermal subsystems used in burn-in and system-level test. The availability of trained technical support personnel is an important competitive factor in the marketplace. Our semiconductor equipment companies deploy service engineers worldwide, often within customers’ production facilities, who work with customer personnel to maintain, repair and continuously improve the performance of our equipment.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offer products for the pick-and-place, gravity-feed, test-in-strip and turret handling, MEMS, burn-in and system-level test markets. We currently sell the following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23" w:lineRule="exact"/>
        <w:rPr>
          <w:sz w:val="20"/>
          <w:szCs w:val="20"/>
          <w:color w:val="auto"/>
        </w:rPr>
      </w:pPr>
    </w:p>
    <w:p>
      <w:pPr>
        <w:jc w:val="both"/>
        <w:ind w:right="62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Delta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handler is designed to meet the needs of integrated circuit manufacturers and subcontractors who test at ambient and hot temperatures.</w:t>
      </w:r>
    </w:p>
    <w:p>
      <w:pPr>
        <w:spacing w:after="0" w:line="186"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Delta MATRiX</w:t>
      </w:r>
      <w:r>
        <w:rPr>
          <w:rFonts w:ascii="Arial" w:cs="Arial" w:eastAsia="Arial" w:hAnsi="Arial"/>
          <w:sz w:val="16"/>
          <w:szCs w:val="16"/>
          <w:color w:val="auto"/>
        </w:rPr>
        <w:t xml:space="preserve"> is a high performance pick-and-place handler capable of thermally conditioning devices from -60 degrees Celsius to +175 degrees Celsius. It provides increased productivity in several dimensions of performance: high throughput and test parallelism, scalability and active thermal control per test site. With an adjustable test site configuration, customers can reuse existing load-boards, including those made for competitor equipment and gravity handlers. The system also provides flexibility with field upgradeable options including a chamberless tri-temperature test site and auto contactor cleaning.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ind w:right="240"/>
        <w:spacing w:after="0" w:line="31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Delta Pyramid</w:t>
      </w:r>
      <w:r>
        <w:rPr>
          <w:rFonts w:ascii="Arial" w:cs="Arial" w:eastAsia="Arial" w:hAnsi="Arial"/>
          <w:sz w:val="17"/>
          <w:szCs w:val="17"/>
          <w:color w:val="auto"/>
        </w:rPr>
        <w:t xml:space="preserve"> is a high performance thermal handler for microprocessors, graphics processors and other high power integrated circuits. The Pyramid incorporates our proprietary </w:t>
      </w:r>
      <w:r>
        <w:rPr>
          <w:rFonts w:ascii="Arial" w:cs="Arial" w:eastAsia="Arial" w:hAnsi="Arial"/>
          <w:sz w:val="17"/>
          <w:szCs w:val="17"/>
          <w:b w:val="1"/>
          <w:bCs w:val="1"/>
          <w:color w:val="auto"/>
        </w:rPr>
        <w:t>T-Core</w:t>
      </w:r>
      <w:r>
        <w:rPr>
          <w:rFonts w:ascii="Arial" w:cs="Arial" w:eastAsia="Arial" w:hAnsi="Arial"/>
          <w:sz w:val="17"/>
          <w:szCs w:val="17"/>
          <w:color w:val="auto"/>
        </w:rPr>
        <w:t xml:space="preserve"> thermal control technology that optimizes test yield of power dissipative integrated circuits.</w:t>
      </w:r>
    </w:p>
    <w:p>
      <w:pPr>
        <w:spacing w:after="0" w:line="13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Delta Summit</w:t>
      </w:r>
      <w:r>
        <w:rPr>
          <w:rFonts w:ascii="Arial" w:cs="Arial" w:eastAsia="Arial" w:hAnsi="Arial"/>
          <w:sz w:val="18"/>
          <w:szCs w:val="18"/>
          <w:color w:val="auto"/>
        </w:rPr>
        <w:t xml:space="preserve"> series of pick-and-place thermal handlers incorporate our proprietary thermal control technology. The Summit PTC, or Passive Thermal Control, and ATC, or Active Thermal Control, models dissipate the heat generated during test enabling the integrated circuit to be tested successfully at its maximum speed and performance.</w:t>
      </w:r>
    </w:p>
    <w:p>
      <w:pPr>
        <w:spacing w:after="0" w:line="176"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Delta Eclipse </w:t>
      </w:r>
      <w:r>
        <w:rPr>
          <w:rFonts w:ascii="Arial" w:cs="Arial" w:eastAsia="Arial" w:hAnsi="Arial"/>
          <w:sz w:val="18"/>
          <w:szCs w:val="18"/>
          <w:color w:val="auto"/>
        </w:rPr>
        <w:t>is our next generation pick-and-place platform tailored for Fabless and Outsourced Semiconductor Assembly and Test (OSAT) customers,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well as integrated device manufacturers (IDMs). This is a highly configurable platform capable of handling general purpose integrated circuits to advanced computing and mobile processors that require Cohu’s </w:t>
      </w:r>
      <w:r>
        <w:rPr>
          <w:rFonts w:ascii="Arial" w:cs="Arial" w:eastAsia="Arial" w:hAnsi="Arial"/>
          <w:sz w:val="18"/>
          <w:szCs w:val="18"/>
          <w:b w:val="1"/>
          <w:bCs w:val="1"/>
          <w:color w:val="auto"/>
        </w:rPr>
        <w:t>T-Core</w:t>
      </w:r>
      <w:r>
        <w:rPr>
          <w:rFonts w:ascii="Arial" w:cs="Arial" w:eastAsia="Arial" w:hAnsi="Arial"/>
          <w:sz w:val="18"/>
          <w:szCs w:val="18"/>
          <w:color w:val="auto"/>
        </w:rPr>
        <w:t xml:space="preserve"> active thermal control during test.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Delta LinX </w:t>
      </w:r>
      <w:r>
        <w:rPr>
          <w:rFonts w:ascii="Arial" w:cs="Arial" w:eastAsia="Arial" w:hAnsi="Arial"/>
          <w:sz w:val="16"/>
          <w:szCs w:val="16"/>
          <w:color w:val="auto"/>
        </w:rPr>
        <w:t>is our platform serving assembly automation. Back-end semiconductor assembly is the major process step prior to device testing and validation.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LinX product line offers advanced JEDEC handing automation that efficiently links various assembly test processes.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Gravity-Feed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Rasco SO1000</w:t>
      </w:r>
      <w:r>
        <w:rPr>
          <w:rFonts w:ascii="Arial" w:cs="Arial" w:eastAsia="Arial" w:hAnsi="Arial"/>
          <w:sz w:val="18"/>
          <w:szCs w:val="18"/>
          <w:color w:val="auto"/>
        </w:rPr>
        <w:t xml:space="preserve"> is a high throughput gravity-feed platform that provides an economical solution for testing up to 4 devices in parallel. This handler can be configured for tube-to-tube or metal magazine input and output, ambient-hot or tri-temperature testing and is easily kit-able for a wide range of integrated circuit packages.</w:t>
      </w:r>
    </w:p>
    <w:p>
      <w:pPr>
        <w:spacing w:after="0" w:line="18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Rasco SO2000</w:t>
      </w:r>
      <w:r>
        <w:rPr>
          <w:rFonts w:ascii="Arial" w:cs="Arial" w:eastAsia="Arial" w:hAnsi="Arial"/>
          <w:sz w:val="18"/>
          <w:szCs w:val="18"/>
          <w:color w:val="auto"/>
        </w:rPr>
        <w:t xml:space="preserve"> is a modular platform that offers a reliable solution for testing small integrated circuit packages up to 4 devices in parallel. The base platform can be configured with various input and output modules: tube, metal magazine, bowl, bulk, tape and reel, and an optional laser marking unit. This handler can be configured for ambient-hot or tri-temperature testing.</w:t>
      </w:r>
    </w:p>
    <w:p>
      <w:pPr>
        <w:spacing w:after="0" w:line="176"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Rasco Saturn </w:t>
      </w:r>
      <w:r>
        <w:rPr>
          <w:rFonts w:ascii="Arial" w:cs="Arial" w:eastAsia="Arial" w:hAnsi="Arial"/>
          <w:sz w:val="17"/>
          <w:szCs w:val="17"/>
          <w:color w:val="auto"/>
        </w:rPr>
        <w:t>and</w:t>
      </w:r>
      <w:r>
        <w:rPr>
          <w:rFonts w:ascii="Arial" w:cs="Arial" w:eastAsia="Arial" w:hAnsi="Arial"/>
          <w:sz w:val="17"/>
          <w:szCs w:val="17"/>
          <w:b w:val="1"/>
          <w:bCs w:val="1"/>
          <w:color w:val="auto"/>
        </w:rPr>
        <w:t xml:space="preserve"> Jupiter </w:t>
      </w:r>
      <w:r>
        <w:rPr>
          <w:rFonts w:ascii="Arial" w:cs="Arial" w:eastAsia="Arial" w:hAnsi="Arial"/>
          <w:sz w:val="17"/>
          <w:szCs w:val="17"/>
          <w:color w:val="auto"/>
        </w:rPr>
        <w:t>are our next generation gravity handlers delivering a fast index time capability with up to 8 devices tested in parallel at cold and/or</w:t>
      </w:r>
      <w:r>
        <w:rPr>
          <w:rFonts w:ascii="Arial" w:cs="Arial" w:eastAsia="Arial" w:hAnsi="Arial"/>
          <w:sz w:val="17"/>
          <w:szCs w:val="17"/>
          <w:b w:val="1"/>
          <w:bCs w:val="1"/>
          <w:color w:val="auto"/>
        </w:rPr>
        <w:t xml:space="preserve"> </w:t>
      </w:r>
      <w:r>
        <w:rPr>
          <w:rFonts w:ascii="Arial" w:cs="Arial" w:eastAsia="Arial" w:hAnsi="Arial"/>
          <w:sz w:val="17"/>
          <w:szCs w:val="17"/>
          <w:color w:val="auto"/>
        </w:rPr>
        <w:t>hot temperature. Saturn has a configuration that covers testing of very small to medium size packaged integrated circuits, and Jupiter is a version that enables testing of medium to very large packaged integrated circuits typically serving the power management device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Test-in-strip</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Rasco Jaguar</w:t>
      </w:r>
      <w:r>
        <w:rPr>
          <w:rFonts w:ascii="Arial" w:cs="Arial" w:eastAsia="Arial" w:hAnsi="Arial"/>
          <w:sz w:val="18"/>
          <w:szCs w:val="18"/>
          <w:color w:val="auto"/>
        </w:rPr>
        <w:t xml:space="preserve"> test-in-strip handler can process an entire strip at once or index the strip for single/multiple device testing. The system has tri-temperature capability, accommodates either stacked or slotted input/output media and is configured with automated vision alignment. The Jaguar is also a solution for in-process testing of next generation multi-stacked packages.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Turret</w:t>
      </w:r>
    </w:p>
    <w:p>
      <w:pPr>
        <w:spacing w:after="0" w:line="2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b w:val="1"/>
          <w:bCs w:val="1"/>
          <w:color w:val="auto"/>
        </w:rPr>
        <w:t xml:space="preserve">Ismeca NY32 </w:t>
      </w:r>
      <w:r>
        <w:rPr>
          <w:rFonts w:ascii="Arial" w:cs="Arial" w:eastAsia="Arial" w:hAnsi="Arial"/>
          <w:sz w:val="17"/>
          <w:szCs w:val="17"/>
          <w:color w:val="auto"/>
        </w:rPr>
        <w:t>is a scalable, 32-position turret handler used for testing and inspection of integrated circuits, LEDs, and discrete devices. There are many</w:t>
      </w:r>
      <w:r>
        <w:rPr>
          <w:rFonts w:ascii="Arial" w:cs="Arial" w:eastAsia="Arial" w:hAnsi="Arial"/>
          <w:sz w:val="17"/>
          <w:szCs w:val="17"/>
          <w:b w:val="1"/>
          <w:bCs w:val="1"/>
          <w:color w:val="auto"/>
        </w:rPr>
        <w:t xml:space="preserve"> </w:t>
      </w:r>
      <w:r>
        <w:rPr>
          <w:rFonts w:ascii="Arial" w:cs="Arial" w:eastAsia="Arial" w:hAnsi="Arial"/>
          <w:sz w:val="17"/>
          <w:szCs w:val="17"/>
          <w:color w:val="auto"/>
        </w:rPr>
        <w:t>configurations of the NY32 turret handler: handling wafers in film-frame for input and/or output that is common for LEDs and wafer level package (WLP) devices; tray and tube input and/or output used for integrated circuits and discrete devices; and bowl feeding, tape and de-taping, alignment, laser marking, inspection and test modules. The NY32 is capable of testing devices at ambient and hot temperature.</w:t>
      </w:r>
    </w:p>
    <w:p>
      <w:pPr>
        <w:spacing w:after="0" w:line="173"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Ismeca NY20 </w:t>
      </w:r>
      <w:r>
        <w:rPr>
          <w:rFonts w:ascii="Arial" w:cs="Arial" w:eastAsia="Arial" w:hAnsi="Arial"/>
          <w:sz w:val="18"/>
          <w:szCs w:val="18"/>
          <w:color w:val="auto"/>
        </w:rPr>
        <w:t>is a turret handler platform that delivers high throughput combined with fast device change-over time for both high-volume and high-mix</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and inspection of integrated circuits, LEDs and discrete devices. The 20-position turret offers many of the functional modules and capabilities available on the NY32 platform in a smaller footprint, higher throughput handler.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Micro-Electro-Mechanical Systems (“MEMS”)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MEMS test modules generate physical stimuli for testing of sensor integrated circuits. These are typically used in the automotive (e.g. tire pressure, airbag sensors) and consumer electronics (e.g. tilt, motion, microphone and light sensors) industries. The MEMS modules are stand-alone units that can be integrated into our pick-and-place, turret, test-in-strip, or gravity-feed handlers.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 xml:space="preserve">We have adapted our proprietary thermal control technology for use by integrated circuit manufacturers in high performance burn-in and system level test. The </w:t>
      </w:r>
      <w:r>
        <w:rPr>
          <w:rFonts w:ascii="Arial" w:cs="Arial" w:eastAsia="Arial" w:hAnsi="Arial"/>
          <w:sz w:val="17"/>
          <w:szCs w:val="17"/>
          <w:b w:val="1"/>
          <w:bCs w:val="1"/>
          <w:color w:val="auto"/>
        </w:rPr>
        <w:t>Delta T-Core</w:t>
      </w:r>
      <w:r>
        <w:rPr>
          <w:rFonts w:ascii="Arial" w:cs="Arial" w:eastAsia="Arial" w:hAnsi="Arial"/>
          <w:sz w:val="17"/>
          <w:szCs w:val="17"/>
          <w:color w:val="auto"/>
        </w:rPr>
        <w:t xml:space="preserve"> thermal sub-systems provide fast and accurate temperature control of the integrated circuit during the testing process using the same technology available in the Pyramid handler. T-Core is also used in engineering device characterization applications.</w:t>
      </w:r>
    </w:p>
    <w:p>
      <w:pPr>
        <w:spacing w:after="0" w:line="16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Delta Fusion HD </w:t>
      </w:r>
      <w:r>
        <w:rPr>
          <w:rFonts w:ascii="Arial" w:cs="Arial" w:eastAsia="Arial" w:hAnsi="Arial"/>
          <w:sz w:val="18"/>
          <w:szCs w:val="18"/>
          <w:color w:val="auto"/>
        </w:rPr>
        <w:t>is a tri-temperature thermal sub-system that utilizes T-Core technology for testing mobile processors. The Fusion HD thermal sub-system</w:t>
      </w:r>
      <w:r>
        <w:rPr>
          <w:rFonts w:ascii="Arial" w:cs="Arial" w:eastAsia="Arial" w:hAnsi="Arial"/>
          <w:sz w:val="18"/>
          <w:szCs w:val="18"/>
          <w:b w:val="1"/>
          <w:bCs w:val="1"/>
          <w:color w:val="auto"/>
        </w:rPr>
        <w:t xml:space="preserve"> </w:t>
      </w:r>
      <w:r>
        <w:rPr>
          <w:rFonts w:ascii="Arial" w:cs="Arial" w:eastAsia="Arial" w:hAnsi="Arial"/>
          <w:sz w:val="18"/>
          <w:szCs w:val="18"/>
          <w:color w:val="auto"/>
        </w:rPr>
        <w:t>can test greater than 450 devices in parallel while thermally conditioning and accurately controlling each device temperature through stringent, power dissipative test scripts.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Contactors</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design, manufacture, sell and support various lines of test contactor solutions. These are consumable, electro-mechanical assemblies that connect the device under test, inside our test handlers, and the automated test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provide consumable and non-consumable items that are used to maintain, sustain or otherwise enable customer’s equipment to meet its performance, availability and production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23"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We design and manufacture a wide range of device dedication kits that enable handlers to process different semiconductor packages. Our Philippines and China operations design and manufacture the majority of our handler kits and provide applications support to customers in the southeast Asia region.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three years, sales of our products were distributed as follows:</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660" w:type="dxa"/>
            <w:vAlign w:val="bottom"/>
            <w:gridSpan w:val="2"/>
          </w:tcPr>
          <w:p>
            <w:pPr>
              <w:jc w:val="right"/>
              <w:ind w:right="470"/>
              <w:spacing w:after="0"/>
              <w:rPr>
                <w:sz w:val="20"/>
                <w:szCs w:val="20"/>
                <w:color w:val="auto"/>
              </w:rPr>
            </w:pPr>
            <w:r>
              <w:rPr>
                <w:rFonts w:ascii="Arial" w:cs="Arial" w:eastAsia="Arial" w:hAnsi="Arial"/>
                <w:sz w:val="18"/>
                <w:szCs w:val="18"/>
                <w:color w:val="auto"/>
              </w:rPr>
              <w:t>2014</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handler systems</w:t>
            </w:r>
          </w:p>
        </w:tc>
        <w:tc>
          <w:tcPr>
            <w:tcW w:w="14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47%</w:t>
            </w:r>
          </w:p>
        </w:tc>
        <w:tc>
          <w:tcPr>
            <w:tcW w:w="18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47%</w:t>
            </w:r>
          </w:p>
        </w:tc>
        <w:tc>
          <w:tcPr>
            <w:tcW w:w="1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Thermal sub-systems</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66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9%</w:t>
            </w:r>
          </w:p>
        </w:tc>
        <w:tc>
          <w:tcPr>
            <w:tcW w:w="16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8%</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Spares, tooling (kits) and service</w:t>
            </w:r>
          </w:p>
        </w:tc>
        <w:tc>
          <w:tcPr>
            <w:tcW w:w="1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46%</w:t>
            </w:r>
          </w:p>
        </w:tc>
        <w:tc>
          <w:tcPr>
            <w:tcW w:w="166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44%</w:t>
            </w:r>
          </w:p>
        </w:tc>
        <w:tc>
          <w:tcPr>
            <w:tcW w:w="16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52%</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customers include semiconductor integrated device manufacturers and test subcontractors. Repeat sales to existing customers represent a significant portion of our sales. During the last three years, the following customers comprised 10% or greater of our consolidated net sales: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r>
      <w:tr>
        <w:trPr>
          <w:trHeight w:val="231"/>
        </w:trPr>
        <w:tc>
          <w:tcPr>
            <w:tcW w:w="3900" w:type="dxa"/>
            <w:vAlign w:val="bottom"/>
          </w:tcPr>
          <w:p>
            <w:pPr>
              <w:spacing w:after="0" w:line="231" w:lineRule="exact"/>
              <w:rPr>
                <w:sz w:val="20"/>
                <w:szCs w:val="20"/>
                <w:color w:val="auto"/>
              </w:rPr>
            </w:pPr>
            <w:r>
              <w:rPr>
                <w:rFonts w:ascii="Arial" w:cs="Arial" w:eastAsia="Arial" w:hAnsi="Arial"/>
                <w:sz w:val="16"/>
                <w:szCs w:val="16"/>
                <w:color w:val="auto"/>
              </w:rPr>
              <w:t xml:space="preserve">NXP Semiconductors N.V. </w:t>
            </w:r>
            <w:r>
              <w:rPr>
                <w:rFonts w:ascii="Arial" w:cs="Arial" w:eastAsia="Arial" w:hAnsi="Arial"/>
                <w:sz w:val="26"/>
                <w:szCs w:val="26"/>
                <w:color w:val="auto"/>
                <w:vertAlign w:val="superscript"/>
              </w:rPr>
              <w:t>(1)</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5797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720" w:right="2000" w:hanging="388"/>
        <w:spacing w:after="0" w:line="259" w:lineRule="auto"/>
        <w:tabs>
          <w:tab w:leader="none" w:pos="7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merger of NXP Semiconductors N.V. and Freescale Semiconductor, Ltd. was completed on December 7, 2015. Sales to these customers have been combined for all periods presented.</w:t>
      </w:r>
    </w:p>
    <w:p>
      <w:pPr>
        <w:spacing w:after="0" w:line="18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8, “Segment and Geographic Information” in Part IV, Item 15(a)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Our U.S. sales office is located in Poway, California. The Europe sales offices are located in Kolbermoor, Germany and La Chaux-de-Fonds, Switzerland. We operate in Asia with offices in Singapore, Malaysia, Thailand, Philippines, Taiwan, China, and Korea.</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are part of larger corporations that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was $66.5 million at December 26, 2015 and $66.8 million at December 27, 2014.</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resulting in the inability to recognize revenue under accounting requirements. Furthermore, many orders are subject to cancellation or rescheduling by the customer with limited or no penalty. A reduction in backlog during any particular period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principal manufacturing operations are currently located in Poway, California (Delta); Laguna, Philippines (Delta-kits, handler sub-assemblies and contactors); Kolbermoor, Germany (Rasco); Malacca, Malaysia (Delta, Ismeca and Rasco); and Suzhou, China (Ismeca-kits).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technology is protected by various intellectual property laws including patent, license, trademark, copyright and trade secret laws. In addition, we believe that, due to the rapid pace of technological change in the semiconductor equipment industry,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$33.1 million in 2015, $36.0 million in 2014 and $40.5 million in 2013.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11, 2016. Executive Officers serve at the discretion of the Board of Directors, until their successors are appointed.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4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Jeffrey D. Jones</w:t>
            </w:r>
          </w:p>
        </w:tc>
        <w:tc>
          <w:tcPr>
            <w:tcW w:w="9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54</w:t>
            </w:r>
          </w:p>
        </w:tc>
        <w:tc>
          <w:tcPr>
            <w:tcW w:w="3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John H. Allen</w:t>
            </w:r>
          </w:p>
        </w:tc>
        <w:tc>
          <w:tcPr>
            <w:tcW w:w="9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64</w:t>
            </w:r>
          </w:p>
        </w:tc>
        <w:tc>
          <w:tcPr>
            <w:tcW w:w="34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Administration</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Hock W. Chiang</w:t>
            </w:r>
          </w:p>
        </w:tc>
        <w:tc>
          <w:tcPr>
            <w:tcW w:w="9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58</w:t>
            </w:r>
          </w:p>
        </w:tc>
        <w:tc>
          <w:tcPr>
            <w:tcW w:w="34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Vice President Global Sales &amp; Service</w:t>
            </w:r>
          </w:p>
        </w:tc>
      </w:tr>
    </w:tbl>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Mr. Müller joined Delta in 2005 as Director of Engineering. In July 2008, Mr. Müller was promoted to the position of Vice President of the High Speed Handling Group for Delta and in January 2009 he was named Managing Director of Rasco. In January 2011, Mr. Müller was appointed President of Cohu’s Semiconductor Equipment Group. Effective December 28, 2014 Mr. Müller was promoted to President and Chief Executive Officer of Cohu and was appointed to Cohu’s Board of Directors.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Jones joined Delta in 2005 as Vice President Finance. In November 2007, Mr. Jones was named Vice President, Finance and Chief Financial Officer of Cohu. Prior to joining Delta, Mr. Jones, was a consultant from 2004 to 2005 and Vice President and General Manager of the Systems Group at SBS Technologies, Inc., a designer and manufacturer of embedded computer products, from 1998 to 2003.</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Mr. Allen has been employed by Cohu since June 1995. He was Director of Finance until September 1995, became Vice President, Finance in September 1995, and was appointed Chief Financial Officer in October 1995. In November 2007, Mr. Allen was named Vice President, Administration. Prior to joining Cohu, Mr. Allen held various positions with Ernst &amp; Young LLP from 1976 until June 1995 and had been a partner with that firm since 1987.</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Chiang has been employed by Cohu since October 2012 as Vice President, Global Sales &amp; Service for Cohu’s Semiconductor Equipment Group. Prior to joining Cohu, Mr. Chiang served as a Director for AXElite Technology Corporation. Additionally, from 1995 through 2011, Mr. Chiang held a variety of positions at Teradyne, Inc. (“Teradyne”) including Director – Asia SOC Marketing &amp; New Business Development, Managing Director of Teradyne’s Singapore and China operations and Director of Worldwide Field Total Quality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December 26, 2015, we had approximately 1,600 employees. Our employee headcount has fluctuated in the last five years primarily due to the volatile business conditions in the semiconductor equipment industry, the acquisitions of Rasco and Ismeca, and the divestiture of Broadcast Microwave Services and Cohu’s Electronics. Our employees in the United States and most locations in Asia are not covered by collective bargaining agreements, however, certain employees at Rasco’s facility in Kolbermoor, Germany, are represented by a works council, employees at Ismeca’s facility La Chaux-de-Fonds, Switzerland are members of the micro-technology and Swiss watch trade union and certain employees in Ismeca’s China operation belong to local trade unions. We have not experienced any work stoppages and consider our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www.cohu.com/investors/corporategovernance. Information contained on our web site is not deemed part of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69"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b w:val="1"/>
          <w:bCs w:val="1"/>
          <w:i w:val="1"/>
          <w:iCs w:val="1"/>
          <w:color w:val="auto"/>
        </w:rPr>
        <w:t>We are making investments in new products to enter new markets, which may adversely affect our operating results; these investments may not be successful.</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Given the highly competitive and rapidly evolving technology environment in which we operate, we believe it is important to develop new product offerings to meet strategic opportunities as they evolve. This includes developing products that we believe are necessary to meet the future needs of the marketplace. We are currently investing in new product development programs to enable us to compete in the test contactor and wafer level package (WLP) probing markets. We expect to continue to make investments and we may at any time, based on product need or marketplace demand, decide to significantly increase our product development expenditures in these or other products. The cost of investments in new product offerings can have a negative impact on our operating results and there can be no assurance that any new products we develop will be accepted in the marketplace or generate material revenues for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2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184" w:lineRule="exact"/>
        <w:rPr>
          <w:sz w:val="20"/>
          <w:szCs w:val="20"/>
          <w:color w:val="auto"/>
        </w:rPr>
      </w:pPr>
    </w:p>
    <w:p>
      <w:pPr>
        <w:ind w:left="480" w:hanging="242"/>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34" w:lineRule="exact"/>
        <w:rPr>
          <w:rFonts w:ascii="Arial" w:cs="Arial" w:eastAsia="Arial" w:hAnsi="Arial"/>
          <w:sz w:val="17"/>
          <w:szCs w:val="17"/>
          <w:color w:val="auto"/>
        </w:rPr>
      </w:pPr>
    </w:p>
    <w:p>
      <w:pPr>
        <w:ind w:left="480" w:hanging="24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loss of key employees or customers of Cohu or acquired businesses;</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commercialize purchased technology; and</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26, 2015 we had goodwill and net purchased intangible assets balances of $60.3 million and $25.3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are a global corporation with offices and subsidiaries in certain foreign locations to manufacture our products,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190" w:lineRule="exact"/>
        <w:rPr>
          <w:sz w:val="20"/>
          <w:szCs w:val="20"/>
          <w:color w:val="auto"/>
        </w:rPr>
      </w:pPr>
    </w:p>
    <w:p>
      <w:pPr>
        <w:ind w:left="480" w:hanging="24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3" w:lineRule="exact"/>
        <w:rPr>
          <w:rFonts w:ascii="Arial" w:cs="Arial" w:eastAsia="Arial" w:hAnsi="Arial"/>
          <w:sz w:val="18"/>
          <w:szCs w:val="18"/>
          <w:color w:val="auto"/>
        </w:rPr>
      </w:pPr>
    </w:p>
    <w:p>
      <w:pPr>
        <w:ind w:left="480" w:hanging="24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9" w:lineRule="exact"/>
        <w:rPr>
          <w:rFonts w:ascii="Arial" w:cs="Arial" w:eastAsia="Arial" w:hAnsi="Arial"/>
          <w:sz w:val="18"/>
          <w:szCs w:val="18"/>
          <w:color w:val="auto"/>
        </w:rPr>
      </w:pPr>
    </w:p>
    <w:p>
      <w:pPr>
        <w:ind w:left="480" w:hanging="24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 against the U.S. Dollar, which can affect demand for our products and increase our costs.</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6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We are in the process of transitioning our manufacturing to Asia. Our inability to manage multiple manufacturing sites during this transition and to secure raw materials meeting our quality, cost and other requirements, or failures by our suppliers to perform, could harm our sales, service levels and reputation.</w:t>
      </w:r>
    </w:p>
    <w:p>
      <w:pPr>
        <w:spacing w:after="0" w:line="269" w:lineRule="auto"/>
        <w:rPr>
          <w:sz w:val="20"/>
          <w:szCs w:val="20"/>
          <w:color w:val="auto"/>
        </w:rPr>
      </w:pPr>
      <w:r>
        <w:rPr>
          <w:rFonts w:ascii="Arial" w:cs="Arial" w:eastAsia="Arial" w:hAnsi="Arial"/>
          <w:sz w:val="17"/>
          <w:szCs w:val="17"/>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Therefore,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suppliers are subject to the fluctuations in general economic cycles, and the global economic conditions may impact their ability to operate their business. They may also be impacted by the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4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Visibility into our markets is limited. The semiconductor equipment business is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2015, 2014 and 2013, we recorded pre-tax inventory-related charges of approximately $2.4 million, $2.6 million, and $7.1 million, respectively, primarily as a result of changes in customer forecasts.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 w:name="page11"/>
    <w:bookmarkEnd w:id="10"/>
    <w:p>
      <w:pPr>
        <w:ind w:right="60"/>
        <w:spacing w:after="0" w:line="258"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7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26, 2015. Future inventory write-offs and increased inventory reserve requirements could have a material adverse impact on our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 w:name="page12"/>
    <w:bookmarkEnd w:id="11"/>
    <w:p>
      <w:pPr>
        <w:ind w:right="2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1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 small number of customers have been responsible for a significant portion of our net sales.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ind w:right="580"/>
        <w:spacing w:after="0" w:line="258"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A number of factors including the semiconductor industry’s continually changing and unpredictable capacity requirements and changes in integrated circuit design and packaging, result in changes in product demand.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 w:name="page14"/>
    <w:bookmarkEnd w:id="13"/>
    <w:p>
      <w:pPr>
        <w:ind w:right="20"/>
        <w:spacing w:after="0" w:line="25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United States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could affect our profitability.</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in order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6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will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69"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b w:val="1"/>
          <w:bCs w:val="1"/>
          <w:i w:val="1"/>
          <w:iCs w:val="1"/>
          <w:color w:val="auto"/>
        </w:rPr>
        <w:t>The occurrence of natural disasters and geopolitical instability caused by terrorist attacks and other threats may adversely impact our operations and sales.</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Our Corporate headquarters is located in San Diego, California, our Asian sales and service headquarters is located in Singapore and the majority of our sales are made to destinations in Asia. In addition, we have manufacturing plants in the Philippines, Malaysia and China.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cyclical nature of the semiconductor equipment industry;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$13.84 to $8.63.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26, 2015, identified by business segment is set forth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Approximate</w:t>
            </w: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Location</w:t>
            </w:r>
          </w:p>
        </w:tc>
        <w:tc>
          <w:tcPr>
            <w:tcW w:w="3800" w:type="dxa"/>
            <w:vAlign w:val="bottom"/>
            <w:gridSpan w:val="3"/>
          </w:tcPr>
          <w:p>
            <w:pPr>
              <w:jc w:val="center"/>
              <w:ind w:left="10"/>
              <w:spacing w:after="0" w:line="194" w:lineRule="exact"/>
              <w:rPr>
                <w:sz w:val="20"/>
                <w:szCs w:val="20"/>
                <w:color w:val="auto"/>
              </w:rPr>
            </w:pPr>
            <w:r>
              <w:rPr>
                <w:rFonts w:ascii="Arial" w:cs="Arial" w:eastAsia="Arial" w:hAnsi="Arial"/>
                <w:sz w:val="18"/>
                <w:szCs w:val="18"/>
                <w:b w:val="1"/>
                <w:bCs w:val="1"/>
                <w:color w:val="auto"/>
                <w:w w:val="87"/>
              </w:rPr>
              <w:t>Sq. Footage</w:t>
            </w:r>
          </w:p>
        </w:tc>
        <w:tc>
          <w:tcPr>
            <w:tcW w:w="2520" w:type="dxa"/>
            <w:vAlign w:val="bottom"/>
            <w:gridSpan w:val="3"/>
          </w:tcPr>
          <w:p>
            <w:pPr>
              <w:jc w:val="center"/>
              <w:ind w:left="870"/>
              <w:spacing w:after="0" w:line="194" w:lineRule="exact"/>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Poway, California </w:t>
            </w:r>
            <w:r>
              <w:rPr>
                <w:rFonts w:ascii="Arial" w:cs="Arial" w:eastAsia="Arial" w:hAnsi="Arial"/>
                <w:sz w:val="25"/>
                <w:szCs w:val="25"/>
                <w:color w:val="auto"/>
                <w:vertAlign w:val="superscript"/>
              </w:rPr>
              <w:t>(1)</w:t>
            </w:r>
          </w:p>
        </w:tc>
        <w:tc>
          <w:tcPr>
            <w:tcW w:w="2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340,000</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Kolbermoor, Germany</w:t>
            </w: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40,000</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Malacca, Malaysia</w:t>
            </w:r>
          </w:p>
        </w:tc>
        <w:tc>
          <w:tcPr>
            <w:tcW w:w="2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84,000</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Calamba City, Laguna, Philippines</w:t>
            </w: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51,000</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Chaux-de-Fonds, Switzerland</w:t>
            </w:r>
          </w:p>
        </w:tc>
        <w:tc>
          <w:tcPr>
            <w:tcW w:w="2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34,000</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Suzhou, China</w:t>
            </w: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6,000</w:t>
            </w:r>
          </w:p>
        </w:tc>
        <w:tc>
          <w:tcPr>
            <w:tcW w:w="1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hanging="352"/>
        <w:spacing w:after="0" w:line="259"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Cohu Corporate offices. On December 4, 2015, we completed the sale of our headquarters facility located in Poway, California. In December 2016, we will only lease approximately 147,000 square feet of the Poway facility that we anticipate Cohu and our wholly owned subsidiary, Delta Design, Inc. will consolidate into. Additional information related to the sale-leaseback of the Poway facility is included in Note 3, “Sale-leaseback of Poway Facility” in Part IV, Item 15(a)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time-to-time we are involved in various legal proceedings, examinations by various tax authorities and claims that have arisen in the ordinary course of our business.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outcome of any litigation, examinations and claims is inherently uncertain. While there can be no assurance, we do not believe at the present time that the resolution of the matters described above will have a material adverse effect on our assets,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Fiscal 2015</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Fiscal 2014</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400" w:type="dxa"/>
            <w:vAlign w:val="bottom"/>
          </w:tcPr>
          <w:p>
            <w:pPr>
              <w:spacing w:after="0"/>
              <w:rPr>
                <w:sz w:val="18"/>
                <w:szCs w:val="18"/>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Second Quarter</w:t>
            </w:r>
          </w:p>
        </w:tc>
        <w:tc>
          <w:tcPr>
            <w:tcW w:w="17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11.35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Fourth Quarter</w:t>
            </w:r>
          </w:p>
        </w:tc>
        <w:tc>
          <w:tcPr>
            <w:tcW w:w="17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12.46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February 11, 2016, Cohu had 461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paid consecutive quarterly dividends since 1977 and, as discussed below, expect to continue doing so. Cash dividends, per share, declared in 2015 and 2014 were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Fiscal 2015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Fiscal 2014</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0.06</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Second Quarter</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0.06</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0.06</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Fourth Quarter</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0.06</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26, 2015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to be issued upon</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exercise of</w:t>
            </w:r>
          </w:p>
        </w:tc>
        <w:tc>
          <w:tcPr>
            <w:tcW w:w="2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Weighted average</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exercise price of</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options, warrants</w:t>
            </w:r>
          </w:p>
        </w:tc>
        <w:tc>
          <w:tcPr>
            <w:tcW w:w="2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w w:val="96"/>
              </w:rPr>
              <w:t>outstanding options,</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and</w:t>
            </w:r>
          </w:p>
        </w:tc>
        <w:tc>
          <w:tcPr>
            <w:tcW w:w="2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warrants and rights</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reflected in column</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1500" w:type="dxa"/>
            <w:vAlign w:val="bottom"/>
          </w:tcPr>
          <w:p>
            <w:pPr>
              <w:spacing w:after="0"/>
              <w:rPr>
                <w:sz w:val="20"/>
                <w:szCs w:val="20"/>
                <w:color w:val="auto"/>
              </w:rPr>
            </w:pPr>
            <w:r>
              <w:rPr>
                <w:rFonts w:ascii="Arial" w:cs="Arial" w:eastAsia="Arial" w:hAnsi="Arial"/>
                <w:sz w:val="18"/>
                <w:szCs w:val="18"/>
                <w:color w:val="auto"/>
              </w:rPr>
              <w:t>rights (a) (1)</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(b) (2)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(a))(c) (3)</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2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3,419</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1920" w:type="dxa"/>
            <w:vAlign w:val="bottom"/>
            <w:gridSpan w:val="3"/>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61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36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No stock warrants or other rights were outstanding as of December 26, 2015.</w:t>
      </w:r>
    </w:p>
    <w:p>
      <w:pPr>
        <w:spacing w:after="0" w:line="170"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a de minimus purchase price.</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811,063 shares of common stock reserved for future issuance under the Cohu 1997 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regarding Cohu’s equity compensation plans, see Note 6, “Employee Benefit Plans”, included in Part IV, Item 15(a) of this Form 10-K.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883"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graph below compares the cumulative total stockholder return on the common stock of Cohu for the last five fiscal years with the cumulative total return on a custom Peer Group Index and a NASDAQ Market Index over the same period (assuming the investment of $100 in Cohu’s common stock, Peer Group Index and NASDAQ Market Index on December 25, 2010 and reinvestment of all dividends). The custom Peer Group Index is comprised of the peer group companies associated with our performance stock units issued under our equity incentive plan. In 2015 the custom Peer Group Index was comprised of Advanced Energy Industries Inc., Advantest Corp, ASM Pacific Technology Ltd, Axcelis Technologies Inc., BE Semiconductor Industries NV, Brooks Automation Inc., Cabot Microelectronics Corp, Camtek Ltd, Cascade Microtech Inc., Electro Scientific Industries Inc., FormFactor Inc., Kulicke and Soffa Industries Inc., Mattson Technology Inc., MKS Instruments Inc., Nanometrics Inc., Newport Corp, Photronics Inc., Rudolph Technologies Inc., Teradyne Inc., Tessera Technologies Inc., Ultra Clean Holdings Inc., Ultratech Inc. and Xcerra Corp.</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Among Cohu Inc., the NASDAQ Composite Index,</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a Custom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177165</wp:posOffset>
            </wp:positionV>
            <wp:extent cx="3696335" cy="2358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9633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Cohu, Inc.</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NASDAQ Index</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Custom Peer Group</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92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r>
      <w:tr>
        <w:trPr>
          <w:trHeight w:val="675"/>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3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June 2015, we sold our mobile microwave communications equipment business and in June 2014, we sold our video camera business. The operating results of these businesses are being presented as discontinued operations for all periods presented. Additional information related to the sale of these businesses is included in Note 2, “Discontinued Operations” in Part IV, Item 15(a) of this Form 10-K. On December 31, 2012, we purchased Ismeca Semiconductor Holding SA (“Ismeca”) and the results of its operations have been included in our consolidated financial statements since that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Years Ended,</w:t>
            </w:r>
          </w:p>
        </w:tc>
        <w:tc>
          <w:tcPr>
            <w:tcW w:w="20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Dec. 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Dec. 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Dec. 28</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Dec.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Dec. 31</w:t>
            </w:r>
          </w:p>
        </w:tc>
      </w:tr>
      <w:tr>
        <w:trPr>
          <w:trHeight w:val="254"/>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line="253" w:lineRule="exact"/>
              <w:rPr>
                <w:sz w:val="20"/>
                <w:szCs w:val="20"/>
                <w:color w:val="auto"/>
              </w:rPr>
            </w:pPr>
            <w:r>
              <w:rPr>
                <w:rFonts w:ascii="Arial" w:cs="Arial" w:eastAsia="Arial" w:hAnsi="Arial"/>
                <w:sz w:val="18"/>
                <w:szCs w:val="18"/>
                <w:color w:val="auto"/>
                <w:w w:val="96"/>
              </w:rPr>
              <w:t xml:space="preserve">2015 </w:t>
            </w:r>
            <w:r>
              <w:rPr>
                <w:rFonts w:ascii="Arial" w:cs="Arial" w:eastAsia="Arial" w:hAnsi="Arial"/>
                <w:sz w:val="29"/>
                <w:szCs w:val="29"/>
                <w:color w:val="auto"/>
                <w:w w:val="96"/>
                <w:vertAlign w:val="superscript"/>
              </w:rPr>
              <w:t>(1)</w:t>
            </w: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00"/>
              <w:spacing w:after="0" w:line="253" w:lineRule="exact"/>
              <w:rPr>
                <w:sz w:val="20"/>
                <w:szCs w:val="20"/>
                <w:color w:val="auto"/>
              </w:rPr>
            </w:pPr>
            <w:r>
              <w:rPr>
                <w:rFonts w:ascii="Arial" w:cs="Arial" w:eastAsia="Arial" w:hAnsi="Arial"/>
                <w:sz w:val="18"/>
                <w:szCs w:val="18"/>
                <w:color w:val="auto"/>
              </w:rPr>
              <w:t xml:space="preserve">2011 </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269,654</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316,629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214,511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179,449</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260,648</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Income (loss) from continuing operations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5,792</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(28,548)</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(11,255)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13,629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680" w:type="dxa"/>
            <w:vAlign w:val="bottom"/>
          </w:tcPr>
          <w:p>
            <w:pPr>
              <w:ind w:left="160"/>
              <w:spacing w:after="0" w:line="196" w:lineRule="exact"/>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250</w:t>
            </w:r>
          </w:p>
        </w:tc>
        <w:tc>
          <w:tcPr>
            <w:tcW w:w="44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8,708</w:t>
            </w: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(33,418)</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(12,243)</w:t>
            </w:r>
          </w:p>
        </w:tc>
        <w:tc>
          <w:tcPr>
            <w:tcW w:w="26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15,719</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Income (loss) from continuing operations - basic</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ind w:left="160"/>
              <w:spacing w:after="0" w:line="196" w:lineRule="exact"/>
              <w:rPr>
                <w:sz w:val="20"/>
                <w:szCs w:val="20"/>
                <w:color w:val="auto"/>
              </w:rPr>
            </w:pPr>
            <w:r>
              <w:rPr>
                <w:rFonts w:ascii="Arial" w:cs="Arial" w:eastAsia="Arial" w:hAnsi="Arial"/>
                <w:sz w:val="18"/>
                <w:szCs w:val="18"/>
                <w:color w:val="auto"/>
              </w:rPr>
              <w:t>Income (loss) from continuing operations - diluted</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0.22</w:t>
            </w:r>
          </w:p>
        </w:tc>
        <w:tc>
          <w:tcPr>
            <w:tcW w:w="44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0.57</w:t>
            </w: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(1.15)</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0.56</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(loss) - basic</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ind w:left="160"/>
              <w:spacing w:after="0" w:line="196" w:lineRule="exact"/>
              <w:rPr>
                <w:sz w:val="20"/>
                <w:szCs w:val="20"/>
                <w:color w:val="auto"/>
              </w:rPr>
            </w:pPr>
            <w:r>
              <w:rPr>
                <w:rFonts w:ascii="Arial" w:cs="Arial" w:eastAsia="Arial" w:hAnsi="Arial"/>
                <w:sz w:val="18"/>
                <w:szCs w:val="18"/>
                <w:color w:val="auto"/>
              </w:rPr>
              <w:t>Net income (loss) - diluted</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0.33</w:t>
            </w:r>
          </w:p>
        </w:tc>
        <w:tc>
          <w:tcPr>
            <w:tcW w:w="30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(1.34)</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(0.50)</w:t>
            </w:r>
          </w:p>
        </w:tc>
        <w:tc>
          <w:tcPr>
            <w:tcW w:w="260" w:type="dxa"/>
            <w:vAlign w:val="bottom"/>
            <w:gridSpan w:val="2"/>
          </w:tcPr>
          <w:p>
            <w:pPr>
              <w:jc w:val="right"/>
              <w:ind w:right="25"/>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0.64</w:t>
            </w:r>
          </w:p>
        </w:tc>
      </w:tr>
      <w:tr>
        <w:trPr>
          <w:trHeight w:val="20"/>
        </w:trPr>
        <w:tc>
          <w:tcPr>
            <w:tcW w:w="47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per share, paid quarterly</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line="196" w:lineRule="exact"/>
              <w:rPr>
                <w:sz w:val="20"/>
                <w:szCs w:val="20"/>
                <w:color w:val="auto"/>
              </w:rPr>
            </w:pPr>
            <w:r>
              <w:rPr>
                <w:rFonts w:ascii="Arial" w:cs="Arial" w:eastAsia="Arial" w:hAnsi="Arial"/>
                <w:sz w:val="18"/>
                <w:szCs w:val="18"/>
                <w:color w:val="auto"/>
              </w:rPr>
              <w:t>Consolidated Balance Sheet Data:</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Total Consolidated Assets </w:t>
            </w:r>
            <w:r>
              <w:rPr>
                <w:rFonts w:ascii="Arial" w:cs="Arial" w:eastAsia="Arial" w:hAnsi="Arial"/>
                <w:sz w:val="25"/>
                <w:szCs w:val="25"/>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345,346</w:t>
            </w: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344,765</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345,423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334,873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361,608</w:t>
            </w:r>
          </w:p>
        </w:tc>
      </w:tr>
      <w:tr>
        <w:trPr>
          <w:trHeight w:val="390"/>
        </w:trPr>
        <w:tc>
          <w:tcPr>
            <w:tcW w:w="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30"/>
                <w:szCs w:val="30"/>
                <w:color w:val="auto"/>
                <w:vertAlign w:val="superscript"/>
              </w:rPr>
              <w:t>(3)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171,272</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142,194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125,837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184,703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 ended December 26, 2015 includes a gain on the sale of facility totaling $3.2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 ended December 31, 2011 consists of 53 weeks. All other years are comprised of 52 weeks.</w:t>
      </w:r>
    </w:p>
    <w:p>
      <w:pPr>
        <w:spacing w:after="0" w:line="225"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for 2014 and 2015 are impacted by reclassifications of deferred income taxes. See Note 1, “Summary of Significant Accounting Policies” in Part IV, Item 15(a)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Cohu is a leading supplier of semiconductor test and inspection handlers, micro-electro mechanical system (MEMS) test modules, test contactors and thermal sub-systems used by global semiconductor manufacturers and test subcontractors. Our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has traditionally fluctuated.</w:t>
      </w:r>
    </w:p>
    <w:p>
      <w:pPr>
        <w:spacing w:after="0" w:line="17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Orders for semiconductor test and assembly equipment as reported by Semiconductor Equipment and Materials International (SEMI) reached a plateau in April 2015 and the global demand for back-end equipment was down each month sequentially, until rebounding in November and December. We monitor back-end equipment utilization on our customers’ test floors. While current back-end equipment utilization is below the level that typically triggers capacity additions we are encouraged by what we consider to be relatively high levels of utilization at our integrated device manufacturer (IDM) customers. We believe some customers are being cautious due to macro-economic environment uncertainty in Europe and China, which impacts consumer confidence and spending. Despite the near term market softness, we remain optimistic about the long-term prospects for the semiconductor equipment industry due to the increasing technological functionality of mobile devices, growing integrated circuit content in automotive, consumer and industrial applications, and the projected adoption of high brightness LEDs in general lighting. We are focused on growing our market share in the mobility, automotive and solid state markets and expanding into the test contacting and wafer level package test markets.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82"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23" w:lineRule="exact"/>
        <w:rPr>
          <w:rFonts w:ascii="Arial" w:cs="Arial" w:eastAsia="Arial" w:hAnsi="Arial"/>
          <w:sz w:val="18"/>
          <w:szCs w:val="18"/>
          <w:color w:val="auto"/>
        </w:rPr>
      </w:pPr>
    </w:p>
    <w:p>
      <w:pPr>
        <w:ind w:left="500" w:right="60" w:hanging="330"/>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ind w:left="500" w:right="280" w:hanging="330"/>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ind w:left="500" w:right="80" w:hanging="330"/>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ind w:left="500" w:right="180" w:hanging="330"/>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8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generally recognize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In certain instances, customer payment terms may provide that a minority portion (e.g. up to 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 On shipments where sales are not recognized, gross profit is generally recorded as deferred profit in our consolidated balance sheet, representing the difference between the receivable recorded and the inventory shipped.</w:t>
      </w:r>
    </w:p>
    <w:p>
      <w:pPr>
        <w:spacing w:after="0" w:line="1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estimate our liability for income taxes based on the various jurisdictions where we conduct business. This requires us to estimate our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26, 2015 was approximately $45.4 million, with a valuation allowance of approximately $42.3 million. Our deferred tax assets consist primarily of reserves and accruals that are not yet deductible for tax and tax credit and net operating loss carry-forwards.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 We applied the provisions of Accounting Standards Codification (“ASC”) Topic 280,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color w:val="auto"/>
        </w:rPr>
        <w:t>, (“ASC 280”), which sets</w:t>
      </w:r>
      <w:r>
        <w:rPr>
          <w:rFonts w:ascii="Arial" w:cs="Arial" w:eastAsia="Arial" w:hAnsi="Arial"/>
          <w:sz w:val="18"/>
          <w:szCs w:val="18"/>
          <w:b w:val="1"/>
          <w:bCs w:val="1"/>
          <w:color w:val="auto"/>
        </w:rPr>
        <w:t xml:space="preserve"> </w:t>
      </w:r>
      <w:r>
        <w:rPr>
          <w:rFonts w:ascii="Arial" w:cs="Arial" w:eastAsia="Arial" w:hAnsi="Arial"/>
          <w:sz w:val="18"/>
          <w:szCs w:val="18"/>
          <w:color w:val="auto"/>
        </w:rPr>
        <w:t>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similarities in their customers, their economic characteristics, and the nature of products and services provided. As a result, we report in one segment, semiconductor equipment.</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Goodwill, Purchased Intangible Assets and Other Long-lived Assets: </w:t>
      </w:r>
      <w:r>
        <w:rPr>
          <w:rFonts w:ascii="Arial" w:cs="Arial" w:eastAsia="Arial" w:hAnsi="Arial"/>
          <w:sz w:val="16"/>
          <w:szCs w:val="16"/>
          <w:color w:val="auto"/>
        </w:rPr>
        <w:t>We evaluate goodwill for impairment annually on October 1st of each year and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event occurs or circumstances change that indicate that the carrying value may not be recoverable. As a part of our annual assessment process for 2015 we performed a qualitative assessment to determine whether current events or changes in circumstances lead us to a determination that it is more likely than not (defined as a likelihood of more than 50 percent) that the fair value of our reporting unit is less than its carrying amount. Under this approach, absent a qualitative determination that the fair value of our reporting unit is more likely than not to be less than its carrying value, we do not need to proceed to the traditional estimated fair value test for that asset, which would involve comparing the book value of net assets to the fair value of our identified reporting unit.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2015, the results of our qualitative assessment indicated there was no impairment.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assets carrying amount and estimated fair value.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which require us to assess the likelihood that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For a description of accounting changes and recent accounting pronouncements, including the expected dates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estimated effects, if any, on our consolidated financial statements, see Note 1, "Recent Accounting Pronouncements" in Part IV, Item 15(a) of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June 2015, we sold our mobile microwave communications equipment business and in June 2014, we sold our video camera business. The operating results of these businesses are being presented as discontinued operations and all prior period amounts have been reclassified. Unless otherwise indicated the discussion below covers the comparative results from continuing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certain operating data as a percentage of net sales: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02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4"/>
                <w:szCs w:val="24"/>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4"/>
                <w:szCs w:val="2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51764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p>
      <w:pPr>
        <w:spacing w:after="0"/>
        <w:rPr>
          <w:sz w:val="20"/>
          <w:szCs w:val="20"/>
          <w:color w:val="auto"/>
        </w:rPr>
      </w:pPr>
      <w:r>
        <w:rPr>
          <w:rFonts w:ascii="Arial" w:cs="Arial" w:eastAsia="Arial" w:hAnsi="Arial"/>
          <w:sz w:val="18"/>
          <w:szCs w:val="18"/>
          <w:color w:val="auto"/>
        </w:rPr>
        <w:t>Gross margin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 on sale of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Compared to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7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33.0</w:t>
            </w:r>
          </w:p>
        </w:tc>
        <w:tc>
          <w:tcPr>
            <w:tcW w:w="17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33.5</w:t>
            </w:r>
          </w:p>
        </w:tc>
        <w:tc>
          <w:tcPr>
            <w:tcW w:w="17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26.8</w:t>
            </w:r>
          </w:p>
        </w:tc>
      </w:tr>
      <w:tr>
        <w:trPr>
          <w:trHeight w:val="216"/>
        </w:trPr>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r>
      <w:tr>
        <w:trPr>
          <w:trHeight w:val="216"/>
        </w:trPr>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-445135</wp:posOffset>
            </wp:positionV>
            <wp:extent cx="65176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-162560</wp:posOffset>
            </wp:positionV>
            <wp:extent cx="651764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1094" w:lineRule="exact"/>
        <w:rPr>
          <w:sz w:val="20"/>
          <w:szCs w:val="20"/>
          <w:color w:val="auto"/>
        </w:rPr>
      </w:pPr>
    </w:p>
    <w:p>
      <w:pPr>
        <w:sectPr>
          <w:pgSz w:w="11900" w:h="16838" w:orient="portrait"/>
          <w:cols w:equalWidth="0" w:num="2">
            <w:col w:w="4300" w:space="720"/>
            <w:col w:w="6320"/>
          </w:cols>
          <w:pgMar w:left="240" w:top="611" w:right="319" w:bottom="1440" w:gutter="0" w:footer="0" w:header="0"/>
          <w:type w:val="continuous"/>
        </w:sectPr>
      </w:pPr>
    </w:p>
    <w:p>
      <w:pPr>
        <w:spacing w:after="0" w:line="2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Cohu’s consolidated net sales decreased 14.8% from $316.6 million in 2014 to $269.7 million in 2015 as a result of decreased business volume. Global demand for back-end semiconductor test and assembly equipment is highly cyclical and 2015 customer demand was down from the previous year and consistent with the broader market, our sales were lower year-over-year.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margin consists of net sales less cost of sales. Cost of sales consists primarily of the materials, assembly and test labor and overhead from operations. Our gross margin can fluctuate due to a number of factors, including, but not limited to, the mix of products sold, product support costs, increase to inventory reserves or the sale of previously reserved inventory and utilization of manufacturing capacity. Our gross margin, as a percentage of net sales, decreased to 33.0% in 2015 from 33.5% in 2014.</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compute the majority of our excess and obsolete inventory reserve requirements using a one-year inventory usage forecast. During 2015 and 2014, we recorded net charges to cost of sales of approximately $2.4 million and $2.6 million, respectively, for excess and obsolete inventory. While we believe our reserves for excess and obsolete inventory and lower of cost or market concerns are adequate to cover known exposures at December 26, 2015,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2015 was $33.1 million, or 12.3% of net sales, decreasing from $36.0 million, or 11.4% of net sales in 2014. The reduction in 2015 was a result of the completion of certain development programs, as planned, and headcount reductions.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as a percentage of net sales increased to 19.0% in 2015, from 16.0% in 2014, increasing from $50.6 million in 2014 to $51.2 million in 2015. We have benefitted from the strengthening of the U.S. Dollar, which resulted in the recognition of $1.4 million and</w:t>
      </w:r>
    </w:p>
    <w:p>
      <w:pPr>
        <w:ind w:right="140"/>
        <w:spacing w:after="0" w:line="273" w:lineRule="auto"/>
        <w:rPr>
          <w:sz w:val="20"/>
          <w:szCs w:val="20"/>
          <w:color w:val="auto"/>
        </w:rPr>
      </w:pPr>
      <w:r>
        <w:rPr>
          <w:rFonts w:ascii="Arial" w:cs="Arial" w:eastAsia="Arial" w:hAnsi="Arial"/>
          <w:sz w:val="17"/>
          <w:szCs w:val="17"/>
          <w:color w:val="auto"/>
        </w:rPr>
        <w:t>$2.0 million in foreign currency gains in 2015 and 2014 respectively. We incurred $1.0 million and $1.4 million of costs in connection with transitioning our manufacturing to Asia and employee severance, in 2015 and 2014, respectively. In 2015 we recognized an additional $1.1 million of employee share based compensation expense. This amount was driven primarily by the number of employee stock options and restricted and performance share awards subject to vesting during the period and the corresponding valuation that was established on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Facility</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On December 4, 2015, we completed the sale of our headquarters facility located in Poway, California for $34.1 million. After payment of commissions and other fees associated with the sale we realized net cash proceeds of $33.3 million, which resulted in a total gain of $18.5 million. We accounted for this transaction in accordance with ASC subtopic 840-40, </w:t>
      </w:r>
      <w:r>
        <w:rPr>
          <w:rFonts w:ascii="Arial" w:cs="Arial" w:eastAsia="Arial" w:hAnsi="Arial"/>
          <w:sz w:val="17"/>
          <w:szCs w:val="17"/>
          <w:i w:val="1"/>
          <w:iCs w:val="1"/>
          <w:color w:val="auto"/>
        </w:rPr>
        <w:t>Sale-leaseback transactions</w:t>
      </w:r>
      <w:r>
        <w:rPr>
          <w:rFonts w:ascii="Arial" w:cs="Arial" w:eastAsia="Arial" w:hAnsi="Arial"/>
          <w:sz w:val="17"/>
          <w:szCs w:val="17"/>
          <w:color w:val="auto"/>
        </w:rPr>
        <w:t>, and recognized a gain on the completion of the sale totaling $3.2 million. The portion of the gain not recognized at the time the sale was completed has been deferred and will be recognized on a straight-line basis over the 10-year term of the lease in line with the recognition of rental expense related to the 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income tax provision expressed as a percentage of pre-tax income in 2015 and 2014 was 27.6% and 23.9%, respectively. The income tax provision for the years ended December 26, 2015 and December 27, 2014 differs from the U.S. federal statutory rate primarily due to tax credits, changes in the valuation allowance on our deferred tax assets, foreign income taxed at different rates and other factors.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2015.</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of approximately $27.3 million at the end of 2015, and our U.S. loss in 2015, we were unable to conclude at December 26, 2015 that it was “more likely than not” that our U.S. DTAs would be realized. We will evaluate the realizability of our DTAs at the end of each quarterly reporting period in 2016 and should circumstances change it is possible the remaining valuation allowance, or a portion thereof, will be reversed in a future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ind w:right="180"/>
        <w:spacing w:after="0" w:line="264" w:lineRule="auto"/>
        <w:rPr>
          <w:sz w:val="20"/>
          <w:szCs w:val="20"/>
          <w:color w:val="auto"/>
        </w:rPr>
      </w:pPr>
      <w:r>
        <w:rPr>
          <w:rFonts w:ascii="Arial" w:cs="Arial" w:eastAsia="Arial" w:hAnsi="Arial"/>
          <w:sz w:val="18"/>
          <w:szCs w:val="18"/>
          <w:color w:val="auto"/>
        </w:rPr>
        <w:t>Our valuation allowance on our DTAs at December 26, 2015 and December 27, 2014 was approximately $42.3 million and $37.0 million, respectively. The remaining gross DTAs for which a valuation allowance was not recorded are realizable primarily through future reversals of existing taxable temporary differences.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7, “Income Taxes”, included in Part IV, Item 15(a) of this Form 10-K,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$5.8 million in 2015, compared to $14.8 million in 2014. Including the results of our discontinued operations, our net income in 2015 was $0.3 million as compared to $8.7 million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Compared to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Cohu’s consolidated net sales increased 47.6% from $214.5 million in 2013 to $316.6 million in 2014. Our sales in 2014 benefitted from a ramp in customer demand and spending on test equipment which resulted in increased shipments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gross margin, as a percentage of net sales, increased to 33.5% in 2014 from 26.8% in 2013. Improvement in our gross margin, resulted from better operating leverage as a result of increased business volume, the transition of our supply chain and manufacturing activities to Asia, favorable product mix and lower charges to cost of sales related to excess, obsolete and lower of cost or market inventory adjustments. During 2014 and 2013, we recorded net charges to cost of sales of approximately $2.6 million and $7.1 million, respectively, for excess and obsolete inventory. Additionally, 2013 gross margin was negatively impacted by $1.0 million of inventory step-up costs recorded during the year and a one-time impact that resulted from Ismeca’s adoption of Cohu’s revenue recognition policy subsequent to our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R&amp;D expense in 2014 was $36.0 million or 11.4% of net sales decreasing from $40.5 million or 18.9% of net sales, in 2013. The decrease in 2014 expense was a result of product development programs that had concluded or were nearing completion as planned and headcount reductions.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 as a percentage of net sales decreased to 16.0% in 2014, from 22.3% in 2013, increasing in absolute dollars from $47.9 million in 2013 to $50.6 million in 2014. The increase in 2014 resulted from increased business volume and a $0.9 million increase in employee share based compensation expense. SG&amp;A expense benefitted from the strengthening of the U.S. Dollar in 2014 and, as a result, we recorded $2.0 million in foreign currency gains. The impact of foreign currency gains and losses recorded in 2013 was not significant. We incurred $1.4 million and $1.7 million of manufacturing transition and employee severance costs in 2014 and 2013, respectively. SG&amp;A expense in 2013 also included $0.4 million of acquisition related costs incurred in connection with completing the purchase of Ismeca.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income tax provision expressed as a percentage of pre-tax income in 2014 was 23.9% and income tax benefit expressed as a percentage of pre-tax loss in 2013 was 7.7%. The income tax provision and benefit for the years ended December 27, 2014 and December 28, 2013 differs from the U.S. federal statutory rate primarily due to tax credits, changes in the valuation allowance on our deferred tax assets, foreign income taxed at different rates, and other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Continuing Operations and Net Income (loss)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a result of the factors set forth above, our income from continuing operations was $14.8 million in 2014, compared to a loss of $28.5 million in 2013. Including the results of our discontinued microwave equipment and video camera segments, our net income in 2014 was $8.7 million as compared to a net loss of $33.4 million in 2013.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18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primary historical source of liquidity and capital resources has been cash flow generated by our operations and we manage our business to maximize operating cash flows as our primary source of liquidity. We use cash to fund growth in our operating assets and to fund new products and product enhancements primarily through research and development. 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on terms favorable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26, 2015 and December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Percentage</w:t>
            </w: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8"/>
              </w:rPr>
              <w:t>Increase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117,022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72,040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44,982</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Working capital</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171,272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142,194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29,078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As of December 26, 2015, $68.0 million of our cash and cash equivalents was held by our foreign subsidiaries. If these funds are needed for our operations in the U.S., we may be required to accrue and pay U.S. taxes or foreign withholding taxes if we repatriate these funds. Our intent is to indefinitely reinvest these funds in our foreign operations and we have no current plans that would require us to repatriate these funds to the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generated from operating activities consists of net income or loss adjusted for non-cash expenses and changes in operating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Adjustments include the gain recognized on the sale of our facility, the loss from our divestiture of BMS, depreciation expense on property, plant and equipment, share-based compensation expense, amortization of intangible assets and deferred income taxes. Our net cash flows provided by operating activities in 2015 totaled $21.5 million compared to $19.7 million in 2014. Cash provided by operating activities also was impacted by changes in current assets and liabilities which, excluding the impact of the sale of BMS, included decreases in accounts receivable of $9.0 million; accrued compensation, warranty and other liabilities of $3.7 million and deferred profit of $3.1 million and increase in inventories of $5.7 million. The reduction in accounts receivables, accrued compensation, warranty and other liabilities resulted from lower business volume and a resulting decrease in incentive compensation accruals and the timing of cash payments made to our employees. Deferred profit decreased as a result of the recognition of previously deferred revenue of equipment shipments made in accordance with our revenue recognition policy. Material purchases made to fulfill orders for equipment to be delivered in 2016 led to an increase in our inventory balances.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Investing cash flows consist primarily of cash used for capital expenditures in support of our business, purchases of investments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acquisitions and proceeds from investment maturities, asset disposals and business divestitures. Our net cash provided by investing activities in 2015 totaled $31.0 million and was primarily the result of the sale-leaseback of our Poway facility, which provided us with $33.3 million, and the sale of BMS for $4.9 million. The sale-leaseback of our Poway facility allows us to reduce the utilized space to better fit our current needs, as we have transitioned a significant portion of our manufacturing activities to Asia. The decision to sell BMS resulted from the determination that this industry segment was not a strategic fit within our organization. Additions to property, plant and equipment in 2015, were $6.6 million and were made to support our operating and development activities.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5" w:name="page26"/>
    <w:bookmarkEnd w:id="25"/>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used in financing activities consisted of amounts distributed to our stockholders in the form of cash dividends. During 2015,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dividends totaling $6.2 million, or $0.24 per common share. On February 11, 2016 we announced a cash dividend of $0.06 per share on our common stock, payable on, April 15, 2016 to stockholders of record as of March 1, 2016. We intend to continue to pay quarterly dividends subject to capital availability and periodic determinations by our Board of Directors that cash dividends are in the best interests of our stockholders. Partially offsetting cash used in the payment of dividends were the net proceeds from the issuance of common stock under our equity incentive and employee stock purchase plans, which totaled $1.2 million during 2015. We issue stock options and maintain an employee stock purchase plan as components of our overall employee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26, 2015, we had approximately $0.2 million of standby letters of credit outstanding. Our wholly owned subsidiary Ismeca Semiconductor Holdings SA (“Ismeca”) has agreements with Credit Suisse and UBS (the “Ismeca Facility”) under which they administer lines of credit on behalf of Ismeca. Total borrowings available under the Ismeca Facility are 2.5 million Swiss Francs and at December 26, 2015 no amounts were outstanding.</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table summarizes our significant contractual obligations at December 26, 2015, and the effect such obligations are expected to have on our liquidity and cash flows in future periods. This table excludes amounts already recorded on our balance sheet as current liabilities at December 26, 2015. Amounts excluded include our liability for unrecognized tax benefits that totaled approximately $10.4 million at December 26, 2015. We are currently unable to provide a reasonably reliable estimate of the amount or period(s) the cash settlement of this liability may occur.</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Thereafter</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3"/>
              </w:rPr>
              <w:t>Non-cancelable operating leases</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25,414</w:t>
            </w: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10, “Guarantees” in Part IV, Item 15(a) of this Form 10-K.</w:t>
      </w:r>
    </w:p>
    <w:p>
      <w:pPr>
        <w:spacing w:after="0" w:line="18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 to time, we enter into commitments with our vendors and outsourcing partners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26, 2015, the maximum potential amount of future payments that we could be required to make under these standby letters of credit was approximately $0.2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December 26, 2015, our investment portfolio included short-term, fixed-income investment securities with a fair value of approximately $1.7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6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26, 2015, we had no investments with loss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and Philippine Peso. These fluctuations can impact our reported earnings.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expenses accounts are translated at an average exchange rate during the year which approximates the rates in effect at the transaction dates. The resulting translation adjustments are recorded in stockholders’ equity as a component of accumulated other comprehensive income. The U.S. dollar strengthened relative to many foreign currencies as of December 26, 2015 compared to December 27, 2014 and consequently, our stockholders’ equity decreased by $11.0 million as a result of the foreign currency translation.</w:t>
      </w:r>
    </w:p>
    <w:p>
      <w:pPr>
        <w:spacing w:after="0" w:line="19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Based upon the current levels of net foreign assets, a hypothetical 10% devaluation of the U.S. dollar as compared to these currencies as of December 26, 2015 would result in an approximate $16.9 million positive translation adjustment recorded in other comprehensive income within stockholders’ equity. Conversely, a hypothetical 10% appreciation of the U.S. dollar as compared to these currencies as of December 26, 2015 would result in an approximate $16.9 million negative translation adjustment recorded in other comprehensive income within stockholders’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26, 2015, the end of the period covered by this annual report.</w:t>
      </w:r>
    </w:p>
    <w:p>
      <w:pPr>
        <w:spacing w:after="0" w:line="184"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Management’s Annual Report on Internal Control Over Financial Reporting -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(2013 framework).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26, 2015.</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26, 2015, as stated in their report which is included herein.</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audited Cohu, Inc.’s internal control over financial reporting as of December 26, 2015, based on criteria established in Internal Control—Integrated Framework issued by the Committee of Sponsoring Organizations of the Treadway Commission (2013 framework)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26, 2015, based on the COSO criteria.</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Cohu, Inc. as of December 26, 2015 and December 27, 2014, and the related consolidated statements of operations, comprehensive loss, stockholders’ equity, and cash flows for each of the three years in the period ended December 26, 2015 of Cohu, Inc. and our report dated February 23, 2016 expressed an unqualified opinion thereon.</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ind w:right="120"/>
        <w:spacing w:after="0" w:line="313"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 There have been no changes in our internal control over financial reporting that occurred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fourth quarter of 2015, that have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the Company’s definitive proxy statement, which will be filed with the Securities and Exchange Commission ("SEC") within 120 days after the close of fiscal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2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660" w:right="120" w:firstLine="324"/>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Form 10-K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Page Number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Consolidated Balance Sheets at December 26, 2015 and December 27, 2014</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Consolidated Statements of Operations for each of the three years in the period ended December 26, 2015</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Consolidated Statements of Comprehensive Loss for each of the three years in the period ended December 26, 2015</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26, 2015</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26, 2015</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Report of Independent Registered Public Accounting Firm</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(2)</w:t>
            </w:r>
          </w:p>
        </w:tc>
        <w:tc>
          <w:tcPr>
            <w:tcW w:w="9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Financial Statement Schedule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Schedule II – Valuation and Qualifying Accounts</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8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All other financial statement schedules have been omitted because the required information is not applicable or not present in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amounts sufficient to require submission of the schedule, or because the information required is included in the consolidated financial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statements or the notes thereto.</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(3)</w:t>
            </w:r>
          </w:p>
        </w:tc>
        <w:tc>
          <w:tcPr>
            <w:tcW w:w="98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6"/>
              </w:rPr>
              <w:t>The exhibits listed under Item 15(b) hereof are filed with, or incorporated by reference into, this Annual Report on Form 10-K.</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gridSpan w:val="3"/>
          </w:tcPr>
          <w:p>
            <w:pPr>
              <w:ind w:left="52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115,370</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59,832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Raw materials and purchased parts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24,423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 of discontinued operations (Note 2)</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210,411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60,264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345,346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27,290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liabilities of discontinued operations (Note 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gain on sale of facility (Note 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 (Note 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Preferred stock, $1 par value; 1,000 shares authorized, none issued</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60,000 shares authorized, 26,240 shares issued and outstanding in 2015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25,692 shares in 2014</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105,516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(21,772)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238,137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345,346</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344,765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4"/>
              </w:rPr>
              <w:t>Years ended</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00"/>
              <w:spacing w:after="0" w:line="195" w:lineRule="exact"/>
              <w:rPr>
                <w:sz w:val="20"/>
                <w:szCs w:val="20"/>
                <w:color w:val="auto"/>
              </w:rPr>
            </w:pPr>
            <w:r>
              <w:rPr>
                <w:rFonts w:ascii="Arial" w:cs="Arial" w:eastAsia="Arial" w:hAnsi="Arial"/>
                <w:sz w:val="18"/>
                <w:szCs w:val="18"/>
                <w:color w:val="auto"/>
                <w:w w:val="93"/>
              </w:rPr>
              <w:t>December 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93"/>
              </w:rPr>
              <w:t>December 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3"/>
              </w:rPr>
              <w:t>December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and expenses: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36,018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on sale of facility (Note 3)</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261,695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19,403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19,433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14,780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 (Note 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8,708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(33,418)</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per share: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used in computing income (loss) per share: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25,393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26,788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26,006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24,859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w w:val="94"/>
              </w:rPr>
              <w:t>Years ended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w w:val="93"/>
              </w:rPr>
              <w:t>December 26,</w:t>
            </w:r>
          </w:p>
        </w:tc>
        <w:tc>
          <w:tcPr>
            <w:tcW w:w="160" w:type="dxa"/>
            <w:vAlign w:val="bottom"/>
          </w:tcPr>
          <w:p>
            <w:pPr>
              <w:spacing w:after="0"/>
              <w:rPr>
                <w:sz w:val="16"/>
                <w:szCs w:val="16"/>
                <w:color w:val="auto"/>
              </w:rPr>
            </w:pPr>
          </w:p>
        </w:tc>
        <w:tc>
          <w:tcPr>
            <w:tcW w:w="1520" w:type="dxa"/>
            <w:vAlign w:val="bottom"/>
            <w:gridSpan w:val="2"/>
          </w:tcPr>
          <w:p>
            <w:pPr>
              <w:jc w:val="right"/>
              <w:ind w:right="440"/>
              <w:spacing w:after="0" w:line="195" w:lineRule="exact"/>
              <w:rPr>
                <w:sz w:val="20"/>
                <w:szCs w:val="20"/>
                <w:color w:val="auto"/>
              </w:rPr>
            </w:pPr>
            <w:r>
              <w:rPr>
                <w:rFonts w:ascii="Arial" w:cs="Arial" w:eastAsia="Arial" w:hAnsi="Arial"/>
                <w:sz w:val="18"/>
                <w:szCs w:val="18"/>
                <w:color w:val="auto"/>
                <w:w w:val="93"/>
              </w:rPr>
              <w:t>December 27,</w:t>
            </w:r>
          </w:p>
        </w:tc>
        <w:tc>
          <w:tcPr>
            <w:tcW w:w="160" w:type="dxa"/>
            <w:vAlign w:val="bottom"/>
          </w:tcPr>
          <w:p>
            <w:pPr>
              <w:spacing w:after="0"/>
              <w:rPr>
                <w:sz w:val="16"/>
                <w:szCs w:val="16"/>
                <w:color w:val="auto"/>
              </w:rPr>
            </w:pPr>
          </w:p>
        </w:tc>
        <w:tc>
          <w:tcPr>
            <w:tcW w:w="132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3"/>
              </w:rPr>
              <w:t>December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(14,107)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(3,258)</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(11,058)</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(17,365)</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0"/>
              </w:rPr>
              <w:t>Common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2"/>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0"/>
              </w:rPr>
              <w:t>stock</w:t>
            </w:r>
          </w:p>
        </w:tc>
        <w:tc>
          <w:tcPr>
            <w:tcW w:w="30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Paid-in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0"/>
              </w:rPr>
              <w:t>$1 par value</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capital</w:t>
            </w: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earnings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2012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24,632</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83,547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170,937</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(33,418)</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(33,418)</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cumulative translation adjustment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3,270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99"/>
              </w:rPr>
              <w:t>Adjustments related to postretirement benefits, net of tax</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1,604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Changes in unrealized gains and losses on investments, net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tax</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Cash dividends - $0.24 per share</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(5,973)</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(5,973)</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Shares issued under employee stock purchase plan</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for restricted stock units vested</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Repurchase and retirement of stock</w:t>
            </w: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5,468</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December 28, 2013</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25,080</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89,883</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131,546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6,651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253,160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Changes in cumulative translation adjustment</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(14,107)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(14,107)</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Adjustments related to postretirement benefits, net of tax</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(3,258)</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Cash dividends - $0.24 per share</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(6,102)</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(6,102)</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Shares issued under employee stock purchase plan</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1,001</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for restricted stock units vested</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Repurchase and retirement of stock</w:t>
            </w: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(1,133)</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6,776</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December 27, 2014</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25,692</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97,938</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134,152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(10,714)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247,068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Changes in cumulative translation adjustment</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Adjustments related to postretirement benefits, net of tax</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Cash dividends - $0.24 per share</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(6,249)</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(6,249)</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Shares issued under employee stock purchase plan</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for restricted stock units vested</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Repurchase and retirement of stock</w:t>
            </w: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(1,377)</w:t>
            </w: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6,893</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Balance at December 26, 2015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26,240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105,516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128,153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238,137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4"/>
              </w:rPr>
              <w:t>Years ended</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00"/>
              <w:spacing w:after="0" w:line="195" w:lineRule="exact"/>
              <w:rPr>
                <w:sz w:val="20"/>
                <w:szCs w:val="20"/>
                <w:color w:val="auto"/>
              </w:rPr>
            </w:pPr>
            <w:r>
              <w:rPr>
                <w:rFonts w:ascii="Arial" w:cs="Arial" w:eastAsia="Arial" w:hAnsi="Arial"/>
                <w:sz w:val="18"/>
                <w:szCs w:val="18"/>
                <w:color w:val="auto"/>
                <w:w w:val="93"/>
              </w:rPr>
              <w:t>December 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93"/>
              </w:rPr>
              <w:t>December 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3"/>
              </w:rPr>
              <w:t>December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8,708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(33,418)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 on disposal of microwave equipment segment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facility</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Gain on disposal of video camera segment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cash flows of discontinued operations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12,607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retiree benefits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and impairment of fixed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Changes in current assets and liabilities, excluding effects from acquisitions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divestitures:</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Accrued compensation, warranty and other liabilities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Deferred profit</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Income taxes payable, including excess stock option exercise benefits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Cash flows from investing activities, excluding effects from acquisitions and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divestitures: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received from sale of facility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received from disposition of microwave equipment segment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cash received from sale of video camera segment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for purchase of Ismeca, net of cash received</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cash flows of discontinued operations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8,637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(6,067)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stock,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19,217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115,370</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70,885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51,668</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(refunded) during the year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Inventory capitalized as capital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1,166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declared but not yet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Capitalized facility under build-to-suit lease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Cohu, Inc. (“Cohu”, “we”, “our” and “us”), through our wholly owned subsidiaries, is a provider of semiconductor test</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Our consolidated financial statements include the accounts of Cohu and our wholly owned subsidiaries. All significant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72"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Our fiscal years are based on a 52- or 53-week period ending on the last Saturday in December. Our fiscal years ended on December 26, 2015, December 27, 2014 and December 28, 2013 each consisted of 52 weeks.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prior-period amounts in our consolidated financial statements have been reclassified to conform to the current period presentation.</w:t>
      </w:r>
    </w:p>
    <w:p>
      <w:pPr>
        <w:spacing w:after="0" w:line="221" w:lineRule="exact"/>
        <w:rPr>
          <w:sz w:val="20"/>
          <w:szCs w:val="20"/>
          <w:color w:val="auto"/>
        </w:rPr>
      </w:pPr>
    </w:p>
    <w:p>
      <w:pPr>
        <w:ind w:left="340" w:right="20"/>
        <w:spacing w:after="0" w:line="281"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On June 10, 2015, we sold our mobile microwave communications equipment business, Broadcast Microwave Services, Inc.</w:t>
      </w:r>
      <w:r>
        <w:rPr>
          <w:rFonts w:ascii="Arial" w:cs="Arial" w:eastAsia="Arial" w:hAnsi="Arial"/>
          <w:sz w:val="17"/>
          <w:szCs w:val="17"/>
          <w:b w:val="1"/>
          <w:bCs w:val="1"/>
          <w:color w:val="auto"/>
        </w:rPr>
        <w:t xml:space="preserve"> </w:t>
      </w:r>
      <w:r>
        <w:rPr>
          <w:rFonts w:ascii="Arial" w:cs="Arial" w:eastAsia="Arial" w:hAnsi="Arial"/>
          <w:sz w:val="17"/>
          <w:szCs w:val="17"/>
          <w:color w:val="auto"/>
        </w:rPr>
        <w:t>(“BMS”) and on June 6, 2014, we completed the sale of our video camera business, Cohu Electronics. The operating results of BMS and Cohu Electronics are being presented as discontinued operations and all prior period amounts have been reclassified accordingly. See Note 2, “Discontinued Operations” for additional information. Unless otherwise indicated, all amounts herein relate to continuing operations.</w:t>
      </w:r>
    </w:p>
    <w:p>
      <w:pPr>
        <w:spacing w:after="0" w:line="165"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b w:val="1"/>
          <w:bCs w:val="1"/>
          <w:color w:val="auto"/>
        </w:rPr>
        <w:t xml:space="preserve">Income (Loss) Per Share </w:t>
      </w:r>
      <w:r>
        <w:rPr>
          <w:rFonts w:ascii="Arial" w:cs="Arial" w:eastAsia="Arial" w:hAnsi="Arial"/>
          <w:sz w:val="18"/>
          <w:szCs w:val="18"/>
          <w:color w:val="auto"/>
        </w:rPr>
        <w:t>– Basic income (loss) per common share is computed by dividing net income (loss) by the weighted-average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outstanding during the reporting period. Diluted income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years ended December 26, 2015 and December 27, 2014 approximately 875,000 and 1,771,000 shares of our common stock were excluded from the computation, respectively.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9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2014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26,057</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25,393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731</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613</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5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26,788</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26,006</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83"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26, 2015 have been classified as current assets in the accompanying consolidated balance sheets.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right="6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The carrying amounts of our financial instruments, including cash and cash equivalents, short-term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accounts payable and accrued expenses, approximate fair value due to the short maturities of these financial instruments.</w:t>
      </w:r>
    </w:p>
    <w:p>
      <w:pPr>
        <w:spacing w:after="0" w:line="116" w:lineRule="exact"/>
        <w:rPr>
          <w:sz w:val="20"/>
          <w:szCs w:val="20"/>
          <w:color w:val="auto"/>
        </w:rPr>
      </w:pPr>
    </w:p>
    <w:p>
      <w:pPr>
        <w:jc w:val="both"/>
        <w:ind w:left="340" w:right="140"/>
        <w:spacing w:after="0" w:line="26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80"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Trade accounts receivable are presented net of allowance for doubtful accounts of $0.1 million at December 26, 2015 and $0.2 million at December 27, 2014. Our customers include semiconductor manufacturers and semiconductor test subcontractors and other customers located throughout many areas of the world. While we believe that our allowance for doubtful accounts is adequate and represents our best estimate of potential loss exposure at December 26, 2015, we will continue to monitor customer liquidity and other economic conditions, which may result in changes to our estimates regarding collectability.</w:t>
      </w:r>
    </w:p>
    <w:p>
      <w:pPr>
        <w:spacing w:after="0" w:line="184" w:lineRule="exact"/>
        <w:rPr>
          <w:sz w:val="20"/>
          <w:szCs w:val="20"/>
          <w:color w:val="auto"/>
        </w:rPr>
      </w:pPr>
    </w:p>
    <w:p>
      <w:pPr>
        <w:ind w:left="340" w:right="200"/>
        <w:spacing w:after="0" w:line="27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 Inventories are stated at the lower of cost, determined on a current average or first-in, first-out basis, or market. Cost includes labor,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aggregated $2.4 million, $2.6 million, and $7.1 million in 2015, 2014 and 2013, respectively.</w:t>
      </w:r>
    </w:p>
    <w:p>
      <w:pPr>
        <w:spacing w:after="0" w:line="168" w:lineRule="exact"/>
        <w:rPr>
          <w:sz w:val="20"/>
          <w:szCs w:val="20"/>
          <w:color w:val="auto"/>
        </w:rPr>
      </w:pPr>
    </w:p>
    <w:p>
      <w:pPr>
        <w:jc w:val="both"/>
        <w:ind w:left="340" w:right="80"/>
        <w:spacing w:after="0" w:line="26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building improvements and three to ten years for machinery, equipment and software. Land is not depreciated.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Property, plant and equipment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December 26,</w:t>
            </w:r>
          </w:p>
        </w:tc>
        <w:tc>
          <w:tcPr>
            <w:tcW w:w="18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27,</w:t>
            </w:r>
          </w:p>
        </w:tc>
      </w:tr>
      <w:tr>
        <w:trPr>
          <w:trHeight w:val="230"/>
        </w:trPr>
        <w:tc>
          <w:tcPr>
            <w:tcW w:w="1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31,065</w:t>
            </w:r>
          </w:p>
        </w:tc>
      </w:tr>
      <w:tr>
        <w:trPr>
          <w:trHeight w:val="216"/>
        </w:trPr>
        <w:tc>
          <w:tcPr>
            <w:tcW w:w="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32,356</w:t>
            </w:r>
          </w:p>
        </w:tc>
      </w:tr>
      <w:tr>
        <w:trPr>
          <w:trHeight w:val="210"/>
        </w:trPr>
        <w:tc>
          <w:tcPr>
            <w:tcW w:w="16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75,183</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(26,466)</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(43,329)</w:t>
            </w:r>
          </w:p>
        </w:tc>
      </w:tr>
      <w:tr>
        <w:trPr>
          <w:trHeight w:val="250"/>
        </w:trPr>
        <w:tc>
          <w:tcPr>
            <w:tcW w:w="16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approximately $4.2 million in 2015, $4.8 million in 2014 and $4.7 million 2013.</w:t>
      </w:r>
    </w:p>
    <w:p>
      <w:pPr>
        <w:spacing w:after="0" w:line="221"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 We applied the provisions of ASC Topic 280,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similarities in their customers, their economic characteristics, and the nature of products and services provided. As a result, we report in one segment, semiconductor equipment.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spacing w:after="0" w:line="234" w:lineRule="auto"/>
        <w:rPr>
          <w:sz w:val="20"/>
          <w:szCs w:val="20"/>
          <w:color w:val="auto"/>
        </w:rPr>
      </w:pPr>
      <w:r>
        <w:rPr>
          <w:rFonts w:ascii="Arial" w:cs="Arial" w:eastAsia="Arial" w:hAnsi="Arial"/>
          <w:sz w:val="18"/>
          <w:szCs w:val="18"/>
          <w:b w:val="1"/>
          <w:bCs w:val="1"/>
          <w:color w:val="auto"/>
        </w:rPr>
        <w:t xml:space="preserve">Goodwill, Purchased Intangible Assets and Other Long-lived Assets </w:t>
      </w:r>
      <w:r>
        <w:rPr>
          <w:rFonts w:ascii="Arial" w:cs="Arial" w:eastAsia="Arial" w:hAnsi="Arial"/>
          <w:sz w:val="18"/>
          <w:szCs w:val="18"/>
          <w:color w:val="auto"/>
        </w:rPr>
        <w:t>– We evaluate goodwill for impairment annually on October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when an event occurs or circumstances change that indicate that the carrying value may not be recoverable. As a part of our annual assessment process for 2015 we performed a qualitative assessment to determine whether current events or changes in circumstances lead us to a determination that it is more likely than not (defined as a likelihood of more than 50 percent) that the fair value of our reporting unit is less than its carrying amount. Under this approach, absent a qualitative determination that the fair value of our reporting unit is more likely than not to be less than its carrying value, we do not need to proceed to the traditional estimated fair value test for that asset which would involve comparing the book value of net assets to the fair value of our identified reporting unit.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1, 2015, the results of our qualitative assessment indicated there was no impairment.</w:t>
      </w:r>
    </w:p>
    <w:p>
      <w:pPr>
        <w:spacing w:after="0" w:line="225" w:lineRule="exact"/>
        <w:rPr>
          <w:sz w:val="20"/>
          <w:szCs w:val="20"/>
          <w:color w:val="auto"/>
        </w:rPr>
      </w:pPr>
    </w:p>
    <w:p>
      <w:pPr>
        <w:ind w:left="340" w:right="180"/>
        <w:spacing w:after="0" w:line="273"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assets carrying amount and estimated fair value.</w:t>
      </w:r>
    </w:p>
    <w:p>
      <w:pPr>
        <w:spacing w:after="0" w:line="174" w:lineRule="exact"/>
        <w:rPr>
          <w:sz w:val="20"/>
          <w:szCs w:val="20"/>
          <w:color w:val="auto"/>
        </w:rPr>
      </w:pPr>
    </w:p>
    <w:p>
      <w:pPr>
        <w:ind w:left="340" w:right="240"/>
        <w:spacing w:after="0" w:line="298"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54" w:lineRule="exact"/>
        <w:rPr>
          <w:sz w:val="20"/>
          <w:szCs w:val="20"/>
          <w:color w:val="auto"/>
        </w:rPr>
      </w:pPr>
    </w:p>
    <w:p>
      <w:pPr>
        <w:ind w:left="340" w:right="60"/>
        <w:spacing w:after="0" w:line="274"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assess our income tax positions and record tax benefits for all years subject to examination based upon management’s evaluation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74" w:lineRule="exact"/>
        <w:rPr>
          <w:sz w:val="20"/>
          <w:szCs w:val="20"/>
          <w:color w:val="auto"/>
        </w:rPr>
      </w:pPr>
    </w:p>
    <w:p>
      <w:pPr>
        <w:ind w:left="340" w:right="220"/>
        <w:spacing w:after="0" w:line="313" w:lineRule="auto"/>
        <w:rPr>
          <w:sz w:val="20"/>
          <w:szCs w:val="20"/>
          <w:color w:val="auto"/>
        </w:rPr>
      </w:pPr>
      <w:r>
        <w:rPr>
          <w:rFonts w:ascii="Arial" w:cs="Arial" w:eastAsia="Arial" w:hAnsi="Arial"/>
          <w:sz w:val="17"/>
          <w:szCs w:val="17"/>
          <w:b w:val="1"/>
          <w:bCs w:val="1"/>
          <w:color w:val="auto"/>
        </w:rPr>
        <w:t xml:space="preserve">Contingencies and Litigation </w:t>
      </w:r>
      <w:r>
        <w:rPr>
          <w:rFonts w:ascii="Arial" w:cs="Arial" w:eastAsia="Arial" w:hAnsi="Arial"/>
          <w:sz w:val="17"/>
          <w:szCs w:val="17"/>
          <w:color w:val="auto"/>
        </w:rPr>
        <w:t>– We assess the probability of adverse judgments in connection with current and threatened litigation. We would accrue</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an adverse judgment if, in our estimation, the adverse outcome is probable and we can reasonably estimate the ultimate cost.</w:t>
      </w:r>
    </w:p>
    <w:p>
      <w:pPr>
        <w:spacing w:after="0" w:line="138" w:lineRule="exact"/>
        <w:rPr>
          <w:sz w:val="20"/>
          <w:szCs w:val="20"/>
          <w:color w:val="auto"/>
        </w:rPr>
      </w:pPr>
    </w:p>
    <w:p>
      <w:pPr>
        <w:ind w:left="340" w:right="180"/>
        <w:spacing w:after="0" w:line="277"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Our net sales are derived from the sale of products and services and are adjusted for estimated returns and allowances, which</w:t>
      </w:r>
      <w:r>
        <w:rPr>
          <w:rFonts w:ascii="Arial" w:cs="Arial" w:eastAsia="Arial" w:hAnsi="Arial"/>
          <w:sz w:val="17"/>
          <w:szCs w:val="17"/>
          <w:b w:val="1"/>
          <w:bCs w:val="1"/>
          <w:color w:val="auto"/>
        </w:rPr>
        <w:t xml:space="preserve"> </w:t>
      </w:r>
      <w:r>
        <w:rPr>
          <w:rFonts w:ascii="Arial" w:cs="Arial" w:eastAsia="Arial" w:hAnsi="Arial"/>
          <w:sz w:val="17"/>
          <w:szCs w:val="17"/>
          <w:color w:val="auto"/>
        </w:rPr>
        <w:t>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172" w:lineRule="exact"/>
        <w:rPr>
          <w:sz w:val="20"/>
          <w:szCs w:val="20"/>
          <w:color w:val="auto"/>
        </w:rPr>
      </w:pPr>
    </w:p>
    <w:p>
      <w:pPr>
        <w:ind w:left="340" w:right="40"/>
        <w:spacing w:after="0" w:line="270"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up to 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or upon completion of the services if they are short-term in nature. Spares and kit revenue is generally recognized upon shipment.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193" w:lineRule="exact"/>
        <w:rPr>
          <w:sz w:val="20"/>
          <w:szCs w:val="20"/>
          <w:color w:val="auto"/>
        </w:rPr>
      </w:pPr>
    </w:p>
    <w:p>
      <w:pPr>
        <w:ind w:left="340" w:right="440"/>
        <w:spacing w:after="0" w:line="288" w:lineRule="auto"/>
        <w:rPr>
          <w:sz w:val="20"/>
          <w:szCs w:val="20"/>
          <w:color w:val="auto"/>
        </w:rPr>
      </w:pPr>
      <w:r>
        <w:rPr>
          <w:rFonts w:ascii="Arial" w:cs="Arial" w:eastAsia="Arial" w:hAnsi="Arial"/>
          <w:sz w:val="16"/>
          <w:szCs w:val="16"/>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At December 26, 2015, we had total deferred revenue of approximately</w:t>
      </w:r>
    </w:p>
    <w:p>
      <w:pPr>
        <w:ind w:left="340" w:right="20"/>
        <w:spacing w:after="0" w:line="261" w:lineRule="auto"/>
        <w:rPr>
          <w:sz w:val="20"/>
          <w:szCs w:val="20"/>
          <w:color w:val="auto"/>
        </w:rPr>
      </w:pPr>
      <w:r>
        <w:rPr>
          <w:rFonts w:ascii="Arial" w:cs="Arial" w:eastAsia="Arial" w:hAnsi="Arial"/>
          <w:sz w:val="18"/>
          <w:szCs w:val="18"/>
          <w:color w:val="auto"/>
        </w:rPr>
        <w:t>$5.0 million and deferred profit of $3.7 million. At December 27, 2014, we had total deferred revenue of approximately $10.7 million and deferred profit of $6.9 million.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225" w:lineRule="exact"/>
        <w:rPr>
          <w:sz w:val="20"/>
          <w:szCs w:val="20"/>
          <w:color w:val="auto"/>
        </w:rPr>
      </w:pPr>
    </w:p>
    <w:p>
      <w:pPr>
        <w:ind w:left="340"/>
        <w:spacing w:after="0" w:line="298"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54"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b w:val="1"/>
          <w:bCs w:val="1"/>
          <w:color w:val="auto"/>
        </w:rPr>
        <w:t xml:space="preserve">Foreign Currency Translation </w:t>
      </w:r>
      <w:r>
        <w:rPr>
          <w:rFonts w:ascii="Arial" w:cs="Arial" w:eastAsia="Arial" w:hAnsi="Arial"/>
          <w:sz w:val="17"/>
          <w:szCs w:val="17"/>
          <w:color w:val="auto"/>
        </w:rPr>
        <w:t>– Assets and liabilities of our wholly owned foreign subsidiaries that use the U.S. Dollar as their functional currency are</w:t>
      </w:r>
      <w:r>
        <w:rPr>
          <w:rFonts w:ascii="Arial" w:cs="Arial" w:eastAsia="Arial" w:hAnsi="Arial"/>
          <w:sz w:val="17"/>
          <w:szCs w:val="17"/>
          <w:b w:val="1"/>
          <w:bCs w:val="1"/>
          <w:color w:val="auto"/>
        </w:rPr>
        <w:t xml:space="preserve"> </w:t>
      </w:r>
      <w:r>
        <w:rPr>
          <w:rFonts w:ascii="Arial" w:cs="Arial" w:eastAsia="Arial" w:hAnsi="Arial"/>
          <w:sz w:val="17"/>
          <w:szCs w:val="17"/>
          <w:color w:val="auto"/>
        </w:rPr>
        <w:t>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During the years ended December 26, 2015 and December 27, 2014 we recognized approximately $1.4 million and $2.0 million of foreign exchange gains in our consolidated statement of operations, respectively. Cumulative translation adjustments resulting from the translation of the financial statements are included as a separate component of stockholders’ equity.</w:t>
      </w:r>
    </w:p>
    <w:p>
      <w:pPr>
        <w:spacing w:after="0" w:line="174" w:lineRule="exact"/>
        <w:rPr>
          <w:sz w:val="20"/>
          <w:szCs w:val="20"/>
          <w:color w:val="auto"/>
        </w:rPr>
      </w:pPr>
    </w:p>
    <w:p>
      <w:pPr>
        <w:ind w:left="340" w:right="100"/>
        <w:spacing w:after="0" w:line="292" w:lineRule="auto"/>
        <w:rPr>
          <w:sz w:val="20"/>
          <w:szCs w:val="20"/>
          <w:color w:val="auto"/>
        </w:rPr>
      </w:pPr>
      <w:r>
        <w:rPr>
          <w:rFonts w:ascii="Arial" w:cs="Arial" w:eastAsia="Arial" w:hAnsi="Arial"/>
          <w:sz w:val="16"/>
          <w:szCs w:val="16"/>
          <w:b w:val="1"/>
          <w:bCs w:val="1"/>
          <w:color w:val="auto"/>
        </w:rPr>
        <w:t xml:space="preserve">Comprehensive Loss </w:t>
      </w:r>
      <w:r>
        <w:rPr>
          <w:rFonts w:ascii="Arial" w:cs="Arial" w:eastAsia="Arial" w:hAnsi="Arial"/>
          <w:sz w:val="16"/>
          <w:szCs w:val="16"/>
          <w:color w:val="auto"/>
        </w:rPr>
        <w:t>– Our accumulated other comprehensive loss totaled approximately $21.8 million at December 26, 2015 and $10.7 million at</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27, 2014 and was attributed to, net of income taxes where applicable; foreign currency adjustments resulting from the translation of certain accounts into U.S. Dollars, unrealized losses and gains on investments and adjustments to accumulated postretirement benefit obligations. The U.S. Dollar strengthened relative to many foreign currencies as of December 26, 2015 compared to December 27, 2014. Consequently, our accumulated comprehensive loss increased by $11.0 million as a result of the foreign currency translation. Similarly, in the previous year, strengthening of the U.S. Dollar as of December 27, 2014 compared to December 28, 2013 led to an increase in our accumulated comprehensive loss of $14.1 million. Additional information related to accumulated other comprehensive income, on an after-tax basis is included in Note 11.</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 </w:t>
      </w:r>
      <w:r>
        <w:rPr>
          <w:rFonts w:ascii="Arial" w:cs="Arial" w:eastAsia="Arial" w:hAnsi="Arial"/>
          <w:sz w:val="17"/>
          <w:szCs w:val="17"/>
          <w:color w:val="auto"/>
        </w:rPr>
        <w:t>In April 2015, the Financial Accounting Standards Board (“FASB”) issued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Update (ASU) 2015-04, “Compensation - Retirement Benefits (Subtopic 715): Practical Expedient for the Measurement Date of an Employer's Defined Benefit Obligation and Plan Assets.” This update provides a practical expedient that permits a company to measure defined benefit plan assets and obligations using the month-end date that is closest to the company's fiscal year-end and apply that practical expedient consistently from year to year. The practical expedient should be applied consistently to all plans if the company has more than one plan. During the fourth quarter of fiscal 2015, we elected to early adopt this guidance and the adoption had no impact on our results of operations.</w:t>
      </w:r>
    </w:p>
    <w:p>
      <w:pPr>
        <w:spacing w:after="0" w:line="178" w:lineRule="exact"/>
        <w:rPr>
          <w:sz w:val="20"/>
          <w:szCs w:val="20"/>
          <w:color w:val="auto"/>
        </w:rPr>
      </w:pPr>
    </w:p>
    <w:p>
      <w:pPr>
        <w:ind w:left="340" w:right="160"/>
        <w:spacing w:after="0" w:line="293" w:lineRule="auto"/>
        <w:rPr>
          <w:sz w:val="20"/>
          <w:szCs w:val="20"/>
          <w:color w:val="auto"/>
        </w:rPr>
      </w:pPr>
      <w:r>
        <w:rPr>
          <w:rFonts w:ascii="Arial" w:cs="Arial" w:eastAsia="Arial" w:hAnsi="Arial"/>
          <w:sz w:val="16"/>
          <w:szCs w:val="16"/>
          <w:color w:val="auto"/>
        </w:rPr>
        <w:t>In November 2015, the FASB issued ASU 2015-17, “Balance Sheet Classification of Deferred Taxes”, which provides guidance on the presentation of deferred income taxes that requires deferred tax assets and liabilities, along with related valuation allowances, to be classified as noncurrent on the balance sheet. As a result, each tax jurisdiction will now only have one net noncurrent deferred tax asset or liability. The new guidance does not change the existing requirement that prohibits offsetting deferred tax liabilities from one jurisdiction against deferred tax assets of another jurisdiction. During the fourth quarter of fiscal 2015, we elected to early-adopt this guidance retrospectively. Adoption had no impact on our results of operations. The following table summarizes the adjustments made to conform prior year classifications with the new guidance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8"/>
              </w:rPr>
              <w:t>December 27, 2014</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As Filed</w:t>
            </w:r>
          </w:p>
        </w:tc>
        <w:tc>
          <w:tcPr>
            <w:tcW w:w="10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Reclass</w:t>
            </w:r>
          </w:p>
        </w:tc>
        <w:tc>
          <w:tcPr>
            <w:tcW w:w="2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Noncurrent deferred income tax assets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Current deferred income tax liabilities (included in other accrued</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Noncurrent deferred income tax liabilities</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3,792</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(7,269)</w:t>
            </w: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assets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 In May 2014, the FASB issued new guidance on revenue from contracts with customers. The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outlines a single comprehensive revenue model for entities to use in accounting for revenue arising from contracts with customers. The guidance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Entities have the option of using either a full retrospective or modified approach to adopt the guidance. This guidance is effective for fiscal years, and interim reporting periods within those years, beginning after December 15, 2016. In April 2015, the FASB agreed to propose a one-year deferral of the revenue recognition standard's effective date for all entities, which would change the effectiveness to annual reporting periods beginning after December 15, 2017, with the option to adopt as early as December 15, 2016. We are currently evaluating the impact of the new guidance on our financial statements and have not yet determined which transition method we will utilize upon adoption or the potential impact of this new guidance on our consolidated financial statements.</w:t>
      </w:r>
    </w:p>
    <w:p>
      <w:pPr>
        <w:spacing w:after="0" w:line="169"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color w:val="auto"/>
        </w:rPr>
        <w:t>In August 2014, the FASB issued ASU 2014-15, “Presentation of Financial Statements - Going Concern, Disclosure of Uncertainties about an Entity’s Ability to Continue as a Going Concern”. This standard sets forth management’s responsibility to evaluate, each reporting period, whether there is substantial doubt about an entity’s ability to continue as a going concern, and if so, to provide related footnote disclosures. The standard is effective for annual reporting periods ending after December 15, 2016 and interim periods within annual periods beginning after December 15, 2016. The Company does not believe that the adoption of this guidance will have any material impact on its financial position or results of operations.</w:t>
      </w:r>
    </w:p>
    <w:p>
      <w:pPr>
        <w:spacing w:after="0" w:line="158"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(ASU 2015-11).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is effective for interim and annual periods beginning after December 15, 2016, with early adoption permitted. We are evaluating the impact of the new standard on our consolidated financial statements and our timing for adoption.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right="140"/>
        <w:spacing w:after="0" w:line="270" w:lineRule="auto"/>
        <w:rPr>
          <w:sz w:val="20"/>
          <w:szCs w:val="20"/>
          <w:color w:val="auto"/>
        </w:rPr>
      </w:pPr>
      <w:r>
        <w:rPr>
          <w:rFonts w:ascii="Arial" w:cs="Arial" w:eastAsia="Arial" w:hAnsi="Arial"/>
          <w:sz w:val="17"/>
          <w:szCs w:val="17"/>
          <w:color w:val="auto"/>
        </w:rPr>
        <w:t>In September 2015, the FASB issued ASU 2015-16 “Business Combinations (Topic 805): Simplifying the Accounting for Measurement-Period Adjustments” (ASU 2015-16). ASU 2015-16 requires an entity to: recognize adjustments to provisional amounts that are identified during the measurement period in the reporting period in which the adjustment amounts are determined; record, in the same period's financial statements, the effect on earnings of changes in depreciation, amortization, or other income effects, if any, as a result of the change to the provisional amounts, calculated as if the accounting had been completed at the acquisition date; and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new standard is effective for interim and annual periods beginning after December 15, 2015, with early adoption permitted for financial statements that have not been issued. We do not expect the new standard to have a significant impact on our consolidated financial statements upon adoption.</w:t>
      </w:r>
    </w:p>
    <w:p>
      <w:pPr>
        <w:spacing w:after="0" w:line="17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In 2015, we sold all of the outstanding stock of BMS for $4.9 million in cash and up to $2.5 million of contingent cash consideration. In 2014, we sold substantially all the assets of our video camera business, Cohu Electronics for $10.3 million comprised of $9.5 million in cash, $0.5 million in contingent consideration and a working capital adjustment. Our decision to sell these two non-core businesses resulted from management’s determination that they were no longer a strategic fit within our organization.</w:t>
      </w:r>
    </w:p>
    <w:p>
      <w:pPr>
        <w:spacing w:after="0" w:line="187"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As part of the divestiture of BMS we recorded a long-term contingent consideration receivable that has been classified as Level 3 in the fair value hierarchy. See Note 5, “Financial Instruments Measured at Fair Value” for additional information on the three-tier fair value hierarchy. The contingent consideration represents the estimated fair value of future payments we are due based on BMS achieving annual revenue targets in certain years as specified in the sale agreement. We determine the value of the contingent consideration using a Monte Carlo simulation model with changes to the fair value of the contingent consideration being recognized in discontinued operations. At December 26, 2015, the current fair value of the receivable totaled $0.5 million.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Balance sheet information for BMS presented as discontinued operations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8"/>
                <w:szCs w:val="18"/>
                <w:color w:val="auto"/>
              </w:rPr>
              <w:t>December 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December 27,</w:t>
            </w:r>
          </w:p>
        </w:tc>
        <w:tc>
          <w:tcPr>
            <w:tcW w:w="11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00" w:type="dxa"/>
            <w:vAlign w:val="bottom"/>
            <w:gridSpan w:val="2"/>
          </w:tcPr>
          <w:p>
            <w:pPr>
              <w:jc w:val="right"/>
              <w:ind w:right="34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00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3,156</w:t>
            </w:r>
          </w:p>
        </w:tc>
        <w:tc>
          <w:tcPr>
            <w:tcW w:w="1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c>
          <w:tcPr>
            <w:tcW w:w="1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110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2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r>
      <w:tr>
        <w:trPr>
          <w:trHeight w:val="197"/>
        </w:trPr>
        <w:tc>
          <w:tcPr>
            <w:tcW w:w="660" w:type="dxa"/>
            <w:vAlign w:val="bottom"/>
          </w:tcPr>
          <w:p>
            <w:pPr>
              <w:spacing w:after="0"/>
              <w:rPr>
                <w:sz w:val="17"/>
                <w:szCs w:val="17"/>
                <w:color w:val="auto"/>
              </w:rPr>
            </w:pPr>
          </w:p>
        </w:tc>
        <w:tc>
          <w:tcPr>
            <w:tcW w:w="3700" w:type="dxa"/>
            <w:vAlign w:val="bottom"/>
          </w:tcPr>
          <w:p>
            <w:pPr>
              <w:spacing w:after="0" w:line="196" w:lineRule="exact"/>
              <w:rPr>
                <w:sz w:val="20"/>
                <w:szCs w:val="20"/>
                <w:color w:val="auto"/>
              </w:rPr>
            </w:pPr>
            <w:r>
              <w:rPr>
                <w:rFonts w:ascii="Arial" w:cs="Arial" w:eastAsia="Arial" w:hAnsi="Arial"/>
                <w:sz w:val="18"/>
                <w:szCs w:val="18"/>
                <w:color w:val="auto"/>
              </w:rPr>
              <w:t>Liabilities:</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4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1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Other accrued current liabilities</w:t>
            </w:r>
          </w:p>
        </w:tc>
        <w:tc>
          <w:tcPr>
            <w:tcW w:w="2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2,279</w:t>
            </w:r>
          </w:p>
        </w:tc>
        <w:tc>
          <w:tcPr>
            <w:tcW w:w="1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6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2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110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6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2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Pr>
          <w:p>
            <w:pPr>
              <w:spacing w:after="0"/>
              <w:rPr>
                <w:sz w:val="21"/>
                <w:szCs w:val="21"/>
                <w:color w:val="auto"/>
              </w:rPr>
            </w:pPr>
          </w:p>
        </w:tc>
      </w:tr>
      <w:tr>
        <w:trPr>
          <w:trHeight w:val="656"/>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jc w:val="right"/>
              <w:ind w:right="1090"/>
              <w:spacing w:after="0"/>
              <w:rPr>
                <w:sz w:val="20"/>
                <w:szCs w:val="20"/>
                <w:color w:val="auto"/>
              </w:rPr>
            </w:pPr>
            <w:r>
              <w:rPr>
                <w:rFonts w:ascii="Arial" w:cs="Arial" w:eastAsia="Arial" w:hAnsi="Arial"/>
                <w:sz w:val="18"/>
                <w:szCs w:val="18"/>
                <w:color w:val="auto"/>
              </w:rPr>
              <w:t>40</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5"/>
        </w:trPr>
        <w:tc>
          <w:tcPr>
            <w:tcW w:w="6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61"/>
        </w:trPr>
        <w:tc>
          <w:tcPr>
            <w:tcW w:w="660" w:type="dxa"/>
            <w:vAlign w:val="bottom"/>
            <w:shd w:val="clear" w:color="auto" w:fill="808080"/>
          </w:tcPr>
          <w:p>
            <w:pPr>
              <w:spacing w:after="0"/>
              <w:rPr>
                <w:sz w:val="5"/>
                <w:szCs w:val="5"/>
                <w:color w:val="auto"/>
              </w:rPr>
            </w:pPr>
          </w:p>
        </w:tc>
        <w:tc>
          <w:tcPr>
            <w:tcW w:w="370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Operating results of our discontinued operations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December 26,</w:t>
            </w: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December 27,</w:t>
            </w: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Microwave equipment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6,965</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16,694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Video camera segment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6,965</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22,154</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32,789</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loss before income taxes: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Microwave equipment segment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Video camera segment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Loss from sale of BMS</w:t>
            </w:r>
          </w:p>
        </w:tc>
        <w:tc>
          <w:tcPr>
            <w:tcW w:w="1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(3,573)</w:t>
            </w: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Cohu Electronics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Loss before taxes</w:t>
            </w:r>
          </w:p>
        </w:tc>
        <w:tc>
          <w:tcPr>
            <w:tcW w:w="1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(5,536)</w:t>
            </w: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(6,113)</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Loss, net of tax</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(5,542)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(6,072)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In the fourth quarter of fiscal 2015 we finalized a working capital adjustment associated with the sale of BMS. We also adjusted the fair value contingent consideration to be earned pursuant to the definitive agreement based on our current estimates. These adjustments have been included in the loss from sale of BMS presented above.</w:t>
      </w:r>
    </w:p>
    <w:p>
      <w:pPr>
        <w:spacing w:after="0" w:line="17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Sale-leaseback of Poway Facility</w:t>
      </w:r>
    </w:p>
    <w:p>
      <w:pPr>
        <w:spacing w:after="0" w:line="229" w:lineRule="exact"/>
        <w:rPr>
          <w:sz w:val="20"/>
          <w:szCs w:val="20"/>
          <w:color w:val="auto"/>
        </w:rPr>
      </w:pPr>
    </w:p>
    <w:p>
      <w:pPr>
        <w:ind w:left="340" w:right="60"/>
        <w:spacing w:after="0" w:line="271" w:lineRule="auto"/>
        <w:rPr>
          <w:sz w:val="20"/>
          <w:szCs w:val="20"/>
          <w:color w:val="auto"/>
        </w:rPr>
      </w:pPr>
      <w:r>
        <w:rPr>
          <w:rFonts w:ascii="Arial" w:cs="Arial" w:eastAsia="Arial" w:hAnsi="Arial"/>
          <w:sz w:val="17"/>
          <w:szCs w:val="17"/>
          <w:color w:val="auto"/>
        </w:rPr>
        <w:t>On December 4, 2015, we completed the sale of our headquarters facility located in Poway, California (the “Poway Facility”) for $34.1 million. After payment of commissions and other fees associated with the sale we realized net cash proceeds of approximately $33.3 million which resulted in a total gain of $18.5 million. Concurrent with the closing of the sale, we entered into two leases. One lease, with a ten-year term through 2025, provides for base rent of approximately $1.6 million per annum, with 3% annual adjustments for inflation and a pro rata share of property operating costs. The lease, covers approximately 43% of the Poway Facility that Cohu and our wholly owned subsidiary, Delta Design, Inc. will consolidate into. This lease also contains two five-year renewal options. The other lease is for a term of one year, provides for base rent of approximately $0.6 million and a pro rata share of property operating costs, and covers the balance of the Poway Facility. The transaction allows us to reduce the utilized space within the Poway Facility to better fit our current and anticipated future needs, as we transition manufacturing activities to Asia.</w:t>
      </w:r>
    </w:p>
    <w:p>
      <w:pPr>
        <w:spacing w:after="0" w:line="179" w:lineRule="exact"/>
        <w:rPr>
          <w:sz w:val="20"/>
          <w:szCs w:val="20"/>
          <w:color w:val="auto"/>
        </w:rPr>
      </w:pPr>
    </w:p>
    <w:p>
      <w:pPr>
        <w:jc w:val="both"/>
        <w:ind w:left="340" w:right="340"/>
        <w:spacing w:after="0" w:line="286" w:lineRule="auto"/>
        <w:rPr>
          <w:sz w:val="20"/>
          <w:szCs w:val="20"/>
          <w:color w:val="auto"/>
        </w:rPr>
      </w:pPr>
      <w:r>
        <w:rPr>
          <w:rFonts w:ascii="Arial" w:cs="Arial" w:eastAsia="Arial" w:hAnsi="Arial"/>
          <w:sz w:val="17"/>
          <w:szCs w:val="17"/>
          <w:color w:val="auto"/>
        </w:rPr>
        <w:t xml:space="preserve">We accounted for this transaction in accordance with ASC subtopic 840-40, </w:t>
      </w:r>
      <w:r>
        <w:rPr>
          <w:rFonts w:ascii="Arial" w:cs="Arial" w:eastAsia="Arial" w:hAnsi="Arial"/>
          <w:sz w:val="17"/>
          <w:szCs w:val="17"/>
          <w:i w:val="1"/>
          <w:iCs w:val="1"/>
          <w:color w:val="auto"/>
        </w:rPr>
        <w:t>Sale-leaseback transactions</w:t>
      </w:r>
      <w:r>
        <w:rPr>
          <w:rFonts w:ascii="Arial" w:cs="Arial" w:eastAsia="Arial" w:hAnsi="Arial"/>
          <w:sz w:val="17"/>
          <w:szCs w:val="17"/>
          <w:color w:val="auto"/>
        </w:rPr>
        <w:t>, and recognized a gain on the sale-leaseback totaling $3.2 million. The remaining $15.3 million portion of the gain not recognized at the time of sale has been deferred and will be recognized on a straight-line basis over the 10-year term lease in line with the recognition of rental expense related to the lease.</w:t>
      </w:r>
    </w:p>
    <w:p>
      <w:pPr>
        <w:spacing w:after="0" w:line="162"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carrying value of goodwill by during the years ended December 26, 2015 and December 27, 2014 were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Total Goodwill</w:t>
            </w:r>
          </w:p>
        </w:tc>
        <w:tc>
          <w:tcPr>
            <w:tcW w:w="18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28, 2013</w:t>
            </w:r>
          </w:p>
        </w:tc>
        <w:tc>
          <w:tcPr>
            <w:tcW w:w="3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67,983</w:t>
            </w: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(4,851)</w:t>
            </w:r>
          </w:p>
        </w:tc>
        <w:tc>
          <w:tcPr>
            <w:tcW w:w="184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27, 2014</w:t>
            </w:r>
          </w:p>
        </w:tc>
        <w:tc>
          <w:tcPr>
            <w:tcW w:w="3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63,132</w:t>
            </w: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(2,868)</w:t>
            </w:r>
          </w:p>
        </w:tc>
        <w:tc>
          <w:tcPr>
            <w:tcW w:w="184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26, 2015</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60,264</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Pr>
          <w:p>
            <w:pPr>
              <w:spacing w:after="0"/>
              <w:rPr>
                <w:sz w:val="21"/>
                <w:szCs w:val="21"/>
                <w:color w:val="auto"/>
              </w:rPr>
            </w:pPr>
          </w:p>
        </w:tc>
      </w:tr>
      <w:tr>
        <w:trPr>
          <w:trHeight w:val="656"/>
        </w:trPr>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0" w:type="dxa"/>
            <w:vAlign w:val="bottom"/>
          </w:tcPr>
          <w:p>
            <w:pPr>
              <w:jc w:val="right"/>
              <w:ind w:right="209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Purchased intangible assets, subject to amortization,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December 26, 2015</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400"/>
              <w:spacing w:after="0"/>
              <w:rPr>
                <w:sz w:val="20"/>
                <w:szCs w:val="20"/>
                <w:color w:val="auto"/>
              </w:rPr>
            </w:pPr>
            <w:r>
              <w:rPr>
                <w:rFonts w:ascii="Arial" w:cs="Arial" w:eastAsia="Arial" w:hAnsi="Arial"/>
                <w:sz w:val="18"/>
                <w:szCs w:val="18"/>
                <w:color w:val="auto"/>
              </w:rPr>
              <w:t>December 27, 2014</w:t>
            </w:r>
          </w:p>
        </w:tc>
      </w:tr>
      <w:tr>
        <w:trPr>
          <w:trHeight w:val="195"/>
        </w:trPr>
        <w:tc>
          <w:tcPr>
            <w:tcW w:w="3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2"/>
              </w:rPr>
              <w:t>Gross Carrying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Accumulated</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220" w:type="dxa"/>
            <w:vAlign w:val="bottom"/>
          </w:tcPr>
          <w:p>
            <w:pPr>
              <w:spacing w:after="0"/>
              <w:rPr>
                <w:sz w:val="19"/>
                <w:szCs w:val="19"/>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Gross Carrying</w:t>
            </w:r>
          </w:p>
        </w:tc>
        <w:tc>
          <w:tcPr>
            <w:tcW w:w="1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Accumulated</w:t>
            </w:r>
          </w:p>
        </w:tc>
      </w:tr>
      <w:tr>
        <w:trPr>
          <w:trHeight w:val="230"/>
        </w:trPr>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Amortization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Amortization</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Rasco technology</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26,904</w:t>
            </w:r>
          </w:p>
        </w:tc>
        <w:tc>
          <w:tcPr>
            <w:tcW w:w="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23,776</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29,845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Ismeca technology</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10,329</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27,014</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6,879</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59,494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34,197</w:t>
            </w:r>
          </w:p>
        </w:tc>
        <w:tc>
          <w:tcPr>
            <w:tcW w:w="1140" w:type="dxa"/>
            <w:vAlign w:val="bottom"/>
          </w:tcPr>
          <w:p>
            <w:pPr>
              <w:spacing w:after="0"/>
              <w:rPr>
                <w:sz w:val="18"/>
                <w:szCs w:val="18"/>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62,582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29,495</w:t>
            </w: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carrying values of purchased intangible assets presented above are a result of the impact of fluctuation in currency exchange rates.</w:t>
      </w:r>
    </w:p>
    <w:p>
      <w:pPr>
        <w:spacing w:after="0" w:line="237" w:lineRule="exact"/>
        <w:rPr>
          <w:sz w:val="20"/>
          <w:szCs w:val="20"/>
          <w:color w:val="auto"/>
        </w:rPr>
      </w:pPr>
    </w:p>
    <w:p>
      <w:pPr>
        <w:ind w:left="340" w:right="100"/>
        <w:spacing w:after="0" w:line="291" w:lineRule="auto"/>
        <w:rPr>
          <w:sz w:val="20"/>
          <w:szCs w:val="20"/>
          <w:color w:val="auto"/>
        </w:rPr>
      </w:pPr>
      <w:r>
        <w:rPr>
          <w:rFonts w:ascii="Arial" w:cs="Arial" w:eastAsia="Arial" w:hAnsi="Arial"/>
          <w:sz w:val="16"/>
          <w:szCs w:val="16"/>
          <w:color w:val="auto"/>
        </w:rPr>
        <w:t>We review the assessment of indefinite life for our trade names each period to determine whether the indefinite life assumption continues to be supportable. If it is deemed unsupportable the change in useful life from indefinite to finite is made and amortization is recognized on a prospective basis after testing the assets for impairment. On September 24, 2015, we introduced a rebranding initiative and unveiled a new “Cohu” logo. The primary goal of the change was to improve the cohesiveness of our organization and come to the market as one brand. Previously, it had been our determination that the Rasco and Ismeca trade names had an indefinite life. As a result of the rebranding initiative, we determined that the classification of the useful life of our trade names as indefinite was no longer appropriate based on our expectations of the future period over which the assets will provide economic benefit to Cohu. After performing a test for impairment, we determined that the assets should be amortized over fifteen years.</w:t>
      </w:r>
    </w:p>
    <w:p>
      <w:pPr>
        <w:spacing w:after="0" w:line="167" w:lineRule="exact"/>
        <w:rPr>
          <w:sz w:val="20"/>
          <w:szCs w:val="20"/>
          <w:color w:val="auto"/>
        </w:rPr>
      </w:pPr>
    </w:p>
    <w:p>
      <w:pPr>
        <w:ind w:left="340" w:right="400"/>
        <w:spacing w:after="0" w:line="264" w:lineRule="auto"/>
        <w:rPr>
          <w:sz w:val="20"/>
          <w:szCs w:val="20"/>
          <w:color w:val="auto"/>
        </w:rPr>
      </w:pPr>
      <w:r>
        <w:rPr>
          <w:rFonts w:ascii="Arial" w:cs="Arial" w:eastAsia="Arial" w:hAnsi="Arial"/>
          <w:sz w:val="18"/>
          <w:szCs w:val="18"/>
          <w:color w:val="auto"/>
        </w:rPr>
        <w:t>Amortization expense related to purchased intangible assets was approximately $7.0 million in 2015 and $7.8 million in both 2014 and 2013. As of December 26, 2015, we expect amortization expense in future periods to be as follows: 2016 - $6.8 million; 2017 - $3.7 million; 2018 - $3.7 million; 2019 - $3.7 million 2020 - $3.7 million; and thereafter $3.7 million.</w:t>
      </w:r>
    </w:p>
    <w:p>
      <w:pPr>
        <w:spacing w:after="0" w:line="17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9" w:lineRule="exact"/>
        <w:rPr>
          <w:rFonts w:ascii="Arial" w:cs="Arial" w:eastAsia="Arial" w:hAnsi="Arial"/>
          <w:sz w:val="18"/>
          <w:szCs w:val="18"/>
          <w:b w:val="1"/>
          <w:bCs w:val="1"/>
          <w:color w:val="auto"/>
        </w:rPr>
      </w:pPr>
    </w:p>
    <w:p>
      <w:pPr>
        <w:ind w:left="3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86" w:lineRule="exact"/>
        <w:rPr>
          <w:rFonts w:ascii="Arial" w:cs="Arial" w:eastAsia="Arial" w:hAnsi="Arial"/>
          <w:sz w:val="18"/>
          <w:szCs w:val="18"/>
          <w:b w:val="1"/>
          <w:bCs w:val="1"/>
          <w:color w:val="auto"/>
        </w:rPr>
      </w:pPr>
    </w:p>
    <w:p>
      <w:pPr>
        <w:ind w:left="34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5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At December 26, 2015</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95"/>
        </w:trPr>
        <w:tc>
          <w:tcPr>
            <w:tcW w:w="5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Amortized</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7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Cost</w:t>
            </w:r>
          </w:p>
        </w:tc>
        <w:tc>
          <w:tcPr>
            <w:tcW w:w="1100" w:type="dxa"/>
            <w:vAlign w:val="bottom"/>
          </w:tcPr>
          <w:p>
            <w:pPr>
              <w:jc w:val="center"/>
              <w:ind w:left="7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7"/>
              </w:rPr>
              <w:t>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7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7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r>
      <w:tr>
        <w:trPr>
          <w:trHeight w:val="656"/>
        </w:trPr>
        <w:tc>
          <w:tcPr>
            <w:tcW w:w="5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ind w:left="500"/>
              <w:spacing w:after="0"/>
              <w:rPr>
                <w:sz w:val="20"/>
                <w:szCs w:val="20"/>
                <w:color w:val="auto"/>
              </w:rPr>
            </w:pPr>
            <w:r>
              <w:rPr>
                <w:rFonts w:ascii="Arial" w:cs="Arial" w:eastAsia="Arial" w:hAnsi="Arial"/>
                <w:sz w:val="18"/>
                <w:szCs w:val="18"/>
                <w:color w:val="auto"/>
              </w:rPr>
              <w:t>At December 27, 2014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1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left="7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Amortized</w:t>
            </w:r>
          </w:p>
        </w:tc>
        <w:tc>
          <w:tcPr>
            <w:tcW w:w="110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Fair</w:t>
            </w:r>
          </w:p>
        </w:tc>
      </w:tr>
      <w:tr>
        <w:trPr>
          <w:trHeight w:val="230"/>
        </w:trPr>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Cost</w:t>
            </w:r>
          </w:p>
        </w:tc>
        <w:tc>
          <w:tcPr>
            <w:tcW w:w="110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0"/>
        </w:trPr>
        <w:tc>
          <w:tcPr>
            <w:tcW w:w="1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50"/>
        </w:trPr>
        <w:tc>
          <w:tcPr>
            <w:tcW w:w="16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6240" w:type="dxa"/>
            <w:vAlign w:val="bottom"/>
            <w:gridSpan w:val="5"/>
          </w:tcPr>
          <w:p>
            <w:pPr>
              <w:spacing w:after="0"/>
              <w:rPr>
                <w:sz w:val="20"/>
                <w:szCs w:val="20"/>
                <w:color w:val="auto"/>
              </w:rPr>
            </w:pPr>
            <w:r>
              <w:rPr>
                <w:rFonts w:ascii="Arial" w:cs="Arial" w:eastAsia="Arial" w:hAnsi="Arial"/>
                <w:sz w:val="18"/>
                <w:szCs w:val="18"/>
                <w:color w:val="auto"/>
                <w:w w:val="91"/>
              </w:rPr>
              <w:t>Effective maturities of short-term investments at December 26, 2015, were as follows: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5"/>
          </w:tcPr>
          <w:p>
            <w:pPr>
              <w:jc w:val="center"/>
              <w:ind w:right="50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Estimated</w:t>
            </w:r>
          </w:p>
        </w:tc>
      </w:tr>
      <w:tr>
        <w:trPr>
          <w:trHeight w:val="230"/>
        </w:trPr>
        <w:tc>
          <w:tcPr>
            <w:tcW w:w="1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74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w w:val="99"/>
              </w:rPr>
              <w:t>Fair Value</w:t>
            </w:r>
          </w:p>
        </w:tc>
      </w:tr>
      <w:tr>
        <w:trPr>
          <w:trHeight w:val="210"/>
        </w:trPr>
        <w:tc>
          <w:tcPr>
            <w:tcW w:w="16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50"/>
        </w:trPr>
        <w:tc>
          <w:tcPr>
            <w:tcW w:w="16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9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20" w:type="dxa"/>
            <w:vAlign w:val="bottom"/>
            <w:gridSpan w:val="11"/>
          </w:tcPr>
          <w:p>
            <w:pPr>
              <w:jc w:val="right"/>
              <w:ind w:right="900"/>
              <w:spacing w:after="0"/>
              <w:rPr>
                <w:sz w:val="20"/>
                <w:szCs w:val="20"/>
                <w:color w:val="auto"/>
              </w:rPr>
            </w:pPr>
            <w:r>
              <w:rPr>
                <w:rFonts w:ascii="Arial" w:cs="Arial" w:eastAsia="Arial" w:hAnsi="Arial"/>
                <w:sz w:val="18"/>
                <w:szCs w:val="18"/>
                <w:color w:val="auto"/>
              </w:rPr>
              <w:t>Fair value measurements at December 26, 2015 using:</w:t>
            </w:r>
          </w:p>
        </w:tc>
      </w:tr>
      <w:tr>
        <w:trPr>
          <w:trHeight w:val="195"/>
        </w:trPr>
        <w:tc>
          <w:tcPr>
            <w:tcW w:w="4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fair value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73,746</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41,624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r>
      <w:tr>
        <w:trPr>
          <w:trHeight w:val="250"/>
        </w:trPr>
        <w:tc>
          <w:tcPr>
            <w:tcW w:w="4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7"/>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11"/>
          </w:tcPr>
          <w:p>
            <w:pPr>
              <w:jc w:val="right"/>
              <w:ind w:right="900"/>
              <w:spacing w:after="0"/>
              <w:rPr>
                <w:sz w:val="20"/>
                <w:szCs w:val="20"/>
                <w:color w:val="auto"/>
              </w:rPr>
            </w:pPr>
            <w:r>
              <w:rPr>
                <w:rFonts w:ascii="Arial" w:cs="Arial" w:eastAsia="Arial" w:hAnsi="Arial"/>
                <w:sz w:val="18"/>
                <w:szCs w:val="18"/>
                <w:color w:val="auto"/>
              </w:rPr>
              <w:t>Fair value measurements at December 27, 2014 using:</w:t>
            </w:r>
          </w:p>
        </w:tc>
      </w:tr>
      <w:tr>
        <w:trPr>
          <w:trHeight w:val="195"/>
        </w:trPr>
        <w:tc>
          <w:tcPr>
            <w:tcW w:w="4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fair value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50"/>
        </w:trPr>
        <w:tc>
          <w:tcPr>
            <w:tcW w:w="4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5" w:lineRule="exact"/>
        <w:rPr>
          <w:sz w:val="20"/>
          <w:szCs w:val="20"/>
          <w:color w:val="auto"/>
        </w:rPr>
      </w:pPr>
    </w:p>
    <w:p>
      <w:pPr>
        <w:ind w:left="340" w:right="20"/>
        <w:spacing w:after="0" w:line="303" w:lineRule="auto"/>
        <w:rPr>
          <w:sz w:val="20"/>
          <w:szCs w:val="20"/>
          <w:color w:val="auto"/>
        </w:rPr>
      </w:pPr>
      <w:r>
        <w:rPr>
          <w:rFonts w:ascii="Arial" w:cs="Arial" w:eastAsia="Arial" w:hAnsi="Arial"/>
          <w:sz w:val="16"/>
          <w:szCs w:val="16"/>
          <w:b w:val="1"/>
          <w:bCs w:val="1"/>
          <w:color w:val="auto"/>
        </w:rPr>
        <w:t xml:space="preserve">Defined Contribution Retirement Plans </w:t>
      </w:r>
      <w:r>
        <w:rPr>
          <w:rFonts w:ascii="Arial" w:cs="Arial" w:eastAsia="Arial" w:hAnsi="Arial"/>
          <w:sz w:val="16"/>
          <w:szCs w:val="16"/>
          <w:color w:val="auto"/>
        </w:rPr>
        <w:t>– We maintain a defined contribution 401(k) retirement savings plan covering all salaried and hourly U.S.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Participation is voluntary and participants’ contributions are based on their eligible compensation. We match contributions of participants, up to various statutory limits. In 2013 we provided a matching contribution at 1.5% and made contributions to the plan of approximately $0.3 million. In 2014 we increased our matching contribution to 3% and made contributions to the plan of approximately $0.7 million in both 2015 and 2014.</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color w:val="auto"/>
        </w:rPr>
        <w:t xml:space="preserve">Defined Benefit Retirement Plans </w:t>
      </w:r>
      <w:r>
        <w:rPr>
          <w:rFonts w:ascii="Arial" w:cs="Arial" w:eastAsia="Arial" w:hAnsi="Arial"/>
          <w:sz w:val="18"/>
          <w:szCs w:val="18"/>
          <w:color w:val="auto"/>
        </w:rPr>
        <w:t>– We maintain defined benefit plans for employees located outside the U.S. for which the majority of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net periodic benefit cost were determined to be immaterial for all period presented. As a result of the acquisition of Ismeca effective December 31, 2012, we took over the Ismeca Europe Semiconductor BVG Pension Plan in Switzerland (“the Swiss Plan”) and the following discussion only relates to the Swiss Plan.</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Net periodic benefit cost of the Swiss Plan was as follows: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1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r>
      <w:tr>
        <w:trPr>
          <w:trHeight w:val="216"/>
        </w:trPr>
        <w:tc>
          <w:tcPr>
            <w:tcW w:w="1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16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periodic costs</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 related to the Swiss Plan:</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2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(26,027)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Actuarial gain (loss)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change</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exchange adjustment</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(25,483)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Change in plan assets: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 on assets, net of actuarial loss</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Foreign currency exchange adjustment</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18"/>
                <w:szCs w:val="18"/>
                <w:color w:val="auto"/>
              </w:rPr>
            </w:pPr>
          </w:p>
        </w:tc>
        <w:tc>
          <w:tcPr>
            <w:tcW w:w="21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end of year</w:t>
            </w:r>
          </w:p>
        </w:tc>
        <w:tc>
          <w:tcPr>
            <w:tcW w:w="18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At December 26, 2015 and December 27, 2014, the Swiss Plan’s net liability is included in noncurrent accrued retirement benefits. Amounts recognized in accumulated other comprehensive income net of tax related to the Swiss Plan consisted of an unrecognized net actuarial loss totaling $1.8 million at December 26, 2015 and $2.0 million at December 27, 2014.</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actuarial assumptions used to determine the projected benefit obligation under the Swiss Plan are as follows: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2015</w:t>
            </w:r>
          </w:p>
        </w:tc>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16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Compensation increase</w:t>
            </w:r>
          </w:p>
        </w:tc>
        <w:tc>
          <w:tcPr>
            <w:tcW w:w="17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1.8%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418"/>
        </w:trPr>
        <w:tc>
          <w:tcPr>
            <w:tcW w:w="8080" w:type="dxa"/>
            <w:vAlign w:val="bottom"/>
            <w:gridSpan w:val="3"/>
          </w:tcPr>
          <w:p>
            <w:pPr>
              <w:jc w:val="right"/>
              <w:ind w:right="270"/>
              <w:spacing w:after="0"/>
              <w:rPr>
                <w:sz w:val="20"/>
                <w:szCs w:val="20"/>
                <w:color w:val="auto"/>
              </w:rPr>
            </w:pPr>
            <w:r>
              <w:rPr>
                <w:rFonts w:ascii="Arial" w:cs="Arial" w:eastAsia="Arial" w:hAnsi="Arial"/>
                <w:sz w:val="18"/>
                <w:szCs w:val="18"/>
                <w:color w:val="auto"/>
                <w:w w:val="89"/>
              </w:rPr>
              <w:t>Weighted-average assumptions used to determine net periodic benefit cost of the Swiss Plan are as follows:</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160" w:type="dxa"/>
            <w:vAlign w:val="bottom"/>
          </w:tcPr>
          <w:p>
            <w:pPr>
              <w:spacing w:after="0"/>
              <w:rPr>
                <w:sz w:val="24"/>
                <w:szCs w:val="24"/>
                <w:color w:val="auto"/>
              </w:rPr>
            </w:pPr>
          </w:p>
        </w:tc>
        <w:tc>
          <w:tcPr>
            <w:tcW w:w="616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2015</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1.3%</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1760" w:type="dxa"/>
            <w:vAlign w:val="bottom"/>
          </w:tcPr>
          <w:p>
            <w:pPr>
              <w:jc w:val="right"/>
              <w:ind w:right="113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17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1.8%</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ind w:left="340" w:right="100"/>
        <w:spacing w:after="0" w:line="342" w:lineRule="auto"/>
        <w:rPr>
          <w:sz w:val="20"/>
          <w:szCs w:val="20"/>
          <w:color w:val="auto"/>
        </w:rPr>
      </w:pPr>
      <w:r>
        <w:rPr>
          <w:rFonts w:ascii="Arial" w:cs="Arial" w:eastAsia="Arial" w:hAnsi="Arial"/>
          <w:sz w:val="16"/>
          <w:szCs w:val="16"/>
          <w:color w:val="auto"/>
        </w:rPr>
        <w:t>During 2016 employer and employee contributions to the Swiss Plan are expected to total $0.7 million. Estimated benefit payments are expected to be as follows: 2016 - $0.6 million; 2017 - $0.6 million; 2018 - $0.7 million; 2019 - $0.8 million; 2020 - $0.9 million; and $5.2 million thereafter through 2025.</w:t>
      </w:r>
    </w:p>
    <w:p>
      <w:pPr>
        <w:spacing w:after="0" w:line="124" w:lineRule="exact"/>
        <w:rPr>
          <w:sz w:val="20"/>
          <w:szCs w:val="20"/>
          <w:color w:val="auto"/>
        </w:rPr>
      </w:pPr>
    </w:p>
    <w:p>
      <w:pPr>
        <w:ind w:left="340" w:right="120"/>
        <w:spacing w:after="0" w:line="272" w:lineRule="auto"/>
        <w:rPr>
          <w:sz w:val="20"/>
          <w:szCs w:val="20"/>
          <w:color w:val="auto"/>
        </w:rPr>
      </w:pPr>
      <w:r>
        <w:rPr>
          <w:rFonts w:ascii="Arial" w:cs="Arial" w:eastAsia="Arial" w:hAnsi="Arial"/>
          <w:sz w:val="17"/>
          <w:szCs w:val="17"/>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75% debt securities, 12% real estate investments, 8% alternative investments, 2% cash and 3%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5, “Financial Instruments Measured at Fair Value” for additional information on the three-tier fair value hierarchy.</w:t>
      </w:r>
    </w:p>
    <w:p>
      <w:pPr>
        <w:spacing w:after="0" w:line="174" w:lineRule="exact"/>
        <w:rPr>
          <w:sz w:val="20"/>
          <w:szCs w:val="20"/>
          <w:color w:val="auto"/>
        </w:rPr>
      </w:pPr>
    </w:p>
    <w:p>
      <w:pPr>
        <w:ind w:left="340" w:right="80"/>
        <w:spacing w:after="0" w:line="266" w:lineRule="auto"/>
        <w:rPr>
          <w:sz w:val="20"/>
          <w:szCs w:val="20"/>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cost was $0.1 million in both 2015 and 2013 compared to a net periodic benefit income of $0.1 million in 2014. We fund benefits as costs are incurred and as a result there are no plan assets.</w:t>
      </w:r>
    </w:p>
    <w:p>
      <w:pPr>
        <w:spacing w:after="0" w:line="180" w:lineRule="exact"/>
        <w:rPr>
          <w:sz w:val="20"/>
          <w:szCs w:val="20"/>
          <w:color w:val="auto"/>
        </w:rPr>
      </w:pPr>
    </w:p>
    <w:p>
      <w:pPr>
        <w:ind w:left="340" w:right="120"/>
        <w:spacing w:after="0" w:line="257"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4.2% in 2015, 3.8% in 2014 and 4.6% in 2013. Annual rates of increase of the cost of health benefits were assumed to be 7.5% in 2016. These rates were then assumed to decrease 0.3% per year to 4.5% in 2025 and remain level thereafter. A one percent increase (decrease) in health care cost trend rates would increase (decrease) the 2015 net periodic benefit cost by approximately $14,000 ($11,000) and the accumulated post-retirement benefit obligation as of December 26, 2015, by approximately $411,000 ($338,000).</w:t>
      </w:r>
    </w:p>
    <w:p>
      <w:pPr>
        <w:spacing w:after="0" w:line="188" w:lineRule="exact"/>
        <w:rPr>
          <w:sz w:val="20"/>
          <w:szCs w:val="20"/>
          <w:color w:val="auto"/>
        </w:rPr>
      </w:pPr>
    </w:p>
    <w:p>
      <w:pPr>
        <w:ind w:left="340" w:right="100"/>
        <w:spacing w:after="0" w:line="342" w:lineRule="auto"/>
        <w:rPr>
          <w:sz w:val="20"/>
          <w:szCs w:val="20"/>
          <w:color w:val="auto"/>
        </w:rPr>
      </w:pPr>
      <w:r>
        <w:rPr>
          <w:rFonts w:ascii="Arial" w:cs="Arial" w:eastAsia="Arial" w:hAnsi="Arial"/>
          <w:sz w:val="16"/>
          <w:szCs w:val="16"/>
          <w:color w:val="auto"/>
        </w:rPr>
        <w:t>Contributions to the post-retirement health benefit plan are expected to total $0.1 million in 2016. Estimated benefit payments are expected to be as follows: 2016 - $0.1 million; 2017 - $0.1 million; 2018 - $0.1 million; 2019 - $0.1 million; 2020 - $0.1 million; and $0.7 million thereafter through 2025.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post-retirement benefit obligation, funded status and the liability we have recorded in our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2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Actuarial loss</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Accumulated benefit obligation at end of year</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2,649</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2,428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(2,649)</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(2,428)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20" w:type="dxa"/>
            <w:vAlign w:val="bottom"/>
            <w:vMerge w:val="restart"/>
          </w:tcPr>
          <w:p>
            <w:pPr>
              <w:jc w:val="right"/>
              <w:ind w:right="1470"/>
              <w:spacing w:after="0"/>
              <w:rPr>
                <w:sz w:val="20"/>
                <w:szCs w:val="20"/>
                <w:color w:val="auto"/>
              </w:rPr>
            </w:pPr>
            <w:r>
              <w:rPr>
                <w:rFonts w:ascii="Arial" w:cs="Arial" w:eastAsia="Arial" w:hAnsi="Arial"/>
                <w:sz w:val="18"/>
                <w:szCs w:val="18"/>
                <w:color w:val="auto"/>
              </w:rPr>
              <w:t>45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2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right="120"/>
        <w:spacing w:after="0" w:line="298" w:lineRule="auto"/>
        <w:rPr>
          <w:sz w:val="20"/>
          <w:szCs w:val="20"/>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 The Cohu, Inc. Deferred Compensation Plan allows certain of our officers to defer a portion of their current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purchased life insurance policies on the participants with Cohu as the named beneficiary. Participant contributions, distributions and investment earnings and losses are accumulated in a separate account for each participant. At both December 26, 2015 and December 27, 2014, the payroll liability to participants, included in accrued compensation and benefits in the consolidated balance sheet, was approximately $2.6 million and the cash surrender value of the related life insurance policies included in other current assets was approximately $2.3 million.</w:t>
      </w:r>
    </w:p>
    <w:p>
      <w:pPr>
        <w:spacing w:after="0" w:line="154" w:lineRule="exact"/>
        <w:rPr>
          <w:sz w:val="20"/>
          <w:szCs w:val="20"/>
          <w:color w:val="auto"/>
        </w:rPr>
      </w:pPr>
    </w:p>
    <w:p>
      <w:pPr>
        <w:ind w:left="340" w:right="120"/>
        <w:spacing w:after="0" w:line="274" w:lineRule="auto"/>
        <w:rPr>
          <w:sz w:val="20"/>
          <w:szCs w:val="20"/>
          <w:color w:val="auto"/>
        </w:rPr>
      </w:pPr>
      <w:r>
        <w:rPr>
          <w:rFonts w:ascii="Arial" w:cs="Arial" w:eastAsia="Arial" w:hAnsi="Arial"/>
          <w:sz w:val="17"/>
          <w:szCs w:val="17"/>
          <w:b w:val="1"/>
          <w:bCs w:val="1"/>
          <w:color w:val="auto"/>
        </w:rPr>
        <w:t xml:space="preserve">Employee Stock Purchase Plan </w:t>
      </w:r>
      <w:r>
        <w:rPr>
          <w:rFonts w:ascii="Arial" w:cs="Arial" w:eastAsia="Arial" w:hAnsi="Arial"/>
          <w:sz w:val="17"/>
          <w:szCs w:val="17"/>
          <w:color w:val="auto"/>
        </w:rPr>
        <w:t>– On May 12, 2015 our stockholders approved an amendment to the Cohu, Inc. 1997 Employee Stock Purchase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which increased the number of shares that may be issued under the Plan by 750,000 shares. As a result of this amendment the Plan provides for the issuance of a maximum of 2,650,000 shares of our common stock.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2015 - 122,528; 2014 - 138,831 and 2013 - 163,120. At December 26, 2015, there were 811,063 shares reserved for issuance under the Plan.</w:t>
      </w:r>
    </w:p>
    <w:p>
      <w:pPr>
        <w:spacing w:after="0" w:line="174" w:lineRule="exact"/>
        <w:rPr>
          <w:sz w:val="20"/>
          <w:szCs w:val="20"/>
          <w:color w:val="auto"/>
        </w:rPr>
      </w:pPr>
    </w:p>
    <w:p>
      <w:pPr>
        <w:ind w:left="340" w:right="100"/>
        <w:spacing w:after="0" w:line="274"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On May 12, 2015, our stockholders approved an amendment to the Cohu, Inc. 2005 Equity Incentive Plan (“the 2005 Plan”) which</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the number of shares that may be issued under the 2005 Plan by 1,500,000 shares. At December 26, 2015, a total of 2,255,701 shares were available for future equity grants under the 2005 Plan. 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2014</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2013</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Avg.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i w:val="1"/>
                <w:iCs w:val="1"/>
                <w:color w:val="auto"/>
                <w:w w:val="91"/>
              </w:rPr>
              <w:t>(in thousands, except per share data)</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Ex. Price</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Ex. Price</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Ex. Price</w:t>
            </w: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16.07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r>
      <w:tr>
        <w:trPr>
          <w:trHeight w:val="250"/>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r>
      <w:tr>
        <w:trPr>
          <w:trHeight w:val="197"/>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bl>
    <w:p>
      <w:pPr>
        <w:spacing w:after="0" w:line="202" w:lineRule="exact"/>
        <w:rPr>
          <w:sz w:val="20"/>
          <w:szCs w:val="20"/>
          <w:color w:val="auto"/>
        </w:rPr>
      </w:pPr>
    </w:p>
    <w:p>
      <w:pPr>
        <w:ind w:left="340" w:right="720"/>
        <w:spacing w:after="0" w:line="277" w:lineRule="auto"/>
        <w:rPr>
          <w:sz w:val="20"/>
          <w:szCs w:val="20"/>
          <w:color w:val="auto"/>
        </w:rPr>
      </w:pPr>
      <w:r>
        <w:rPr>
          <w:rFonts w:ascii="Arial" w:cs="Arial" w:eastAsia="Arial" w:hAnsi="Arial"/>
          <w:sz w:val="18"/>
          <w:szCs w:val="18"/>
          <w:color w:val="auto"/>
        </w:rPr>
        <w:t>The aggregate intrinsic value of options exercised was $0.7 million in both 2015 and 2014, and $0.4 million in 2013. At December 26, 2015, the aggregate intrinsic value of options outstanding, vested and expected to vest and exercisable was $1.2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Information about stock options outstanding at December 26, 2015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Options Outstanding</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gridSpan w:val="5"/>
          </w:tcPr>
          <w:p>
            <w:pPr>
              <w:ind w:left="1000"/>
              <w:spacing w:after="0"/>
              <w:rPr>
                <w:sz w:val="20"/>
                <w:szCs w:val="20"/>
                <w:color w:val="auto"/>
              </w:rPr>
            </w:pPr>
            <w:r>
              <w:rPr>
                <w:rFonts w:ascii="Arial" w:cs="Arial" w:eastAsia="Arial" w:hAnsi="Arial"/>
                <w:sz w:val="18"/>
                <w:szCs w:val="18"/>
                <w:color w:val="auto"/>
              </w:rPr>
              <w:t>Options Exercisable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Approximate</w:t>
            </w: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Wt. Avg.</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jc w:val="right"/>
              <w:ind w:right="570"/>
              <w:spacing w:after="0"/>
              <w:rPr>
                <w:sz w:val="20"/>
                <w:szCs w:val="20"/>
                <w:color w:val="auto"/>
              </w:rPr>
            </w:pPr>
            <w:r>
              <w:rPr>
                <w:rFonts w:ascii="Arial" w:cs="Arial" w:eastAsia="Arial" w:hAnsi="Arial"/>
                <w:sz w:val="18"/>
                <w:szCs w:val="18"/>
                <w:color w:val="auto"/>
              </w:rPr>
              <w:t>Range of</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Number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60" w:type="dxa"/>
            <w:vAlign w:val="bottom"/>
          </w:tcPr>
          <w:p>
            <w:pPr>
              <w:spacing w:after="0"/>
              <w:rPr>
                <w:sz w:val="19"/>
                <w:szCs w:val="19"/>
                <w:color w:val="auto"/>
              </w:rPr>
            </w:pPr>
          </w:p>
        </w:tc>
        <w:tc>
          <w:tcPr>
            <w:tcW w:w="1700" w:type="dxa"/>
            <w:vAlign w:val="bottom"/>
            <w:gridSpan w:val="2"/>
          </w:tcPr>
          <w:p>
            <w:pPr>
              <w:ind w:left="340"/>
              <w:spacing w:after="0"/>
              <w:rPr>
                <w:sz w:val="20"/>
                <w:szCs w:val="20"/>
                <w:color w:val="auto"/>
              </w:rPr>
            </w:pPr>
            <w:r>
              <w:rPr>
                <w:rFonts w:ascii="Arial" w:cs="Arial" w:eastAsia="Arial" w:hAnsi="Arial"/>
                <w:sz w:val="18"/>
                <w:szCs w:val="18"/>
                <w:color w:val="auto"/>
              </w:rPr>
              <w:t>Wt. Avg.</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40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Wt. Avg.</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jc w:val="right"/>
              <w:ind w:right="330"/>
              <w:spacing w:after="0"/>
              <w:rPr>
                <w:sz w:val="20"/>
                <w:szCs w:val="20"/>
                <w:color w:val="auto"/>
              </w:rPr>
            </w:pPr>
            <w:r>
              <w:rPr>
                <w:rFonts w:ascii="Arial" w:cs="Arial" w:eastAsia="Arial" w:hAnsi="Arial"/>
                <w:sz w:val="18"/>
                <w:szCs w:val="18"/>
                <w:color w:val="auto"/>
              </w:rPr>
              <w:t>Exercise Prices</w:t>
            </w: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rPr>
              <w:t>Outstanding</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Life (Years)</w:t>
            </w:r>
          </w:p>
        </w:tc>
        <w:tc>
          <w:tcPr>
            <w:tcW w:w="260" w:type="dxa"/>
            <w:vAlign w:val="bottom"/>
          </w:tcPr>
          <w:p>
            <w:pPr>
              <w:spacing w:after="0"/>
              <w:rPr>
                <w:sz w:val="20"/>
                <w:szCs w:val="20"/>
                <w:color w:val="auto"/>
              </w:rPr>
            </w:pPr>
          </w:p>
        </w:tc>
        <w:tc>
          <w:tcPr>
            <w:tcW w:w="1700" w:type="dxa"/>
            <w:vAlign w:val="bottom"/>
            <w:gridSpan w:val="2"/>
          </w:tcPr>
          <w:p>
            <w:pPr>
              <w:ind w:left="340"/>
              <w:spacing w:after="0"/>
              <w:rPr>
                <w:sz w:val="20"/>
                <w:szCs w:val="20"/>
                <w:color w:val="auto"/>
              </w:rPr>
            </w:pPr>
            <w:r>
              <w:rPr>
                <w:rFonts w:ascii="Arial" w:cs="Arial" w:eastAsia="Arial" w:hAnsi="Arial"/>
                <w:sz w:val="18"/>
                <w:szCs w:val="18"/>
                <w:color w:val="auto"/>
              </w:rPr>
              <w:t>Ex. Price</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Exercisable</w:t>
            </w:r>
          </w:p>
        </w:tc>
        <w:tc>
          <w:tcPr>
            <w:tcW w:w="4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Ex. Price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4"/>
              </w:rPr>
              <w:t>- $10.58</w:t>
            </w:r>
          </w:p>
        </w:tc>
        <w:tc>
          <w:tcPr>
            <w:tcW w:w="17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w:t>
            </w:r>
          </w:p>
        </w:tc>
        <w:tc>
          <w:tcPr>
            <w:tcW w:w="1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18"/>
                <w:szCs w:val="18"/>
                <w:color w:val="auto"/>
              </w:rPr>
            </w:pPr>
          </w:p>
        </w:tc>
        <w:tc>
          <w:tcPr>
            <w:tcW w:w="1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spacing w:after="0"/>
              <w:rPr>
                <w:sz w:val="20"/>
                <w:szCs w:val="20"/>
                <w:color w:val="auto"/>
              </w:rPr>
            </w:pPr>
            <w:r>
              <w:rPr>
                <w:rFonts w:ascii="Arial" w:cs="Arial" w:eastAsia="Arial" w:hAnsi="Arial"/>
                <w:sz w:val="18"/>
                <w:szCs w:val="18"/>
                <w:color w:val="auto"/>
              </w:rPr>
              <w:t>$10.59</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w w:val="84"/>
              </w:rPr>
              <w:t>- $15.50</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14.06</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4"/>
              </w:rPr>
              <w:t>- $20.73</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1,965</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vMerge w:val="restart"/>
          </w:tcPr>
          <w:p>
            <w:pPr>
              <w:jc w:val="right"/>
              <w:ind w:right="1170"/>
              <w:spacing w:after="0"/>
              <w:rPr>
                <w:sz w:val="20"/>
                <w:szCs w:val="20"/>
                <w:color w:val="auto"/>
              </w:rPr>
            </w:pPr>
            <w:r>
              <w:rPr>
                <w:rFonts w:ascii="Arial" w:cs="Arial" w:eastAsia="Arial" w:hAnsi="Arial"/>
                <w:sz w:val="18"/>
                <w:szCs w:val="18"/>
                <w:color w:val="auto"/>
                <w:w w:val="99"/>
              </w:rPr>
              <w:t>46</w:t>
            </w: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spacing w:after="0" w:line="298"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 Under our equity incentive plans, restricted stock units may be granted to employees, consultants and outside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minimum statutory tax withholding requirements to be paid by us on behalf of our employees. As a result, the actual number of shares issued will be fewer than the actual number of RSUs outstanding.</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1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1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Avg.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Avg.</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i w:val="1"/>
                <w:iCs w:val="1"/>
                <w:color w:val="auto"/>
                <w:w w:val="91"/>
              </w:rPr>
              <w:t>(in thousands, except per share data)</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Units</w:t>
            </w:r>
          </w:p>
        </w:tc>
        <w:tc>
          <w:tcPr>
            <w:tcW w:w="22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w w:val="95"/>
              </w:rPr>
              <w:t>Fair Value</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Units</w:t>
            </w:r>
          </w:p>
        </w:tc>
        <w:tc>
          <w:tcPr>
            <w:tcW w:w="24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w w:val="95"/>
              </w:rPr>
              <w:t>Fair Value</w:t>
            </w:r>
          </w:p>
        </w:tc>
        <w:tc>
          <w:tcPr>
            <w:tcW w:w="780" w:type="dxa"/>
            <w:vAlign w:val="bottom"/>
          </w:tcPr>
          <w:p>
            <w:pPr>
              <w:ind w:left="380"/>
              <w:spacing w:after="0"/>
              <w:rPr>
                <w:sz w:val="20"/>
                <w:szCs w:val="20"/>
                <w:color w:val="auto"/>
              </w:rPr>
            </w:pPr>
            <w:r>
              <w:rPr>
                <w:rFonts w:ascii="Arial" w:cs="Arial" w:eastAsia="Arial" w:hAnsi="Arial"/>
                <w:sz w:val="18"/>
                <w:szCs w:val="18"/>
                <w:color w:val="auto"/>
                <w:w w:val="92"/>
              </w:rPr>
              <w:t>Units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 Value</w:t>
            </w: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9.54</w:t>
            </w:r>
          </w:p>
        </w:tc>
        <w:tc>
          <w:tcPr>
            <w:tcW w:w="12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9.46</w:t>
            </w: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10.54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10.07</w:t>
            </w: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10.16</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9.82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9.41</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r>
      <w:tr>
        <w:trPr>
          <w:trHeight w:val="250"/>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9.54</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r>
    </w:tbl>
    <w:p>
      <w:pPr>
        <w:spacing w:after="0" w:line="198" w:lineRule="exact"/>
        <w:rPr>
          <w:sz w:val="20"/>
          <w:szCs w:val="20"/>
          <w:color w:val="auto"/>
        </w:rPr>
      </w:pPr>
    </w:p>
    <w:p>
      <w:pPr>
        <w:ind w:left="500"/>
        <w:spacing w:after="0" w:line="287" w:lineRule="auto"/>
        <w:rPr>
          <w:sz w:val="20"/>
          <w:szCs w:val="20"/>
          <w:color w:val="auto"/>
        </w:rPr>
      </w:pPr>
      <w:r>
        <w:rPr>
          <w:rFonts w:ascii="Arial" w:cs="Arial" w:eastAsia="Arial" w:hAnsi="Arial"/>
          <w:sz w:val="16"/>
          <w:szCs w:val="16"/>
          <w:b w:val="1"/>
          <w:bCs w:val="1"/>
          <w:color w:val="auto"/>
        </w:rPr>
        <w:t xml:space="preserve">Equity-Based Performance Stock Units </w:t>
      </w:r>
      <w:r>
        <w:rPr>
          <w:rFonts w:ascii="Arial" w:cs="Arial" w:eastAsia="Arial" w:hAnsi="Arial"/>
          <w:sz w:val="16"/>
          <w:szCs w:val="16"/>
          <w:color w:val="auto"/>
        </w:rPr>
        <w:t>– In 2012, we began granting equity-based performance units covering shares of our common stock to</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employees. The number of shares of stock ultimately issued will depend upon the extent to which certain financial performance goals set by our Board of Directors are met during the one-year award measurement period. Based upon the level of achievement of performance goals the number of shares we ultimately issue can range from 0% up to 150% of the number of shares under each grant which vest over 3 years from the date of initial grant. In 2014, we began awarding equity-based performance stock units to senior executives with vesting that is contingent on the level of achievement of certain performance goals, market return and continued service (“market-based PSUs”) and in 2015, the market-based PSUs granted are only subject to certain adjustments resulting from performance of Cohu’s Relative Total Shareholder Return (“TSR”) to a selected peer group over a two-year measurement period following the date of grant based on the percentage by which our TSR exceeds or falls below the selected peer group. Market-based PSUs earned will vest at the rate of 50% on the second and third anniversary of their grant. We estimated the fair value of market-based PSUs using a Monte Carlo simulation model on the date of grant. Compensation expense is recognized ratably over the measurement period of each vesting tranche based on our current assessment of achievement of the performance goals. New shares of our common stock will be issued on the date the equity-based performance units vest net of the minimum statutory tax withholding requirements to be paid by us on behalf of our employees. As a result, the actual number of shares issued will be fewer than the actual number outstanding.</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based stock unit activity under our share-based compensation plans was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4"/>
              </w:rPr>
              <w:t>Wt. Avg.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i w:val="1"/>
                <w:iCs w:val="1"/>
                <w:color w:val="auto"/>
                <w:w w:val="91"/>
              </w:rPr>
              <w:t>(in thousands, except per share data)</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Units</w:t>
            </w:r>
          </w:p>
        </w:tc>
        <w:tc>
          <w:tcPr>
            <w:tcW w:w="22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Fair Value</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Units</w:t>
            </w:r>
          </w:p>
        </w:tc>
        <w:tc>
          <w:tcPr>
            <w:tcW w:w="2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Fair Value</w:t>
            </w:r>
          </w:p>
        </w:tc>
        <w:tc>
          <w:tcPr>
            <w:tcW w:w="820" w:type="dxa"/>
            <w:vAlign w:val="bottom"/>
          </w:tcPr>
          <w:p>
            <w:pPr>
              <w:ind w:left="380"/>
              <w:spacing w:after="0"/>
              <w:rPr>
                <w:sz w:val="20"/>
                <w:szCs w:val="20"/>
                <w:color w:val="auto"/>
              </w:rPr>
            </w:pPr>
            <w:r>
              <w:rPr>
                <w:rFonts w:ascii="Arial" w:cs="Arial" w:eastAsia="Arial" w:hAnsi="Arial"/>
                <w:sz w:val="18"/>
                <w:szCs w:val="18"/>
                <w:color w:val="auto"/>
              </w:rPr>
              <w:t>Units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 Value</w:t>
            </w: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12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r>
      <w:tr>
        <w:trPr>
          <w:trHeight w:val="250"/>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r>
    </w:tbl>
    <w:p>
      <w:pPr>
        <w:spacing w:after="0" w:line="198"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estimate the fair value of each share-based award on the grant date using the Black-Scholes and the Monte Carlo</w:t>
      </w:r>
      <w:r>
        <w:rPr>
          <w:rFonts w:ascii="Arial" w:cs="Arial" w:eastAsia="Arial" w:hAnsi="Arial"/>
          <w:sz w:val="16"/>
          <w:szCs w:val="16"/>
          <w:b w:val="1"/>
          <w:bCs w:val="1"/>
          <w:color w:val="auto"/>
        </w:rPr>
        <w:t xml:space="preserve"> </w:t>
      </w:r>
      <w:r>
        <w:rPr>
          <w:rFonts w:ascii="Arial" w:cs="Arial" w:eastAsia="Arial" w:hAnsi="Arial"/>
          <w:sz w:val="16"/>
          <w:szCs w:val="16"/>
          <w:color w:val="auto"/>
        </w:rPr>
        <w:t>simulation valuation models.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Estimated forfeitures are required to be included as a part of the grant date expense estimate. We used historical data to estimate expected employee behaviors related to option exercises and forfeitures.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Employee Stock Purchase Plan</w:t>
            </w: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term (years)</w:t>
            </w:r>
          </w:p>
        </w:tc>
        <w:tc>
          <w:tcPr>
            <w:tcW w:w="82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2.32</w:t>
            </w:r>
          </w:p>
        </w:tc>
      </w:tr>
      <w:tr>
        <w:trPr>
          <w:trHeight w:val="48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Employee Stock Options</w:t>
            </w:r>
          </w:p>
        </w:tc>
        <w:tc>
          <w:tcPr>
            <w:tcW w:w="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term (years)</w:t>
            </w:r>
          </w:p>
        </w:tc>
        <w:tc>
          <w:tcPr>
            <w:tcW w:w="82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6.4</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3.37</w:t>
            </w:r>
          </w:p>
        </w:tc>
      </w:tr>
      <w:tr>
        <w:trPr>
          <w:trHeight w:val="48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Restricted Stock Units</w:t>
            </w:r>
          </w:p>
        </w:tc>
        <w:tc>
          <w:tcPr>
            <w:tcW w:w="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48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Performance Stock Units</w:t>
            </w:r>
          </w:p>
        </w:tc>
        <w:tc>
          <w:tcPr>
            <w:tcW w:w="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1,858</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Share-based compensation of continuing operations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6,388</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net of tax</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At December 26, 2015, excluding a reduction for forfeitures, we had approximately $0.6 million of pre-tax unrecognized compensation cost related to unvested stock options which is expected to be recognized over a weighted-average period of approximately 1.2 years.</w:t>
      </w:r>
    </w:p>
    <w:p>
      <w:pPr>
        <w:spacing w:after="0" w:line="170"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At December 26, 2015, excluding a reduction for forfeitures, we had approximately $10.0 million of pre-tax unrecognized compensation cost related to unvested restricted stock units and performance stock units which is expected to be recognized over a weighted-average period of approximately 2.3 years.</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580"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provision (benefit) for income taxes for continuing operations are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(1,539)</w:t>
            </w: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4,088</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780</w:t>
            </w:r>
          </w:p>
        </w:tc>
      </w:tr>
      <w:tr>
        <w:trPr>
          <w:trHeight w:val="210"/>
        </w:trPr>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w:t>
            </w: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U.S. State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w:t>
            </w:r>
          </w:p>
        </w:tc>
      </w:tr>
      <w:tr>
        <w:trPr>
          <w:trHeight w:val="20"/>
        </w:trPr>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2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c>
          <w:tcPr>
            <w:tcW w:w="3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(1,656)</w:t>
            </w:r>
          </w:p>
        </w:tc>
      </w:tr>
      <w:tr>
        <w:trPr>
          <w:trHeight w:val="250"/>
        </w:trPr>
        <w:tc>
          <w:tcPr>
            <w:tcW w:w="4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income taxes from continuing operations consisted of the following:</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(5,214)</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1,076</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(23,193)</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18,357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(7,728)</w:t>
            </w: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Inventory, receivable and warranty reserves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8,207</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9,585</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8,266</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12,291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11,905</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employee benefits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Deferred profit and gain on facility sale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4,352</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Acquisition basis differences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0"/>
        </w:trPr>
        <w:tc>
          <w:tcPr>
            <w:tcW w:w="6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ind w:left="32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43,172</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(42,289)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(37,023)</w:t>
            </w:r>
          </w:p>
        </w:tc>
      </w:tr>
      <w:tr>
        <w:trPr>
          <w:trHeight w:val="20"/>
        </w:trPr>
        <w:tc>
          <w:tcPr>
            <w:tcW w:w="6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Depreciation and fixed asset related</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1,822</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basis differences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r>
      <w:tr>
        <w:trPr>
          <w:trHeight w:val="210"/>
        </w:trPr>
        <w:tc>
          <w:tcPr>
            <w:tcW w:w="6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88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(6,551)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(6,916)</w:t>
            </w:r>
          </w:p>
        </w:tc>
      </w:tr>
      <w:tr>
        <w:trPr>
          <w:trHeight w:val="20"/>
        </w:trPr>
        <w:tc>
          <w:tcPr>
            <w:tcW w:w="6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line="276"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2015.</w:t>
      </w:r>
    </w:p>
    <w:p>
      <w:pPr>
        <w:spacing w:after="0" w:line="187"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As a result of our cumulative, three-year U.S. GAAP pretax loss from continuing operations of approximately $27.3 million at the end of 2015, and our U.S. loss in 2015, we were unable to conclude at December 26, 2015 that it was “more likely than not” that our U.S. DTAs would be realized. We will evaluate the realizability of our DTAs at the end of each quarterly reporting period in 2016 and should circumstances change it is possible the remaining valuation allowance, or a portion thereof, will be reversed in a future period.</w:t>
      </w:r>
    </w:p>
    <w:p>
      <w:pPr>
        <w:spacing w:after="0" w:line="187"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Our valuation allowance on our DTAs at December 26, 2015 and December 27, 2014 was approximately $42.3 million and $37.0 million, respectively. The remaining gross DTAs for which a valuation allowance was not recorded are realizable through future reversals of existing taxable temporary differences.</w:t>
      </w:r>
    </w:p>
    <w:p>
      <w:pPr>
        <w:spacing w:after="0" w:line="181"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as part of the 2008 acquisition of Rasco, a German corporation, and the fiscal 2013 acquisition of Ismeca, a Swiss Corporation, were not a source of taxable income in assessing the realization of our DTAs in the U.S.</w:t>
      </w:r>
    </w:p>
    <w:p>
      <w:pPr>
        <w:spacing w:after="0" w:line="181"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for continuing operations is as follows:</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(credit) at U.S. 35% statutory rate</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Federal tax credits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on which no tax benefit provided</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9,574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different rates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50"/>
        </w:trPr>
        <w:tc>
          <w:tcPr>
            <w:tcW w:w="5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left="340" w:right="60"/>
        <w:spacing w:after="0" w:line="277" w:lineRule="auto"/>
        <w:rPr>
          <w:sz w:val="20"/>
          <w:szCs w:val="20"/>
          <w:color w:val="auto"/>
        </w:rPr>
      </w:pPr>
      <w:r>
        <w:rPr>
          <w:rFonts w:ascii="Arial" w:cs="Arial" w:eastAsia="Arial" w:hAnsi="Arial"/>
          <w:sz w:val="18"/>
          <w:szCs w:val="18"/>
          <w:color w:val="auto"/>
        </w:rPr>
        <w:t>State income taxes, net of federal benefit, have been reduced by research tax credits totaling approximately $0.4 million, $0.5 million and $0.7 million in 2015, 2014 and 2013, respectively.</w:t>
      </w:r>
    </w:p>
    <w:p>
      <w:pPr>
        <w:spacing w:after="0" w:line="170"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At December 26, 2015, we had federal, state and foreign net operating loss carryforwards of approximately $19.3 million, $21.3 million and $1.6 million, respectively, that expire in various tax years beginning in 2018 through 2035 or have no expiration date. We also have federal and state tax credit carryforwards at December 26, 2015 of approximately $6.7 million and $13.6 million, respectively, certain of which expire in various tax years beginning in 2016 through 2035 or have no expiration date. The federal and state loss and credit carryforwards are subject to annual limitations under Sections 382 and 383 of the Internal Revenue Code and applicable state tax law.</w:t>
      </w:r>
    </w:p>
    <w:p>
      <w:pPr>
        <w:spacing w:after="0" w:line="188"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American Taxpayer Relief Act of 2012, which reinstated the United States federal research and development tax credit retroactively from January 1, 2012 through December 31, 2013, was not enacted into law until the first quarter of 2013. Therefore, the tax benefit from the credits for 2012 and 2013 is reflected in the Company's 2013 income tax provision.</w:t>
      </w:r>
    </w:p>
    <w:p>
      <w:pPr>
        <w:spacing w:after="0" w:line="181" w:lineRule="exact"/>
        <w:rPr>
          <w:sz w:val="20"/>
          <w:szCs w:val="20"/>
          <w:color w:val="auto"/>
        </w:rPr>
      </w:pPr>
    </w:p>
    <w:p>
      <w:pPr>
        <w:ind w:left="340" w:right="120"/>
        <w:spacing w:after="0" w:line="276" w:lineRule="auto"/>
        <w:rPr>
          <w:sz w:val="20"/>
          <w:szCs w:val="20"/>
          <w:color w:val="auto"/>
        </w:rPr>
      </w:pPr>
      <w:r>
        <w:rPr>
          <w:rFonts w:ascii="Arial" w:cs="Arial" w:eastAsia="Arial" w:hAnsi="Arial"/>
          <w:sz w:val="17"/>
          <w:szCs w:val="17"/>
          <w:color w:val="auto"/>
        </w:rPr>
        <w:t>U.S. income taxes have not been provided on approximately $41 million of accumulated undistributed earnings of certain foreign subsidiaries, as we currently intend to indefinitely reinvest these earnings in operations outside the U.S. It is not practicable to estimate the amount of tax that might be payable if some or all of such earnings were to be remitted. We have certain tax holidays with respect to our operations in Malaysia and the Philippines. These holidays require compliance with certain conditions and expire at various dates through 2023. The impact of these holidays was an increase in net income of approximately $0.8 million, or $0.03 per share, in 2015 and not significant in fiscal 2014 and 2013.</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our gross unrecognized tax benefits, excluding accrued interest and penalties, is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4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10,841</w:t>
            </w:r>
          </w:p>
        </w:tc>
        <w:tc>
          <w:tcPr>
            <w:tcW w:w="2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10,483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additions for tax positions of current year</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Gross additions for tax positions of prior years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Foreign exchange rate impact</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r>
      <w:tr>
        <w:trPr>
          <w:trHeight w:val="25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2013 gross additions for tax positions of prior years are primarily composed of additions from the Ismeca acquisition.</w:t>
      </w:r>
    </w:p>
    <w:p>
      <w:pPr>
        <w:spacing w:after="0" w:line="225"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If the unrecognized tax benefits at December 26, 2015 are ultimately recognized, approximately $5.6 million ($6.2 million at December 27, 2014) would result in a reduction in our income tax expense and effective tax rate. It is reasonably possible that our gross unrecognized tax benefits as of December 26, 2015 could decrease in 2016 by approximately $0.5 million as a result of the expiration of certain statutes of limitations.</w:t>
      </w:r>
    </w:p>
    <w:p>
      <w:pPr>
        <w:spacing w:after="0" w:line="166" w:lineRule="exact"/>
        <w:rPr>
          <w:sz w:val="20"/>
          <w:szCs w:val="20"/>
          <w:color w:val="auto"/>
        </w:rPr>
      </w:pPr>
    </w:p>
    <w:p>
      <w:pPr>
        <w:ind w:left="340" w:right="280"/>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$1.4 million accrued for the payment of interest and penalties at December 26, 2015 and December 27, 2014. Interest and penalty expense, net of accrued interest reversed, was approximately $0.1 in 2015, not significant in 2014 and approximately $(0.1) million in 2013.</w:t>
      </w:r>
    </w:p>
    <w:p>
      <w:pPr>
        <w:spacing w:after="0" w:line="181" w:lineRule="exact"/>
        <w:rPr>
          <w:sz w:val="20"/>
          <w:szCs w:val="20"/>
          <w:color w:val="auto"/>
        </w:rPr>
      </w:pPr>
    </w:p>
    <w:p>
      <w:pPr>
        <w:ind w:left="340" w:right="60"/>
        <w:spacing w:after="0" w:line="302" w:lineRule="auto"/>
        <w:rPr>
          <w:sz w:val="20"/>
          <w:szCs w:val="20"/>
          <w:color w:val="auto"/>
        </w:rPr>
      </w:pPr>
      <w:r>
        <w:rPr>
          <w:rFonts w:ascii="Arial" w:cs="Arial" w:eastAsia="Arial" w:hAnsi="Arial"/>
          <w:sz w:val="16"/>
          <w:szCs w:val="16"/>
          <w:color w:val="auto"/>
        </w:rPr>
        <w:t>Our U.S. federal and state income tax returns for years after 2011 and 2010,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150"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 xml:space="preserve">We applied the provisions of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(“ASC 280”) which sets forth a management approach to segment reporting,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their similarities in customer base, economic characteristics, and the nature of products and services provided and, as a result we report in one segment, semiconductor equipment. As a result, the financial information disclosed herein materially represents all of the financial information related to our semiconductor equipment segment.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last three years, the following customers comprised 10% or greater of our consolidated net sales: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2013</w:t>
            </w:r>
          </w:p>
        </w:tc>
      </w:tr>
      <w:tr>
        <w:trPr>
          <w:trHeight w:val="20"/>
        </w:trPr>
        <w:tc>
          <w:tcPr>
            <w:tcW w:w="3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390"/>
        </w:trPr>
        <w:tc>
          <w:tcPr>
            <w:tcW w:w="3920" w:type="dxa"/>
            <w:vAlign w:val="bottom"/>
          </w:tcPr>
          <w:p>
            <w:pPr>
              <w:spacing w:after="0"/>
              <w:rPr>
                <w:sz w:val="20"/>
                <w:szCs w:val="20"/>
                <w:color w:val="auto"/>
              </w:rPr>
            </w:pPr>
            <w:r>
              <w:rPr>
                <w:rFonts w:ascii="Arial" w:cs="Arial" w:eastAsia="Arial" w:hAnsi="Arial"/>
                <w:sz w:val="18"/>
                <w:szCs w:val="18"/>
                <w:color w:val="auto"/>
              </w:rPr>
              <w:t xml:space="preserve">NXP Semiconductors N.V. </w:t>
            </w:r>
            <w:r>
              <w:rPr>
                <w:rFonts w:ascii="Arial" w:cs="Arial" w:eastAsia="Arial" w:hAnsi="Arial"/>
                <w:sz w:val="30"/>
                <w:szCs w:val="30"/>
                <w:color w:val="auto"/>
                <w:vertAlign w:val="superscript"/>
              </w:rPr>
              <w:t>(1)</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13.5%</w:t>
            </w:r>
          </w:p>
        </w:tc>
      </w:tr>
    </w:tbl>
    <w:p>
      <w:pPr>
        <w:spacing w:after="0" w:line="95" w:lineRule="exact"/>
        <w:rPr>
          <w:sz w:val="20"/>
          <w:szCs w:val="20"/>
          <w:color w:val="auto"/>
        </w:rPr>
      </w:pPr>
    </w:p>
    <w:p>
      <w:pPr>
        <w:ind w:left="940" w:right="2620" w:hanging="446"/>
        <w:spacing w:after="0" w:line="277" w:lineRule="auto"/>
        <w:tabs>
          <w:tab w:leader="none" w:pos="9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merger of NXP Semiconductors N.V. and Freescale Semiconductor, Ltd. was completed on December 7, 2015. Sales to these customers have been combined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-302260</wp:posOffset>
            </wp:positionV>
            <wp:extent cx="5462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60,776</w:t>
            </w:r>
          </w:p>
        </w:tc>
        <w:tc>
          <w:tcPr>
            <w:tcW w:w="1120" w:type="dxa"/>
            <w:vAlign w:val="bottom"/>
            <w:gridSpan w:val="2"/>
            <w:shd w:val="clear" w:color="auto" w:fill="CCEEFF"/>
          </w:tcPr>
          <w:p>
            <w:pPr>
              <w:jc w:val="right"/>
              <w:ind w:right="77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73,818</w:t>
            </w:r>
          </w:p>
        </w:tc>
        <w:tc>
          <w:tcPr>
            <w:tcW w:w="5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China</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52,589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39,202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Philippines</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16,270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28,669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26,489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89,315</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269,654</w:t>
            </w:r>
          </w:p>
        </w:tc>
        <w:tc>
          <w:tcPr>
            <w:tcW w:w="160" w:type="dxa"/>
            <w:vAlign w:val="bottom"/>
          </w:tcPr>
          <w:p>
            <w:pPr>
              <w:spacing w:after="0"/>
              <w:rPr>
                <w:sz w:val="18"/>
                <w:szCs w:val="18"/>
                <w:color w:val="auto"/>
              </w:rPr>
            </w:pP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316,629</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214,511</w:t>
            </w:r>
          </w:p>
        </w:tc>
        <w:tc>
          <w:tcPr>
            <w:tcW w:w="0" w:type="dxa"/>
            <w:vAlign w:val="bottom"/>
          </w:tcPr>
          <w:p>
            <w:pPr>
              <w:spacing w:after="0"/>
              <w:rPr>
                <w:sz w:val="1"/>
                <w:szCs w:val="1"/>
                <w:color w:val="auto"/>
              </w:rPr>
            </w:pPr>
          </w:p>
        </w:tc>
      </w:tr>
      <w:tr>
        <w:trPr>
          <w:trHeight w:val="20"/>
        </w:trPr>
        <w:tc>
          <w:tcPr>
            <w:tcW w:w="4740" w:type="dxa"/>
            <w:vAlign w:val="bottom"/>
            <w:gridSpan w:val="3"/>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8"/>
          </w:tcPr>
          <w:p>
            <w:pPr>
              <w:jc w:val="right"/>
              <w:ind w:right="97"/>
              <w:spacing w:after="0"/>
              <w:rPr>
                <w:sz w:val="20"/>
                <w:szCs w:val="20"/>
                <w:color w:val="auto"/>
              </w:rPr>
            </w:pPr>
            <w:r>
              <w:rPr>
                <w:rFonts w:ascii="Arial" w:cs="Arial" w:eastAsia="Arial" w:hAnsi="Arial"/>
                <w:sz w:val="18"/>
                <w:szCs w:val="18"/>
                <w:color w:val="auto"/>
                <w:w w:val="90"/>
              </w:rPr>
              <w:t>Geographic location of our property, plant and equipment and other long-lived assets was as follows: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0" w:type="dxa"/>
            <w:vAlign w:val="bottom"/>
          </w:tcPr>
          <w:p>
            <w:pPr>
              <w:spacing w:after="0"/>
              <w:rPr>
                <w:sz w:val="24"/>
                <w:szCs w:val="24"/>
                <w:color w:val="auto"/>
              </w:rPr>
            </w:pPr>
          </w:p>
        </w:tc>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Property, plant and equipment: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3,054</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18,986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Philippines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Rest of the World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 and other intangible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31,337</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38,527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17,241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17,241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Singapore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Total, net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85,561</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96,219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We lease certain of our facilities and equipment under non-cancelable operating leases. Rental expense was $1.8 million in both 2015 and 2014 and $1.7 million 2013. Future minimum lease payments at December 26, 2015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89"/>
              </w:rPr>
              <w:t>Thereafter</w:t>
            </w:r>
          </w:p>
        </w:tc>
        <w:tc>
          <w:tcPr>
            <w:tcW w:w="28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195"/>
        </w:trPr>
        <w:tc>
          <w:tcPr>
            <w:tcW w:w="1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Non-cancelable</w:t>
            </w:r>
          </w:p>
        </w:tc>
        <w:tc>
          <w:tcPr>
            <w:tcW w:w="4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25,414</w:t>
            </w:r>
          </w:p>
        </w:tc>
      </w:tr>
    </w:tbl>
    <w:p>
      <w:pPr>
        <w:spacing w:after="0" w:line="202" w:lineRule="exact"/>
        <w:rPr>
          <w:sz w:val="20"/>
          <w:szCs w:val="20"/>
          <w:color w:val="auto"/>
        </w:rPr>
      </w:pPr>
    </w:p>
    <w:p>
      <w:pPr>
        <w:ind w:left="340"/>
        <w:spacing w:after="0" w:line="312"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 matters described above will have a material adverse effect on our assets, financial position or results of operations.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 w:right="9800" w:hanging="332"/>
        <w:spacing w:after="0" w:line="566" w:lineRule="auto"/>
        <w:tabs>
          <w:tab w:leader="none" w:pos="34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i w:val="1"/>
          <w:iCs w:val="1"/>
          <w:u w:val="single" w:color="auto"/>
          <w:color w:val="auto"/>
        </w:rPr>
        <w:t>Accrued Warranty</w:t>
      </w: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Changes in accrued warranty during the three-year period ended December 26, 2015 was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4,673</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Warranty accruals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6,176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4,814</w:t>
            </w:r>
          </w:p>
        </w:tc>
      </w:tr>
      <w:tr>
        <w:trPr>
          <w:trHeight w:val="21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Warranty payments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(6,180)</w:t>
            </w:r>
          </w:p>
        </w:tc>
      </w:tr>
      <w:tr>
        <w:trPr>
          <w:trHeight w:val="216"/>
        </w:trPr>
        <w:tc>
          <w:tcPr>
            <w:tcW w:w="4020" w:type="dxa"/>
            <w:vAlign w:val="bottom"/>
          </w:tcPr>
          <w:p>
            <w:pPr>
              <w:ind w:left="160"/>
              <w:spacing w:after="0"/>
              <w:rPr>
                <w:sz w:val="20"/>
                <w:szCs w:val="20"/>
                <w:color w:val="auto"/>
              </w:rPr>
            </w:pPr>
            <w:r>
              <w:rPr>
                <w:rFonts w:ascii="Arial" w:cs="Arial" w:eastAsia="Arial" w:hAnsi="Arial"/>
                <w:sz w:val="18"/>
                <w:szCs w:val="18"/>
                <w:color w:val="auto"/>
              </w:rPr>
              <w:t>Warranty liability assumed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1,833</w:t>
            </w: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left="340" w:right="160"/>
        <w:spacing w:after="0" w:line="259" w:lineRule="auto"/>
        <w:rPr>
          <w:sz w:val="20"/>
          <w:szCs w:val="20"/>
          <w:color w:val="auto"/>
        </w:rPr>
      </w:pPr>
      <w:r>
        <w:rPr>
          <w:rFonts w:ascii="Arial" w:cs="Arial" w:eastAsia="Arial" w:hAnsi="Arial"/>
          <w:sz w:val="18"/>
          <w:szCs w:val="18"/>
          <w:color w:val="auto"/>
        </w:rPr>
        <w:t>Accrued warranty amounts expected to be incurred after one year are included in noncurrent other accrued liabilities in the consolidated balance sheet. These amounts total $1.1 million at December 26, 2015 and $1.0 million at December 27, 2014. Prior period long-term accrued warranty amounts have been reclassified to a long-term liability in the December 27, 2014 balance sheet to conform to the current period presentation. This reclassification had no effect on previously reported net income and is considered immaterial.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Standby Letters of Credit</w:t>
      </w:r>
    </w:p>
    <w:p>
      <w:pPr>
        <w:spacing w:after="0" w:line="225" w:lineRule="exact"/>
        <w:rPr>
          <w:sz w:val="20"/>
          <w:szCs w:val="20"/>
          <w:color w:val="auto"/>
        </w:rPr>
      </w:pPr>
    </w:p>
    <w:p>
      <w:pPr>
        <w:ind w:left="340" w:right="200"/>
        <w:spacing w:after="0" w:line="273" w:lineRule="auto"/>
        <w:rPr>
          <w:sz w:val="20"/>
          <w:szCs w:val="20"/>
          <w:color w:val="auto"/>
        </w:rPr>
      </w:pPr>
      <w:r>
        <w:rPr>
          <w:rFonts w:ascii="Arial" w:cs="Arial" w:eastAsia="Arial" w:hAnsi="Arial"/>
          <w:sz w:val="17"/>
          <w:szCs w:val="17"/>
          <w:color w:val="auto"/>
        </w:rPr>
        <w:t>During the ordinary course of business, we provide standby letters of credit instruments to certain parties as required. At December 26, 2015, the maximum potential amount of future payments that we could be required to make under these standby letters of credit was approximately $0.2 million. We are required to maintain deposits of cash or other approved investments, which serve as collateral, in amounts that approximate our outstanding standby letters of credit.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2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Our wholly owned Ismeca subsidiary has two available lines of credit which provide it with borrowings of up to a total of 2.5 million Swiss Francs. At December 26, 2015 and December 27, 2014 no amounts were outstanding under the lines of credit.</w:t>
      </w:r>
    </w:p>
    <w:p>
      <w:pPr>
        <w:spacing w:after="0" w:line="16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income (loss), on an after-tax basis,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Tax</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Before Tax</w:t>
            </w: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(Expense)</w:t>
            </w:r>
          </w:p>
        </w:tc>
        <w:tc>
          <w:tcPr>
            <w:tcW w:w="2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Net of Tax</w:t>
            </w:r>
          </w:p>
        </w:tc>
        <w:tc>
          <w:tcPr>
            <w:tcW w:w="7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Benefit</w:t>
            </w:r>
          </w:p>
        </w:tc>
        <w:tc>
          <w:tcPr>
            <w:tcW w:w="24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Amount</w:t>
            </w:r>
          </w:p>
        </w:tc>
        <w:tc>
          <w:tcPr>
            <w:tcW w:w="7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28, 2013</w:t>
            </w: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3,270</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3,270</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postretirement benefits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Change in unrealized gain/loss on investments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Arial" w:cs="Arial" w:eastAsia="Arial" w:hAnsi="Arial"/>
                <w:sz w:val="18"/>
                <w:szCs w:val="18"/>
                <w:color w:val="auto"/>
              </w:rPr>
              <w:t>Year ended December 27, 2014</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(14,107)</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Adjustments related to postretirement benefits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(3,809)</w:t>
            </w: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(3,258)</w:t>
            </w:r>
          </w:p>
        </w:tc>
        <w:tc>
          <w:tcPr>
            <w:tcW w:w="7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Arial" w:cs="Arial" w:eastAsia="Arial" w:hAnsi="Arial"/>
                <w:sz w:val="18"/>
                <w:szCs w:val="18"/>
                <w:color w:val="auto"/>
              </w:rPr>
              <w:t>Year ended December 26, 2015</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Adjustments related to postretirement benefits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r>
      <w:tr>
        <w:trPr>
          <w:trHeight w:val="65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53</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accumulated other comprehensive loss, net of tax, at the end of each period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Accumulated net currency translation adjustments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(19,327)</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Accumulated net adjustments related to postretirement benefits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(2,445)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(2,387)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9"/>
              </w:rPr>
              <w:t>Total accumulated other comprehensive loss</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(21,772)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12.   Quarterly Financial Data (Unaudited)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Quarter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First (a)</w:t>
            </w:r>
          </w:p>
        </w:tc>
        <w:tc>
          <w:tcPr>
            <w:tcW w:w="220" w:type="dxa"/>
            <w:vAlign w:val="bottom"/>
          </w:tcPr>
          <w:p>
            <w:pPr>
              <w:spacing w:after="0"/>
              <w:rPr>
                <w:sz w:val="24"/>
                <w:szCs w:val="24"/>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w w:val="93"/>
              </w:rPr>
              <w:t>Second (a)</w:t>
            </w:r>
          </w:p>
        </w:tc>
        <w:tc>
          <w:tcPr>
            <w:tcW w:w="1360" w:type="dxa"/>
            <w:vAlign w:val="bottom"/>
            <w:gridSpan w:val="4"/>
          </w:tcPr>
          <w:p>
            <w:pPr>
              <w:jc w:val="right"/>
              <w:ind w:right="270"/>
              <w:spacing w:after="0"/>
              <w:rPr>
                <w:sz w:val="20"/>
                <w:szCs w:val="20"/>
                <w:color w:val="auto"/>
              </w:rPr>
            </w:pPr>
            <w:r>
              <w:rPr>
                <w:rFonts w:ascii="Arial" w:cs="Arial" w:eastAsia="Arial" w:hAnsi="Arial"/>
                <w:sz w:val="18"/>
                <w:szCs w:val="18"/>
                <w:color w:val="auto"/>
              </w:rPr>
              <w:t>Third (a)</w:t>
            </w:r>
          </w:p>
        </w:tc>
        <w:tc>
          <w:tcPr>
            <w:tcW w:w="28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Fourth (a)</w:t>
            </w:r>
          </w:p>
        </w:tc>
        <w:tc>
          <w:tcPr>
            <w:tcW w:w="36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63,447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75,211</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67,512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63,484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269,654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60,170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74,299</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91,573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90,587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316,629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20,145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25,702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22,794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20,397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89,038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24,263</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32,952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105,972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3,887</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2,200</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10,012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5,275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14,780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1,113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1,949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4,163</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(b):</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Income (loss) from continuing operations 2015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0.15</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0.09</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0.39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0.21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0.00</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0.04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0.07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0.16</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w w:val="99"/>
              </w:rPr>
              <w:t>Income (loss) from continuing operations 2015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0.15</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0.05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0.09</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0.16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0.29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(a)All quarters presented above were comprised of 13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-130175</wp:posOffset>
            </wp:positionV>
            <wp:extent cx="68776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5" w:lineRule="exact"/>
        <w:rPr>
          <w:sz w:val="20"/>
          <w:szCs w:val="20"/>
          <w:color w:val="auto"/>
        </w:rPr>
      </w:pPr>
    </w:p>
    <w:p>
      <w:pPr>
        <w:ind w:left="460" w:right="700" w:hanging="215"/>
        <w:spacing w:after="0" w:line="277" w:lineRule="auto"/>
        <w:rPr>
          <w:sz w:val="20"/>
          <w:szCs w:val="20"/>
          <w:color w:val="auto"/>
        </w:rPr>
      </w:pPr>
      <w:r>
        <w:rPr>
          <w:rFonts w:ascii="Arial" w:cs="Arial" w:eastAsia="Arial" w:hAnsi="Arial"/>
          <w:sz w:val="18"/>
          <w:szCs w:val="18"/>
          <w:color w:val="auto"/>
        </w:rPr>
        <w:t>(b)The sum of the four quarters may not agree to the year total due to rounding within a quarter and the inclusion or exclusion of common stock equivalents.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audited the accompanying consolidated balance sheets of Cohu, Inc. as of December 26, 2015 and December 27, 2014, and the related consolidated statements of operations, comprehensive loss, stockholders’ equity, and cash flows for each of the three years in the period ended December 26, 2015.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26, 2015 and December 27, 2014, and the consolidated results of its operations and its cash flows for each of the three years in the period ended December 26,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26, 2015, based on criteria established in Internal Control-Integrated Framework issued by the Committee of Sponsoring Organizations of the Treadway Commission (2013 framework) and our report dated February 23, 2016 expressed an unqualified opinion thereon.</w:t>
      </w:r>
    </w:p>
    <w:p>
      <w:pPr>
        <w:spacing w:after="0" w:line="14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15. (b) The following exhibits are filed as part of, or incorporated into, the 2015 Cohu, Inc. Annual Report on Form 10-K: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0580" w:type="dxa"/>
            <w:vAlign w:val="bottom"/>
            <w:gridSpan w:val="3"/>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438"/>
        </w:trPr>
        <w:tc>
          <w:tcPr>
            <w:tcW w:w="880" w:type="dxa"/>
            <w:vAlign w:val="bottom"/>
          </w:tcPr>
          <w:p>
            <w:pPr>
              <w:ind w:left="120"/>
              <w:spacing w:after="0"/>
              <w:rPr>
                <w:sz w:val="20"/>
                <w:szCs w:val="20"/>
                <w:color w:val="auto"/>
              </w:rPr>
            </w:pPr>
            <w:r>
              <w:rPr>
                <w:rFonts w:ascii="Arial" w:cs="Arial" w:eastAsia="Arial" w:hAnsi="Arial"/>
                <w:sz w:val="18"/>
                <w:szCs w:val="18"/>
                <w:color w:val="auto"/>
              </w:rPr>
              <w:t>3.1</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3.1(a)</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3.2</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9"/>
              </w:rPr>
              <w:t>Amended and Restated Bylaws of Cohu, Inc. incorporated herein by reference to Exhibit 3.2 from the Cohu, Inc. Current Report on</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10.1</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6"/>
              </w:rPr>
              <w:t>Amended Cohu, Inc. 2005 Equity Incentive Plan incorporated herein by reference to Exhibit 10.1 from the Cohu, Inc. Current Report on</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Form 8-K filed with the Securities and Exchange Commission on May 13, 2015*</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10.2</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5"/>
              </w:rPr>
              <w:t>Amended Cohu, Inc. 1997 Employee Stock Purchase Plan, incorporated herein by reference to Exhibit 10.2 from the Cohu, Inc. Current</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Report on Form 8-K filed with the Securities and Exchange Commission on May 13, 2015*</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10.3</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5"/>
              </w:rPr>
              <w:t>Cohu, Inc. Deferred Compensation Plan (as amended and restated) incorporated herein by reference to Exhibit 10.1 from the Cohu, Inc.</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Current Report on Form 8-K filed with the Securities and Exchange Commission on December 29, 2008*</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10.4</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9"/>
              </w:rPr>
              <w:t>Form of employee restricted stock unit agreement for use with restricted stock units granted pursuant to the Cohu, Inc. 2005 Equity</w:t>
            </w:r>
          </w:p>
        </w:tc>
      </w:tr>
      <w:tr>
        <w:trPr>
          <w:trHeight w:val="216"/>
        </w:trPr>
        <w:tc>
          <w:tcPr>
            <w:tcW w:w="88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Incentive Plan incorporated herein by reference to Exhibit 10.1 from the Cohu, Inc. Quarterly Report on Form 10-Q filed with the</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Securities and Exchange Commission on August 4, 2015*</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10.5</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4"/>
              </w:rPr>
              <w:t>Form of non-employee director restricted stock unit agreement for use with restricted stock units granted pursuant to the Cohu, Inc. 2005</w:t>
            </w:r>
          </w:p>
        </w:tc>
      </w:tr>
      <w:tr>
        <w:trPr>
          <w:trHeight w:val="216"/>
        </w:trPr>
        <w:tc>
          <w:tcPr>
            <w:tcW w:w="88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6"/>
              </w:rPr>
              <w:t>Equity Incentive Plan incorporated herein by reference to Exhibit 10.2 from the Cohu, Inc. Quarterly Report on Form 10-Q filed with the</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Securities and Exchange Commission on August 4, 2015*</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10.6</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9"/>
              </w:rPr>
              <w:t>Form of non-employee director restricted stock unit deferral election form for use with restricted stock units granted pursuant to the</w:t>
            </w:r>
          </w:p>
        </w:tc>
      </w:tr>
      <w:tr>
        <w:trPr>
          <w:trHeight w:val="216"/>
        </w:trPr>
        <w:tc>
          <w:tcPr>
            <w:tcW w:w="88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8"/>
              </w:rPr>
              <w:t>Cohu, Inc. 2005 Equity Incentive Plan incorporated herein by reference to Exhibit 10.3 from the Cohu, Inc. Quarterly Report on Form</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10-Q filed with the Securities and Exchange Commission on August 4, 2015*</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10.7</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6"/>
              </w:rPr>
              <w:t>Non-employee director fee deferral election form incorporated herein by reference to Exhibit 10.4 from the Cohu, Inc. Quarterly Report</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on Form 10-Q filed with the Securities and Exchange Commission on August 4, 2015*</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10.8</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9"/>
              </w:rPr>
              <w:t>Form of deferred stock agreement for shares granted pursuant to the Cohu, Inc. 2005 Equity Incentive Plan incorporated herein by</w:t>
            </w:r>
          </w:p>
        </w:tc>
      </w:tr>
      <w:tr>
        <w:trPr>
          <w:trHeight w:val="216"/>
        </w:trPr>
        <w:tc>
          <w:tcPr>
            <w:tcW w:w="88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8"/>
              </w:rPr>
              <w:t>reference to Exhibit 10.5 from the Cohu, Inc. Quarterly Report on Form 10-Q filed with the Securities and Exchange Commission on</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August 4, 2015*</w:t>
            </w:r>
          </w:p>
        </w:tc>
      </w:tr>
      <w:tr>
        <w:trPr>
          <w:trHeight w:val="418"/>
        </w:trPr>
        <w:tc>
          <w:tcPr>
            <w:tcW w:w="880" w:type="dxa"/>
            <w:vAlign w:val="bottom"/>
          </w:tcPr>
          <w:p>
            <w:pPr>
              <w:ind w:left="120"/>
              <w:spacing w:after="0"/>
              <w:rPr>
                <w:sz w:val="20"/>
                <w:szCs w:val="20"/>
                <w:color w:val="auto"/>
              </w:rPr>
            </w:pPr>
            <w:r>
              <w:rPr>
                <w:rFonts w:ascii="Arial" w:cs="Arial" w:eastAsia="Arial" w:hAnsi="Arial"/>
                <w:sz w:val="18"/>
                <w:szCs w:val="18"/>
                <w:color w:val="auto"/>
              </w:rPr>
              <w:t>10.9</w:t>
            </w: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w w:val="97"/>
              </w:rPr>
              <w:t>Form of stock option agreement for use with stock options granted pursuant to the Cohu, Inc. 2005 Equity Incentive Plan incorporated</w:t>
            </w:r>
          </w:p>
        </w:tc>
      </w:tr>
      <w:tr>
        <w:trPr>
          <w:trHeight w:val="216"/>
        </w:trPr>
        <w:tc>
          <w:tcPr>
            <w:tcW w:w="88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herein by reference to Exhibit 10.6 from the Cohu, Inc. Quarterly Report on Form 10-Q filed with the Securities and Exchange</w:t>
            </w:r>
          </w:p>
        </w:tc>
      </w:tr>
      <w:tr>
        <w:trPr>
          <w:trHeight w:val="230"/>
        </w:trPr>
        <w:tc>
          <w:tcPr>
            <w:tcW w:w="880" w:type="dxa"/>
            <w:vAlign w:val="bottom"/>
          </w:tcPr>
          <w:p>
            <w:pPr>
              <w:spacing w:after="0"/>
              <w:rPr>
                <w:sz w:val="20"/>
                <w:szCs w:val="20"/>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Commission on August 4, 2015*</w:t>
            </w:r>
          </w:p>
        </w:tc>
      </w:tr>
      <w:tr>
        <w:trPr>
          <w:trHeight w:val="675"/>
        </w:trPr>
        <w:tc>
          <w:tcPr>
            <w:tcW w:w="880" w:type="dxa"/>
            <w:vAlign w:val="bottom"/>
          </w:tcPr>
          <w:p>
            <w:pPr>
              <w:spacing w:after="0"/>
              <w:rPr>
                <w:sz w:val="24"/>
                <w:szCs w:val="24"/>
                <w:color w:val="auto"/>
              </w:rPr>
            </w:pPr>
          </w:p>
        </w:tc>
        <w:tc>
          <w:tcPr>
            <w:tcW w:w="10580" w:type="dxa"/>
            <w:vAlign w:val="bottom"/>
            <w:gridSpan w:val="3"/>
          </w:tcPr>
          <w:p>
            <w:pPr>
              <w:ind w:left="4740"/>
              <w:spacing w:after="0"/>
              <w:rPr>
                <w:sz w:val="20"/>
                <w:szCs w:val="20"/>
                <w:color w:val="auto"/>
              </w:rPr>
            </w:pPr>
            <w:r>
              <w:rPr>
                <w:rFonts w:ascii="Arial" w:cs="Arial" w:eastAsia="Arial" w:hAnsi="Arial"/>
                <w:sz w:val="18"/>
                <w:szCs w:val="18"/>
                <w:color w:val="auto"/>
              </w:rPr>
              <w:t>56</w:t>
            </w:r>
          </w:p>
        </w:tc>
      </w:tr>
      <w:tr>
        <w:trPr>
          <w:trHeight w:val="105"/>
        </w:trPr>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60" w:type="dxa"/>
            <w:vAlign w:val="bottom"/>
          </w:tcPr>
          <w:p>
            <w:pPr>
              <w:spacing w:after="0"/>
              <w:rPr>
                <w:sz w:val="9"/>
                <w:szCs w:val="9"/>
                <w:color w:val="auto"/>
              </w:rPr>
            </w:pPr>
          </w:p>
        </w:tc>
      </w:tr>
      <w:tr>
        <w:trPr>
          <w:trHeight w:val="61"/>
        </w:trPr>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9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ind w:left="100"/>
              <w:spacing w:after="0"/>
              <w:rPr>
                <w:sz w:val="20"/>
                <w:szCs w:val="20"/>
                <w:color w:val="auto"/>
              </w:rPr>
            </w:pPr>
            <w:r>
              <w:rPr>
                <w:rFonts w:ascii="Arial" w:cs="Arial" w:eastAsia="Arial" w:hAnsi="Arial"/>
                <w:sz w:val="18"/>
                <w:szCs w:val="18"/>
                <w:color w:val="auto"/>
              </w:rPr>
              <w:t>10.10</w:t>
            </w:r>
          </w:p>
        </w:tc>
        <w:tc>
          <w:tcPr>
            <w:tcW w:w="10580" w:type="dxa"/>
            <w:vAlign w:val="bottom"/>
          </w:tcPr>
          <w:p>
            <w:pPr>
              <w:ind w:left="300"/>
              <w:spacing w:after="0"/>
              <w:rPr>
                <w:sz w:val="20"/>
                <w:szCs w:val="20"/>
                <w:color w:val="auto"/>
              </w:rPr>
            </w:pPr>
            <w:r>
              <w:rPr>
                <w:rFonts w:ascii="Arial" w:cs="Arial" w:eastAsia="Arial" w:hAnsi="Arial"/>
                <w:sz w:val="18"/>
                <w:szCs w:val="18"/>
                <w:color w:val="auto"/>
                <w:w w:val="97"/>
              </w:rPr>
              <w:t>Intel Corporation Purchase Agreement Capital Equipment, Goods and Services, dated April 30, 2012, by and between Delta Design,</w:t>
            </w:r>
          </w:p>
        </w:tc>
      </w:tr>
      <w:tr>
        <w:trPr>
          <w:trHeight w:val="216"/>
        </w:trPr>
        <w:tc>
          <w:tcPr>
            <w:tcW w:w="88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9"/>
              </w:rPr>
              <w:t>Inc. and Intel Corporation incorporated herein by reference to Exhibit 99.1 from the Cohu, Inc. Current Report on Form 8-K/A filed</w:t>
            </w:r>
          </w:p>
        </w:tc>
      </w:tr>
      <w:tr>
        <w:trPr>
          <w:trHeight w:val="230"/>
        </w:trPr>
        <w:tc>
          <w:tcPr>
            <w:tcW w:w="880" w:type="dxa"/>
            <w:vAlign w:val="bottom"/>
          </w:tcPr>
          <w:p>
            <w:pPr>
              <w:spacing w:after="0"/>
              <w:rPr>
                <w:sz w:val="20"/>
                <w:szCs w:val="20"/>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August 1, 2012</w:t>
            </w:r>
          </w:p>
        </w:tc>
      </w:tr>
      <w:tr>
        <w:trPr>
          <w:trHeight w:val="418"/>
        </w:trPr>
        <w:tc>
          <w:tcPr>
            <w:tcW w:w="880" w:type="dxa"/>
            <w:vAlign w:val="bottom"/>
          </w:tcPr>
          <w:p>
            <w:pPr>
              <w:ind w:left="100"/>
              <w:spacing w:after="0"/>
              <w:rPr>
                <w:sz w:val="20"/>
                <w:szCs w:val="20"/>
                <w:color w:val="auto"/>
              </w:rPr>
            </w:pPr>
            <w:r>
              <w:rPr>
                <w:rFonts w:ascii="Arial" w:cs="Arial" w:eastAsia="Arial" w:hAnsi="Arial"/>
                <w:sz w:val="18"/>
                <w:szCs w:val="18"/>
                <w:color w:val="auto"/>
              </w:rPr>
              <w:t>10.11</w:t>
            </w:r>
          </w:p>
        </w:tc>
        <w:tc>
          <w:tcPr>
            <w:tcW w:w="10580" w:type="dxa"/>
            <w:vAlign w:val="bottom"/>
          </w:tcPr>
          <w:p>
            <w:pPr>
              <w:ind w:left="300"/>
              <w:spacing w:after="0"/>
              <w:rPr>
                <w:sz w:val="20"/>
                <w:szCs w:val="20"/>
                <w:color w:val="auto"/>
              </w:rPr>
            </w:pPr>
            <w:r>
              <w:rPr>
                <w:rFonts w:ascii="Arial" w:cs="Arial" w:eastAsia="Arial" w:hAnsi="Arial"/>
                <w:sz w:val="18"/>
                <w:szCs w:val="18"/>
                <w:color w:val="auto"/>
                <w:w w:val="96"/>
              </w:rPr>
              <w:t>Form of Indemnity Agreement, incorporated by reference to Exhibit 10.1 from the Cohu, Inc. Current Report on Form 8-K filed July 28,</w:t>
            </w:r>
          </w:p>
        </w:tc>
      </w:tr>
      <w:tr>
        <w:trPr>
          <w:trHeight w:val="230"/>
        </w:trPr>
        <w:tc>
          <w:tcPr>
            <w:tcW w:w="880" w:type="dxa"/>
            <w:vAlign w:val="bottom"/>
          </w:tcPr>
          <w:p>
            <w:pPr>
              <w:spacing w:after="0"/>
              <w:rPr>
                <w:sz w:val="20"/>
                <w:szCs w:val="20"/>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2008*</w:t>
            </w:r>
          </w:p>
        </w:tc>
      </w:tr>
      <w:tr>
        <w:trPr>
          <w:trHeight w:val="418"/>
        </w:trPr>
        <w:tc>
          <w:tcPr>
            <w:tcW w:w="880" w:type="dxa"/>
            <w:vAlign w:val="bottom"/>
          </w:tcPr>
          <w:p>
            <w:pPr>
              <w:ind w:left="100"/>
              <w:spacing w:after="0"/>
              <w:rPr>
                <w:sz w:val="20"/>
                <w:szCs w:val="20"/>
                <w:color w:val="auto"/>
              </w:rPr>
            </w:pPr>
            <w:r>
              <w:rPr>
                <w:rFonts w:ascii="Arial" w:cs="Arial" w:eastAsia="Arial" w:hAnsi="Arial"/>
                <w:sz w:val="18"/>
                <w:szCs w:val="18"/>
                <w:color w:val="auto"/>
              </w:rPr>
              <w:t>10.12</w:t>
            </w:r>
          </w:p>
        </w:tc>
        <w:tc>
          <w:tcPr>
            <w:tcW w:w="10580" w:type="dxa"/>
            <w:vAlign w:val="bottom"/>
          </w:tcPr>
          <w:p>
            <w:pPr>
              <w:ind w:left="300"/>
              <w:spacing w:after="0"/>
              <w:rPr>
                <w:sz w:val="20"/>
                <w:szCs w:val="20"/>
                <w:color w:val="auto"/>
              </w:rPr>
            </w:pPr>
            <w:r>
              <w:rPr>
                <w:rFonts w:ascii="Arial" w:cs="Arial" w:eastAsia="Arial" w:hAnsi="Arial"/>
                <w:sz w:val="18"/>
                <w:szCs w:val="18"/>
                <w:color w:val="auto"/>
              </w:rPr>
              <w:t>Cohu, Inc. Retiree Health Benefits Agreement (as amended) incorporated herein by reference to Exhibit 10.2 from the Cohu, Inc.</w:t>
            </w:r>
          </w:p>
        </w:tc>
      </w:tr>
      <w:tr>
        <w:trPr>
          <w:trHeight w:val="230"/>
        </w:trPr>
        <w:tc>
          <w:tcPr>
            <w:tcW w:w="880" w:type="dxa"/>
            <w:vAlign w:val="bottom"/>
          </w:tcPr>
          <w:p>
            <w:pPr>
              <w:spacing w:after="0"/>
              <w:rPr>
                <w:sz w:val="20"/>
                <w:szCs w:val="20"/>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Current Report on Form 8-K filed with the Securities and Exchange Commission on December 29, 2008*</w:t>
            </w:r>
          </w:p>
        </w:tc>
      </w:tr>
      <w:tr>
        <w:trPr>
          <w:trHeight w:val="418"/>
        </w:trPr>
        <w:tc>
          <w:tcPr>
            <w:tcW w:w="880" w:type="dxa"/>
            <w:vAlign w:val="bottom"/>
          </w:tcPr>
          <w:p>
            <w:pPr>
              <w:ind w:left="100"/>
              <w:spacing w:after="0"/>
              <w:rPr>
                <w:sz w:val="20"/>
                <w:szCs w:val="20"/>
                <w:color w:val="auto"/>
              </w:rPr>
            </w:pPr>
            <w:r>
              <w:rPr>
                <w:rFonts w:ascii="Arial" w:cs="Arial" w:eastAsia="Arial" w:hAnsi="Arial"/>
                <w:sz w:val="18"/>
                <w:szCs w:val="18"/>
                <w:color w:val="auto"/>
              </w:rPr>
              <w:t>10.13</w:t>
            </w:r>
          </w:p>
        </w:tc>
        <w:tc>
          <w:tcPr>
            <w:tcW w:w="10580" w:type="dxa"/>
            <w:vAlign w:val="bottom"/>
          </w:tcPr>
          <w:p>
            <w:pPr>
              <w:ind w:left="300"/>
              <w:spacing w:after="0"/>
              <w:rPr>
                <w:sz w:val="20"/>
                <w:szCs w:val="20"/>
                <w:color w:val="auto"/>
              </w:rPr>
            </w:pPr>
            <w:r>
              <w:rPr>
                <w:rFonts w:ascii="Arial" w:cs="Arial" w:eastAsia="Arial" w:hAnsi="Arial"/>
                <w:sz w:val="18"/>
                <w:szCs w:val="18"/>
                <w:color w:val="auto"/>
                <w:w w:val="96"/>
              </w:rPr>
              <w:t>Cohu, Inc. Change in Control Agreement incorporated herein by reference to Exhibit 10.3 from the Cohu, Inc. Current Report on Form</w:t>
            </w:r>
          </w:p>
        </w:tc>
      </w:tr>
      <w:tr>
        <w:trPr>
          <w:trHeight w:val="230"/>
        </w:trPr>
        <w:tc>
          <w:tcPr>
            <w:tcW w:w="880" w:type="dxa"/>
            <w:vAlign w:val="bottom"/>
          </w:tcPr>
          <w:p>
            <w:pPr>
              <w:spacing w:after="0"/>
              <w:rPr>
                <w:sz w:val="20"/>
                <w:szCs w:val="20"/>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8-K filed with the Securities and Exchange Commission on December 29, 2008*</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10.14</w:t>
            </w:r>
          </w:p>
        </w:tc>
        <w:tc>
          <w:tcPr>
            <w:tcW w:w="10580" w:type="dxa"/>
            <w:vAlign w:val="bottom"/>
          </w:tcPr>
          <w:p>
            <w:pPr>
              <w:ind w:left="300"/>
              <w:spacing w:after="0"/>
              <w:rPr>
                <w:sz w:val="20"/>
                <w:szCs w:val="20"/>
                <w:color w:val="auto"/>
              </w:rPr>
            </w:pPr>
            <w:r>
              <w:rPr>
                <w:rFonts w:ascii="Arial" w:cs="Arial" w:eastAsia="Arial" w:hAnsi="Arial"/>
                <w:sz w:val="18"/>
                <w:szCs w:val="18"/>
                <w:color w:val="auto"/>
              </w:rPr>
              <w:t>Lease agreement dated December 4, 2015 by and between CT Crosthwaite I, LLC and Cohu, Inc.</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21</w:t>
            </w:r>
          </w:p>
        </w:tc>
        <w:tc>
          <w:tcPr>
            <w:tcW w:w="10580" w:type="dxa"/>
            <w:vAlign w:val="bottom"/>
          </w:tcPr>
          <w:p>
            <w:pPr>
              <w:ind w:left="300"/>
              <w:spacing w:after="0"/>
              <w:rPr>
                <w:sz w:val="20"/>
                <w:szCs w:val="20"/>
                <w:color w:val="auto"/>
              </w:rPr>
            </w:pPr>
            <w:r>
              <w:rPr>
                <w:rFonts w:ascii="Arial" w:cs="Arial" w:eastAsia="Arial" w:hAnsi="Arial"/>
                <w:sz w:val="18"/>
                <w:szCs w:val="18"/>
                <w:color w:val="auto"/>
              </w:rPr>
              <w:t>Subsidiaries of Cohu, Inc.</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23</w:t>
            </w:r>
          </w:p>
        </w:tc>
        <w:tc>
          <w:tcPr>
            <w:tcW w:w="1058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18"/>
        </w:trPr>
        <w:tc>
          <w:tcPr>
            <w:tcW w:w="880" w:type="dxa"/>
            <w:vAlign w:val="bottom"/>
          </w:tcPr>
          <w:p>
            <w:pPr>
              <w:ind w:left="100"/>
              <w:spacing w:after="0"/>
              <w:rPr>
                <w:sz w:val="20"/>
                <w:szCs w:val="20"/>
                <w:color w:val="auto"/>
              </w:rPr>
            </w:pPr>
            <w:r>
              <w:rPr>
                <w:rFonts w:ascii="Arial" w:cs="Arial" w:eastAsia="Arial" w:hAnsi="Arial"/>
                <w:sz w:val="18"/>
                <w:szCs w:val="18"/>
                <w:color w:val="auto"/>
              </w:rPr>
              <w:t>31.1</w:t>
            </w:r>
          </w:p>
        </w:tc>
        <w:tc>
          <w:tcPr>
            <w:tcW w:w="10580" w:type="dxa"/>
            <w:vAlign w:val="bottom"/>
          </w:tcPr>
          <w:p>
            <w:pPr>
              <w:ind w:left="300"/>
              <w:spacing w:after="0"/>
              <w:rPr>
                <w:sz w:val="20"/>
                <w:szCs w:val="20"/>
                <w:color w:val="auto"/>
              </w:rPr>
            </w:pPr>
            <w:r>
              <w:rPr>
                <w:rFonts w:ascii="Arial" w:cs="Arial" w:eastAsia="Arial" w:hAnsi="Arial"/>
                <w:sz w:val="18"/>
                <w:szCs w:val="18"/>
                <w:color w:val="auto"/>
              </w:rPr>
              <w:t>Certification pursuant to Section 302(a) of the Sarbanes-Oxley Act of 2002 for Luis A. Müller</w:t>
            </w:r>
          </w:p>
        </w:tc>
      </w:tr>
      <w:tr>
        <w:trPr>
          <w:trHeight w:val="216"/>
        </w:trPr>
        <w:tc>
          <w:tcPr>
            <w:tcW w:w="880" w:type="dxa"/>
            <w:vAlign w:val="bottom"/>
          </w:tcPr>
          <w:p>
            <w:pPr>
              <w:ind w:left="100"/>
              <w:spacing w:after="0"/>
              <w:rPr>
                <w:sz w:val="20"/>
                <w:szCs w:val="20"/>
                <w:color w:val="auto"/>
              </w:rPr>
            </w:pPr>
            <w:r>
              <w:rPr>
                <w:rFonts w:ascii="Arial" w:cs="Arial" w:eastAsia="Arial" w:hAnsi="Arial"/>
                <w:sz w:val="18"/>
                <w:szCs w:val="18"/>
                <w:color w:val="auto"/>
              </w:rPr>
              <w:t>31.2</w:t>
            </w:r>
          </w:p>
        </w:tc>
        <w:tc>
          <w:tcPr>
            <w:tcW w:w="10580" w:type="dxa"/>
            <w:vAlign w:val="bottom"/>
          </w:tcPr>
          <w:p>
            <w:pPr>
              <w:ind w:left="300"/>
              <w:spacing w:after="0"/>
              <w:rPr>
                <w:sz w:val="20"/>
                <w:szCs w:val="20"/>
                <w:color w:val="auto"/>
              </w:rPr>
            </w:pPr>
            <w:r>
              <w:rPr>
                <w:rFonts w:ascii="Arial" w:cs="Arial" w:eastAsia="Arial" w:hAnsi="Arial"/>
                <w:sz w:val="18"/>
                <w:szCs w:val="18"/>
                <w:color w:val="auto"/>
              </w:rPr>
              <w:t>Certification pursuant to Section 302(a) of the Sarbanes-Oxley Act of 2002 for Jeffrey D. Jones</w:t>
            </w:r>
          </w:p>
        </w:tc>
      </w:tr>
      <w:tr>
        <w:trPr>
          <w:trHeight w:val="216"/>
        </w:trPr>
        <w:tc>
          <w:tcPr>
            <w:tcW w:w="880" w:type="dxa"/>
            <w:vAlign w:val="bottom"/>
          </w:tcPr>
          <w:p>
            <w:pPr>
              <w:ind w:left="100"/>
              <w:spacing w:after="0"/>
              <w:rPr>
                <w:sz w:val="20"/>
                <w:szCs w:val="20"/>
                <w:color w:val="auto"/>
              </w:rPr>
            </w:pPr>
            <w:r>
              <w:rPr>
                <w:rFonts w:ascii="Arial" w:cs="Arial" w:eastAsia="Arial" w:hAnsi="Arial"/>
                <w:sz w:val="18"/>
                <w:szCs w:val="18"/>
                <w:color w:val="auto"/>
              </w:rPr>
              <w:t>32.1</w:t>
            </w:r>
          </w:p>
        </w:tc>
        <w:tc>
          <w:tcPr>
            <w:tcW w:w="10580" w:type="dxa"/>
            <w:vAlign w:val="bottom"/>
          </w:tcPr>
          <w:p>
            <w:pPr>
              <w:ind w:left="30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 for Luis A.</w:t>
            </w:r>
          </w:p>
        </w:tc>
      </w:tr>
      <w:tr>
        <w:trPr>
          <w:trHeight w:val="216"/>
        </w:trPr>
        <w:tc>
          <w:tcPr>
            <w:tcW w:w="88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Müller</w:t>
            </w:r>
          </w:p>
        </w:tc>
      </w:tr>
      <w:tr>
        <w:trPr>
          <w:trHeight w:val="216"/>
        </w:trPr>
        <w:tc>
          <w:tcPr>
            <w:tcW w:w="880" w:type="dxa"/>
            <w:vAlign w:val="bottom"/>
          </w:tcPr>
          <w:p>
            <w:pPr>
              <w:ind w:left="100"/>
              <w:spacing w:after="0"/>
              <w:rPr>
                <w:sz w:val="20"/>
                <w:szCs w:val="20"/>
                <w:color w:val="auto"/>
              </w:rPr>
            </w:pPr>
            <w:r>
              <w:rPr>
                <w:rFonts w:ascii="Arial" w:cs="Arial" w:eastAsia="Arial" w:hAnsi="Arial"/>
                <w:sz w:val="18"/>
                <w:szCs w:val="18"/>
                <w:color w:val="auto"/>
              </w:rPr>
              <w:t>32.2</w:t>
            </w:r>
          </w:p>
        </w:tc>
        <w:tc>
          <w:tcPr>
            <w:tcW w:w="10580" w:type="dxa"/>
            <w:vAlign w:val="bottom"/>
          </w:tcPr>
          <w:p>
            <w:pPr>
              <w:ind w:left="30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for Jeffrey D.</w:t>
            </w:r>
          </w:p>
        </w:tc>
      </w:tr>
      <w:tr>
        <w:trPr>
          <w:trHeight w:val="230"/>
        </w:trPr>
        <w:tc>
          <w:tcPr>
            <w:tcW w:w="880" w:type="dxa"/>
            <w:vAlign w:val="bottom"/>
          </w:tcPr>
          <w:p>
            <w:pPr>
              <w:spacing w:after="0"/>
              <w:rPr>
                <w:sz w:val="20"/>
                <w:szCs w:val="20"/>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Jones</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101.INS</w:t>
            </w:r>
          </w:p>
        </w:tc>
        <w:tc>
          <w:tcPr>
            <w:tcW w:w="105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101.SCH</w:t>
            </w:r>
          </w:p>
        </w:tc>
        <w:tc>
          <w:tcPr>
            <w:tcW w:w="1058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101.CAL</w:t>
            </w:r>
          </w:p>
        </w:tc>
        <w:tc>
          <w:tcPr>
            <w:tcW w:w="1058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101.DEF</w:t>
            </w:r>
          </w:p>
        </w:tc>
        <w:tc>
          <w:tcPr>
            <w:tcW w:w="1058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101.LAB</w:t>
            </w:r>
          </w:p>
        </w:tc>
        <w:tc>
          <w:tcPr>
            <w:tcW w:w="105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80" w:type="dxa"/>
            <w:vAlign w:val="bottom"/>
          </w:tcPr>
          <w:p>
            <w:pPr>
              <w:ind w:left="100"/>
              <w:spacing w:after="0"/>
              <w:rPr>
                <w:sz w:val="20"/>
                <w:szCs w:val="20"/>
                <w:color w:val="auto"/>
              </w:rPr>
            </w:pPr>
            <w:r>
              <w:rPr>
                <w:rFonts w:ascii="Arial" w:cs="Arial" w:eastAsia="Arial" w:hAnsi="Arial"/>
                <w:sz w:val="18"/>
                <w:szCs w:val="18"/>
                <w:color w:val="auto"/>
              </w:rPr>
              <w:t>101.PRE</w:t>
            </w:r>
          </w:p>
        </w:tc>
        <w:tc>
          <w:tcPr>
            <w:tcW w:w="1058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880" w:type="dxa"/>
            <w:vAlign w:val="bottom"/>
          </w:tcPr>
          <w:p>
            <w:pPr>
              <w:spacing w:after="0"/>
              <w:rPr>
                <w:sz w:val="24"/>
                <w:szCs w:val="24"/>
                <w:color w:val="auto"/>
              </w:rPr>
            </w:pPr>
          </w:p>
        </w:tc>
        <w:tc>
          <w:tcPr>
            <w:tcW w:w="10580" w:type="dxa"/>
            <w:vAlign w:val="bottom"/>
          </w:tcPr>
          <w:p>
            <w:pPr>
              <w:ind w:left="80"/>
              <w:spacing w:after="0"/>
              <w:rPr>
                <w:sz w:val="20"/>
                <w:szCs w:val="20"/>
                <w:color w:val="auto"/>
              </w:rPr>
            </w:pPr>
            <w:r>
              <w:rPr>
                <w:rFonts w:ascii="Arial" w:cs="Arial" w:eastAsia="Arial" w:hAnsi="Arial"/>
                <w:sz w:val="18"/>
                <w:szCs w:val="18"/>
                <w:color w:val="auto"/>
              </w:rPr>
              <w:t>* Management contract or compensatory plan or arrangement</w:t>
            </w:r>
          </w:p>
        </w:tc>
      </w:tr>
      <w:tr>
        <w:trPr>
          <w:trHeight w:val="729"/>
        </w:trPr>
        <w:tc>
          <w:tcPr>
            <w:tcW w:w="880" w:type="dxa"/>
            <w:vAlign w:val="bottom"/>
          </w:tcPr>
          <w:p>
            <w:pPr>
              <w:spacing w:after="0"/>
              <w:rPr>
                <w:sz w:val="24"/>
                <w:szCs w:val="24"/>
                <w:color w:val="auto"/>
              </w:rPr>
            </w:pPr>
          </w:p>
        </w:tc>
        <w:tc>
          <w:tcPr>
            <w:tcW w:w="10580" w:type="dxa"/>
            <w:vAlign w:val="bottom"/>
          </w:tcPr>
          <w:p>
            <w:pPr>
              <w:ind w:left="4740"/>
              <w:spacing w:after="0"/>
              <w:rPr>
                <w:sz w:val="20"/>
                <w:szCs w:val="20"/>
                <w:color w:val="auto"/>
              </w:rPr>
            </w:pPr>
            <w:r>
              <w:rPr>
                <w:rFonts w:ascii="Arial" w:cs="Arial" w:eastAsia="Arial" w:hAnsi="Arial"/>
                <w:sz w:val="18"/>
                <w:szCs w:val="18"/>
                <w:color w:val="auto"/>
              </w:rPr>
              <w:t>57</w:t>
            </w:r>
          </w:p>
        </w:tc>
      </w:tr>
      <w:tr>
        <w:trPr>
          <w:trHeight w:val="105"/>
        </w:trPr>
        <w:tc>
          <w:tcPr>
            <w:tcW w:w="880" w:type="dxa"/>
            <w:vAlign w:val="bottom"/>
          </w:tcPr>
          <w:p>
            <w:pPr>
              <w:spacing w:after="0"/>
              <w:rPr>
                <w:sz w:val="9"/>
                <w:szCs w:val="9"/>
                <w:color w:val="auto"/>
              </w:rPr>
            </w:pPr>
          </w:p>
        </w:tc>
        <w:tc>
          <w:tcPr>
            <w:tcW w:w="10580" w:type="dxa"/>
            <w:vAlign w:val="bottom"/>
          </w:tcPr>
          <w:p>
            <w:pPr>
              <w:spacing w:after="0"/>
              <w:rPr>
                <w:sz w:val="9"/>
                <w:szCs w:val="9"/>
                <w:color w:val="auto"/>
              </w:rPr>
            </w:pPr>
          </w:p>
        </w:tc>
      </w:tr>
      <w:tr>
        <w:trPr>
          <w:trHeight w:val="61"/>
        </w:trPr>
        <w:tc>
          <w:tcPr>
            <w:tcW w:w="880" w:type="dxa"/>
            <w:vAlign w:val="bottom"/>
            <w:shd w:val="clear" w:color="auto" w:fill="808080"/>
          </w:tcPr>
          <w:p>
            <w:pPr>
              <w:spacing w:after="0"/>
              <w:rPr>
                <w:sz w:val="5"/>
                <w:szCs w:val="5"/>
                <w:color w:val="auto"/>
              </w:rPr>
            </w:pPr>
          </w:p>
        </w:tc>
        <w:tc>
          <w:tcPr>
            <w:tcW w:w="105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59" w:name="page60"/>
    <w:bookmarkEnd w:id="59"/>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COHU,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February 23, 2016</w:t>
            </w:r>
          </w:p>
        </w:tc>
        <w:tc>
          <w:tcPr>
            <w:tcW w:w="4660" w:type="dxa"/>
            <w:vAlign w:val="bottom"/>
            <w:gridSpan w:val="2"/>
          </w:tcPr>
          <w:p>
            <w:pPr>
              <w:ind w:left="1560"/>
              <w:spacing w:after="0"/>
              <w:rPr>
                <w:sz w:val="20"/>
                <w:szCs w:val="20"/>
                <w:color w:val="auto"/>
              </w:rPr>
            </w:pPr>
            <w:r>
              <w:rPr>
                <w:rFonts w:ascii="Arial" w:cs="Arial" w:eastAsia="Arial" w:hAnsi="Arial"/>
                <w:sz w:val="18"/>
                <w:szCs w:val="18"/>
                <w:color w:val="auto"/>
              </w:rPr>
              <w:t>By:/s/ Luis A. Müller</w:t>
            </w:r>
          </w:p>
        </w:tc>
      </w:tr>
      <w:tr>
        <w:trPr>
          <w:trHeight w:val="195"/>
        </w:trPr>
        <w:tc>
          <w:tcPr>
            <w:tcW w:w="3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Luis A. Müller</w:t>
            </w:r>
          </w:p>
        </w:tc>
      </w:tr>
      <w:tr>
        <w:trPr>
          <w:trHeight w:val="230"/>
        </w:trPr>
        <w:tc>
          <w:tcPr>
            <w:tcW w:w="3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4"/>
              </w:rPr>
              <w:t>President and Chief Executive Officer</w:t>
            </w:r>
          </w:p>
        </w:tc>
      </w:tr>
    </w:tbl>
    <w:p>
      <w:pPr>
        <w:spacing w:after="0" w:line="200" w:lineRule="exact"/>
        <w:rPr>
          <w:sz w:val="20"/>
          <w:szCs w:val="20"/>
          <w:color w:val="auto"/>
        </w:rPr>
      </w:pPr>
    </w:p>
    <w:p>
      <w:pPr>
        <w:spacing w:after="0" w:line="27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240" w:top="580" w:right="3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620"/>
        <w:spacing w:after="0" w:line="360" w:lineRule="auto"/>
        <w:rPr>
          <w:sz w:val="20"/>
          <w:szCs w:val="20"/>
          <w:color w:val="auto"/>
        </w:rPr>
      </w:pPr>
      <w:r>
        <w:rPr>
          <w:rFonts w:ascii="Arial" w:cs="Arial" w:eastAsia="Arial" w:hAnsi="Arial"/>
          <w:sz w:val="16"/>
          <w:szCs w:val="16"/>
          <w:color w:val="auto"/>
        </w:rPr>
        <w:t>/s/ James A. Donahue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6205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6205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6205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4" w:lineRule="exact"/>
        <w:rPr>
          <w:sz w:val="20"/>
          <w:szCs w:val="20"/>
          <w:color w:val="auto"/>
        </w:rPr>
      </w:pPr>
    </w:p>
    <w:p>
      <w:pPr>
        <w:ind w:right="520"/>
        <w:spacing w:after="0" w:line="360" w:lineRule="auto"/>
        <w:rPr>
          <w:sz w:val="20"/>
          <w:szCs w:val="20"/>
          <w:color w:val="auto"/>
        </w:rPr>
      </w:pPr>
      <w:r>
        <w:rPr>
          <w:rFonts w:ascii="Arial" w:cs="Arial" w:eastAsia="Arial" w:hAnsi="Arial"/>
          <w:sz w:val="16"/>
          <w:szCs w:val="16"/>
          <w:color w:val="auto"/>
        </w:rPr>
        <w:t>/s/ William E. Bendush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6205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90" w:lineRule="exact"/>
        <w:rPr>
          <w:sz w:val="20"/>
          <w:szCs w:val="20"/>
          <w:color w:val="auto"/>
        </w:rPr>
      </w:pPr>
    </w:p>
    <w:p>
      <w:pPr>
        <w:ind w:right="640"/>
        <w:spacing w:after="0" w:line="360" w:lineRule="auto"/>
        <w:rPr>
          <w:sz w:val="20"/>
          <w:szCs w:val="20"/>
          <w:color w:val="auto"/>
        </w:rPr>
      </w:pPr>
      <w:r>
        <w:rPr>
          <w:rFonts w:ascii="Arial" w:cs="Arial" w:eastAsia="Arial" w:hAnsi="Arial"/>
          <w:sz w:val="16"/>
          <w:szCs w:val="16"/>
          <w:color w:val="auto"/>
        </w:rPr>
        <w:t>/s/ Steven J. Bilodeau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6205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90" w:lineRule="exact"/>
        <w:rPr>
          <w:sz w:val="20"/>
          <w:szCs w:val="20"/>
          <w:color w:val="auto"/>
        </w:rPr>
      </w:pPr>
    </w:p>
    <w:p>
      <w:pPr>
        <w:ind w:right="600"/>
        <w:spacing w:after="0" w:line="360" w:lineRule="auto"/>
        <w:rPr>
          <w:sz w:val="20"/>
          <w:szCs w:val="20"/>
          <w:color w:val="auto"/>
        </w:rPr>
      </w:pPr>
      <w:r>
        <w:rPr>
          <w:rFonts w:ascii="Arial" w:cs="Arial" w:eastAsia="Arial" w:hAnsi="Arial"/>
          <w:sz w:val="16"/>
          <w:szCs w:val="16"/>
          <w:color w:val="auto"/>
        </w:rPr>
        <w:t>/s/ Andrew M. Caggia 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6205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90" w:lineRule="exact"/>
        <w:rPr>
          <w:sz w:val="20"/>
          <w:szCs w:val="20"/>
          <w:color w:val="auto"/>
        </w:rPr>
      </w:pPr>
    </w:p>
    <w:p>
      <w:pPr>
        <w:ind w:right="580"/>
        <w:spacing w:after="0" w:line="360" w:lineRule="auto"/>
        <w:rPr>
          <w:sz w:val="20"/>
          <w:szCs w:val="20"/>
          <w:color w:val="auto"/>
        </w:rPr>
      </w:pPr>
      <w:r>
        <w:rPr>
          <w:rFonts w:ascii="Arial" w:cs="Arial" w:eastAsia="Arial" w:hAnsi="Arial"/>
          <w:sz w:val="16"/>
          <w:szCs w:val="16"/>
          <w:color w:val="auto"/>
        </w:rPr>
        <w:t>/s/ Robert L. Ciardella 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6205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Karl H. Funke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Karl H. Funke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6205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140" w:type="dxa"/>
            <w:vAlign w:val="bottom"/>
            <w:gridSpan w:val="3"/>
          </w:tcPr>
          <w:p>
            <w:pPr>
              <w:ind w:left="800"/>
              <w:spacing w:after="0"/>
              <w:rPr>
                <w:sz w:val="20"/>
                <w:szCs w:val="20"/>
                <w:color w:val="auto"/>
              </w:rPr>
            </w:pPr>
            <w:r>
              <w:rPr>
                <w:rFonts w:ascii="Arial" w:cs="Arial" w:eastAsia="Arial" w:hAnsi="Arial"/>
                <w:sz w:val="18"/>
                <w:szCs w:val="18"/>
                <w:b w:val="1"/>
                <w:bCs w:val="1"/>
                <w:color w:val="auto"/>
              </w:rPr>
              <w:t>Date</w:t>
            </w:r>
          </w:p>
        </w:tc>
      </w:tr>
      <w:tr>
        <w:trPr>
          <w:trHeight w:val="20"/>
        </w:trPr>
        <w:tc>
          <w:tcPr>
            <w:tcW w:w="3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2"/>
        </w:trPr>
        <w:tc>
          <w:tcPr>
            <w:tcW w:w="45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1"/>
        </w:trPr>
        <w:tc>
          <w:tcPr>
            <w:tcW w:w="45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Director (Principal Executive Officer)</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1"/>
        </w:trPr>
        <w:tc>
          <w:tcPr>
            <w:tcW w:w="452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r>
        <w:trPr>
          <w:trHeight w:val="662"/>
        </w:trPr>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r>
        <w:trPr>
          <w:trHeight w:val="662"/>
        </w:trPr>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r>
        <w:trPr>
          <w:trHeight w:val="662"/>
        </w:trPr>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r>
        <w:trPr>
          <w:trHeight w:val="662"/>
        </w:trPr>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800"/>
              <w:spacing w:after="0"/>
              <w:rPr>
                <w:sz w:val="20"/>
                <w:szCs w:val="20"/>
                <w:color w:val="auto"/>
              </w:rPr>
            </w:pPr>
            <w:r>
              <w:rPr>
                <w:rFonts w:ascii="Arial" w:cs="Arial" w:eastAsia="Arial" w:hAnsi="Arial"/>
                <w:sz w:val="18"/>
                <w:szCs w:val="18"/>
                <w:color w:val="auto"/>
                <w:w w:val="89"/>
              </w:rPr>
              <w:t>February 23, 2016</w:t>
            </w:r>
          </w:p>
        </w:tc>
      </w:tr>
    </w:tbl>
    <w:p>
      <w:pPr>
        <w:spacing w:after="0" w:line="393" w:lineRule="exact"/>
        <w:rPr>
          <w:sz w:val="20"/>
          <w:szCs w:val="20"/>
          <w:color w:val="auto"/>
        </w:rPr>
      </w:pPr>
    </w:p>
    <w:p>
      <w:pPr>
        <w:sectPr>
          <w:pgSz w:w="11900" w:h="16838" w:orient="portrait"/>
          <w:cols w:equalWidth="0" w:num="2">
            <w:col w:w="2200" w:space="720"/>
            <w:col w:w="8420"/>
          </w:cols>
          <w:pgMar w:left="240" w:top="580" w:right="319" w:bottom="1440" w:gutter="0" w:footer="0" w:header="0"/>
          <w:type w:val="continuous"/>
        </w:sect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293"/>
              <w:spacing w:after="0"/>
              <w:rPr>
                <w:sz w:val="20"/>
                <w:szCs w:val="20"/>
                <w:color w:val="auto"/>
              </w:rPr>
            </w:pPr>
            <w:r>
              <w:rPr>
                <w:rFonts w:ascii="Arial" w:cs="Arial" w:eastAsia="Arial" w:hAnsi="Arial"/>
                <w:sz w:val="18"/>
                <w:szCs w:val="18"/>
                <w:color w:val="auto"/>
                <w:w w:val="97"/>
              </w:rPr>
              <w:t>Additions</w:t>
            </w:r>
          </w:p>
        </w:tc>
        <w:tc>
          <w:tcPr>
            <w:tcW w:w="16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7"/>
              </w:rPr>
              <w:t>Additions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293"/>
              <w:spacing w:after="0"/>
              <w:rPr>
                <w:sz w:val="20"/>
                <w:szCs w:val="20"/>
                <w:color w:val="auto"/>
              </w:rPr>
            </w:pPr>
            <w:r>
              <w:rPr>
                <w:rFonts w:ascii="Arial" w:cs="Arial" w:eastAsia="Arial" w:hAnsi="Arial"/>
                <w:sz w:val="18"/>
                <w:szCs w:val="18"/>
                <w:color w:val="auto"/>
                <w:w w:val="90"/>
              </w:rPr>
              <w:t>(Reductions)</w:t>
            </w:r>
          </w:p>
        </w:tc>
        <w:tc>
          <w:tcPr>
            <w:tcW w:w="16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90"/>
              </w:rPr>
              <w:t>(Reductions)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6"/>
              </w:rPr>
              <w:t>Balance at</w:t>
            </w:r>
          </w:p>
        </w:tc>
        <w:tc>
          <w:tcPr>
            <w:tcW w:w="200" w:type="dxa"/>
            <w:vAlign w:val="bottom"/>
          </w:tcPr>
          <w:p>
            <w:pPr>
              <w:spacing w:after="0"/>
              <w:rPr>
                <w:sz w:val="18"/>
                <w:szCs w:val="18"/>
                <w:color w:val="auto"/>
              </w:rPr>
            </w:pPr>
          </w:p>
        </w:tc>
        <w:tc>
          <w:tcPr>
            <w:tcW w:w="1340" w:type="dxa"/>
            <w:vAlign w:val="bottom"/>
          </w:tcPr>
          <w:p>
            <w:pPr>
              <w:jc w:val="center"/>
              <w:ind w:right="293"/>
              <w:spacing w:after="0"/>
              <w:rPr>
                <w:sz w:val="20"/>
                <w:szCs w:val="20"/>
                <w:color w:val="auto"/>
              </w:rPr>
            </w:pPr>
            <w:r>
              <w:rPr>
                <w:rFonts w:ascii="Arial" w:cs="Arial" w:eastAsia="Arial" w:hAnsi="Arial"/>
                <w:sz w:val="18"/>
                <w:szCs w:val="18"/>
                <w:color w:val="auto"/>
                <w:w w:val="99"/>
              </w:rPr>
              <w:t>Not</w:t>
            </w:r>
          </w:p>
        </w:tc>
        <w:tc>
          <w:tcPr>
            <w:tcW w:w="16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6"/>
              </w:rPr>
              <w:t>Charged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9"/>
                <w:szCs w:val="19"/>
                <w:color w:val="auto"/>
              </w:rPr>
            </w:pPr>
          </w:p>
        </w:tc>
        <w:tc>
          <w:tcPr>
            <w:tcW w:w="1340" w:type="dxa"/>
            <w:vAlign w:val="bottom"/>
          </w:tcPr>
          <w:p>
            <w:pPr>
              <w:jc w:val="center"/>
              <w:ind w:right="293"/>
              <w:spacing w:after="0"/>
              <w:rPr>
                <w:sz w:val="20"/>
                <w:szCs w:val="20"/>
                <w:color w:val="auto"/>
              </w:rPr>
            </w:pPr>
            <w:r>
              <w:rPr>
                <w:rFonts w:ascii="Arial" w:cs="Arial" w:eastAsia="Arial" w:hAnsi="Arial"/>
                <w:sz w:val="18"/>
                <w:szCs w:val="18"/>
                <w:color w:val="auto"/>
                <w:w w:val="86"/>
              </w:rPr>
              <w:t>Charged</w:t>
            </w:r>
          </w:p>
        </w:tc>
        <w:tc>
          <w:tcPr>
            <w:tcW w:w="160" w:type="dxa"/>
            <w:vAlign w:val="bottom"/>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(Credited)</w:t>
            </w:r>
          </w:p>
        </w:tc>
        <w:tc>
          <w:tcPr>
            <w:tcW w:w="2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0"/>
              </w:rPr>
              <w:t>Deductions/</w:t>
            </w:r>
          </w:p>
        </w:tc>
        <w:tc>
          <w:tcPr>
            <w:tcW w:w="3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at End</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2"/>
              </w:rPr>
              <w:t>of Year</w:t>
            </w:r>
          </w:p>
        </w:tc>
        <w:tc>
          <w:tcPr>
            <w:tcW w:w="200" w:type="dxa"/>
            <w:vAlign w:val="bottom"/>
          </w:tcPr>
          <w:p>
            <w:pPr>
              <w:spacing w:after="0"/>
              <w:rPr>
                <w:sz w:val="20"/>
                <w:szCs w:val="20"/>
                <w:color w:val="auto"/>
              </w:rPr>
            </w:pPr>
          </w:p>
        </w:tc>
        <w:tc>
          <w:tcPr>
            <w:tcW w:w="1340" w:type="dxa"/>
            <w:vAlign w:val="bottom"/>
          </w:tcPr>
          <w:p>
            <w:pPr>
              <w:jc w:val="center"/>
              <w:ind w:right="293"/>
              <w:spacing w:after="0"/>
              <w:rPr>
                <w:sz w:val="20"/>
                <w:szCs w:val="20"/>
                <w:color w:val="auto"/>
              </w:rPr>
            </w:pPr>
            <w:r>
              <w:rPr>
                <w:rFonts w:ascii="Arial" w:cs="Arial" w:eastAsia="Arial" w:hAnsi="Arial"/>
                <w:sz w:val="18"/>
                <w:szCs w:val="18"/>
                <w:color w:val="auto"/>
                <w:w w:val="88"/>
              </w:rPr>
              <w:t>to Expense</w:t>
            </w:r>
          </w:p>
        </w:tc>
        <w:tc>
          <w:tcPr>
            <w:tcW w:w="16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8"/>
              </w:rPr>
              <w:t>to Expense</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Write-offs</w:t>
            </w:r>
          </w:p>
        </w:tc>
        <w:tc>
          <w:tcPr>
            <w:tcW w:w="3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of Year</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28,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353</w:t>
            </w:r>
            <w:r>
              <w:rPr>
                <w:rFonts w:ascii="Arial" w:cs="Arial" w:eastAsia="Arial" w:hAnsi="Arial"/>
                <w:sz w:val="15"/>
                <w:szCs w:val="15"/>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27,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Reserve for excess and obsolete inventories:</w:t>
            </w: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Year ended December 28, 2013</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25,261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line="216" w:lineRule="exact"/>
              <w:rPr>
                <w:sz w:val="20"/>
                <w:szCs w:val="20"/>
                <w:color w:val="auto"/>
              </w:rPr>
            </w:pPr>
            <w:r>
              <w:rPr>
                <w:rFonts w:ascii="Arial" w:cs="Arial" w:eastAsia="Arial" w:hAnsi="Arial"/>
                <w:sz w:val="16"/>
                <w:szCs w:val="16"/>
                <w:color w:val="auto"/>
              </w:rPr>
              <w:t>7,398</w:t>
            </w:r>
            <w:r>
              <w:rPr>
                <w:rFonts w:ascii="Arial" w:cs="Arial" w:eastAsia="Arial" w:hAnsi="Arial"/>
                <w:sz w:val="25"/>
                <w:szCs w:val="25"/>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Year ended December 27, 2014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35,221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16" w:lineRule="exact"/>
              <w:rPr>
                <w:sz w:val="20"/>
                <w:szCs w:val="20"/>
                <w:color w:val="auto"/>
              </w:rPr>
            </w:pPr>
            <w:r>
              <w:rPr>
                <w:rFonts w:ascii="Arial" w:cs="Arial" w:eastAsia="Arial" w:hAnsi="Arial"/>
                <w:sz w:val="16"/>
                <w:szCs w:val="16"/>
                <w:color w:val="auto"/>
              </w:rPr>
              <w:t>(762)</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9,232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vMerge w:val="continue"/>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26, 2015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324" w:lineRule="exact"/>
              <w:rPr>
                <w:sz w:val="20"/>
                <w:szCs w:val="20"/>
                <w:color w:val="auto"/>
              </w:rPr>
            </w:pPr>
            <w:r>
              <w:rPr>
                <w:rFonts w:ascii="Arial" w:cs="Arial" w:eastAsia="Arial" w:hAnsi="Arial"/>
                <w:sz w:val="18"/>
                <w:szCs w:val="18"/>
                <w:color w:val="auto"/>
              </w:rPr>
              <w:t>(648)</w:t>
            </w:r>
            <w:r>
              <w:rPr>
                <w:rFonts w:ascii="Arial" w:cs="Arial" w:eastAsia="Arial" w:hAnsi="Arial"/>
                <w:sz w:val="30"/>
                <w:szCs w:val="30"/>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26,653</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All amounts presented above have been restated to exclude the impact of our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(1)Changes in reserve balances resulting from foreign currency impact.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(2)Includes $0.4 million resulting from Ismeca Acquisition on December 31, 2012 and foreign currency impact.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(3)Includes $6.8 million resulting from Ismeca Acquisition on December 31, 2012, foreign currency impact and reclass from other reserves.</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LEASE</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CT CROSTHWAITE I,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 Delaware limited liability company,</w:t>
      </w:r>
    </w:p>
    <w:p>
      <w:pPr>
        <w:spacing w:after="0" w:line="23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AS LANDLORD,</w:t>
      </w:r>
    </w:p>
    <w:p>
      <w:pPr>
        <w:spacing w:after="0" w:line="200" w:lineRule="exact"/>
        <w:rPr>
          <w:sz w:val="20"/>
          <w:szCs w:val="20"/>
          <w:color w:val="auto"/>
        </w:rPr>
      </w:pPr>
    </w:p>
    <w:p>
      <w:pPr>
        <w:spacing w:after="0" w:line="26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AS TENANT</w:t>
      </w:r>
    </w:p>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12367 Crosthwaite Circle</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SUITE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787400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20" w:type="dxa"/>
            <w:vAlign w:val="bottom"/>
            <w:gridSpan w:val="3"/>
          </w:tcPr>
          <w:p>
            <w:pPr>
              <w:ind w:left="326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BASIC LEASE PROVISIONS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2</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TERM/PREMISES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3</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RENTAL</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Basic Rental</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Direct Costs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(c)</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Definitions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Determination of Payment</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(e)</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Use of Common Area</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Maintenance of Common Area</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SECURITY DEPOSIT</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5</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HOLDING OVER</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6</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OTHER TAXES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7</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PERMITTED USE/COMPLIANCE WITH LAWS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Permitted Use</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Compliance with Laws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(c)</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Certain Prohibited Uses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Care of Premises by Tenant</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(e)</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Tenant Financial Statements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Confidentiality; Marketing Materials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8</w:t>
            </w:r>
          </w:p>
        </w:tc>
        <w:tc>
          <w:tcPr>
            <w:tcW w:w="77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CONDITION OF PREMISES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Existing Condition</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Landlord's Work</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(c)</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Tenant Improvements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ARTICLE 9</w:t>
            </w:r>
          </w:p>
        </w:tc>
        <w:tc>
          <w:tcPr>
            <w:tcW w:w="7740" w:type="dxa"/>
            <w:vAlign w:val="bottom"/>
            <w:gridSpan w:val="4"/>
          </w:tcPr>
          <w:p>
            <w:pPr>
              <w:ind w:left="80"/>
              <w:spacing w:after="0"/>
              <w:rPr>
                <w:sz w:val="20"/>
                <w:szCs w:val="20"/>
                <w:color w:val="auto"/>
              </w:rPr>
            </w:pPr>
            <w:r>
              <w:rPr>
                <w:rFonts w:ascii="Arial" w:cs="Arial" w:eastAsia="Arial" w:hAnsi="Arial"/>
                <w:sz w:val="18"/>
                <w:szCs w:val="18"/>
                <w:color w:val="auto"/>
              </w:rPr>
              <w:t>REPAIRS AND ALTERATIONS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Landlord's Obligations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(b)</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Tenant's Right to Make Repairs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Tenant's Obligations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(d)</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Alterations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Insurance</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(f)</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Costs and Fees; Removal</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Quality of Construction Work by Tenant</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(h)</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Renovation by Landlord</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ARTICLE 10</w:t>
            </w:r>
          </w:p>
        </w:tc>
        <w:tc>
          <w:tcPr>
            <w:tcW w:w="7740" w:type="dxa"/>
            <w:vAlign w:val="bottom"/>
            <w:gridSpan w:val="4"/>
          </w:tcPr>
          <w:p>
            <w:pPr>
              <w:ind w:left="80"/>
              <w:spacing w:after="0"/>
              <w:rPr>
                <w:sz w:val="20"/>
                <w:szCs w:val="20"/>
                <w:color w:val="auto"/>
              </w:rPr>
            </w:pPr>
            <w:r>
              <w:rPr>
                <w:rFonts w:ascii="Arial" w:cs="Arial" w:eastAsia="Arial" w:hAnsi="Arial"/>
                <w:sz w:val="18"/>
                <w:szCs w:val="18"/>
                <w:color w:val="auto"/>
              </w:rPr>
              <w:t>LIENS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ARTICLE 11</w:t>
            </w:r>
          </w:p>
        </w:tc>
        <w:tc>
          <w:tcPr>
            <w:tcW w:w="7740" w:type="dxa"/>
            <w:vAlign w:val="bottom"/>
            <w:gridSpan w:val="4"/>
          </w:tcPr>
          <w:p>
            <w:pPr>
              <w:ind w:left="80"/>
              <w:spacing w:after="0"/>
              <w:rPr>
                <w:sz w:val="20"/>
                <w:szCs w:val="20"/>
                <w:color w:val="auto"/>
              </w:rPr>
            </w:pPr>
            <w:r>
              <w:rPr>
                <w:rFonts w:ascii="Arial" w:cs="Arial" w:eastAsia="Arial" w:hAnsi="Arial"/>
                <w:sz w:val="18"/>
                <w:szCs w:val="18"/>
                <w:color w:val="auto"/>
              </w:rPr>
              <w:t>PROJECT SERVICES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7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Utilities and Services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(b)</w:t>
            </w:r>
          </w:p>
        </w:tc>
        <w:tc>
          <w:tcPr>
            <w:tcW w:w="7320" w:type="dxa"/>
            <w:vAlign w:val="bottom"/>
            <w:gridSpan w:val="3"/>
          </w:tcPr>
          <w:p>
            <w:pPr>
              <w:ind w:left="120"/>
              <w:spacing w:after="0"/>
              <w:rPr>
                <w:sz w:val="20"/>
                <w:szCs w:val="20"/>
                <w:color w:val="auto"/>
              </w:rPr>
            </w:pPr>
            <w:r>
              <w:rPr>
                <w:rFonts w:ascii="Arial" w:cs="Arial" w:eastAsia="Arial" w:hAnsi="Arial"/>
                <w:sz w:val="18"/>
                <w:szCs w:val="18"/>
                <w:color w:val="auto"/>
              </w:rPr>
              <w:t>Abatement Event</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67"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8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12  ENTRY RIGHTS OF LANDLORD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13  INDEMNITY; EXEMPTION OF LANDLORD FROM LIABILITY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948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   Exemption of Landlord from Liability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14</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9480" w:type="dxa"/>
            <w:vAlign w:val="bottom"/>
          </w:tcPr>
          <w:p>
            <w:pPr>
              <w:ind w:left="120"/>
              <w:spacing w:after="0"/>
              <w:rPr>
                <w:sz w:val="20"/>
                <w:szCs w:val="20"/>
                <w:color w:val="auto"/>
              </w:rPr>
            </w:pPr>
            <w:r>
              <w:rPr>
                <w:rFonts w:ascii="Arial" w:cs="Arial" w:eastAsia="Arial" w:hAnsi="Arial"/>
                <w:sz w:val="18"/>
                <w:szCs w:val="18"/>
                <w:color w:val="auto"/>
              </w:rPr>
              <w:t>Tenant's Insurance</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Form of Policies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(c)</w:t>
            </w:r>
          </w:p>
        </w:tc>
        <w:tc>
          <w:tcPr>
            <w:tcW w:w="9480" w:type="dxa"/>
            <w:vAlign w:val="bottom"/>
          </w:tcPr>
          <w:p>
            <w:pPr>
              <w:ind w:left="120"/>
              <w:spacing w:after="0"/>
              <w:rPr>
                <w:sz w:val="20"/>
                <w:szCs w:val="20"/>
                <w:color w:val="auto"/>
              </w:rPr>
            </w:pPr>
            <w:r>
              <w:rPr>
                <w:rFonts w:ascii="Arial" w:cs="Arial" w:eastAsia="Arial" w:hAnsi="Arial"/>
                <w:sz w:val="18"/>
                <w:szCs w:val="18"/>
                <w:color w:val="auto"/>
              </w:rPr>
              <w:t>Landlord's Insurance</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w:t>
            </w:r>
          </w:p>
        </w:tc>
        <w:tc>
          <w:tcPr>
            <w:tcW w:w="9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Waiver of Subrogation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15  ASSIGNMENT AND SUBLETTING</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16  DAMAGE OR DESTRUCTION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17</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SUBORDINATION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18</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EMINENT DOMAIN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19</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DEFAULT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(a)</w:t>
            </w:r>
          </w:p>
        </w:tc>
        <w:tc>
          <w:tcPr>
            <w:tcW w:w="9480" w:type="dxa"/>
            <w:vAlign w:val="bottom"/>
          </w:tcPr>
          <w:p>
            <w:pPr>
              <w:ind w:left="120"/>
              <w:spacing w:after="0"/>
              <w:rPr>
                <w:sz w:val="20"/>
                <w:szCs w:val="20"/>
                <w:color w:val="auto"/>
              </w:rPr>
            </w:pPr>
            <w:r>
              <w:rPr>
                <w:rFonts w:ascii="Arial" w:cs="Arial" w:eastAsia="Arial" w:hAnsi="Arial"/>
                <w:sz w:val="18"/>
                <w:szCs w:val="18"/>
                <w:color w:val="auto"/>
              </w:rPr>
              <w:t>Tenant's Default</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Landlord's Default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20</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REMEDIES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21  TRANSFER OF LANDLORD'S INTEREST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22</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BROKER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23</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PARKING</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24</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WAIVER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25</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ESTOPPEL CERTIFICATE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26  LIABILITY OF LANDLORD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27  INABILITY TO PERFORM</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9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ARTICLE 28</w:t>
            </w:r>
          </w:p>
        </w:tc>
        <w:tc>
          <w:tcPr>
            <w:tcW w:w="9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HAZARDOUS WASTE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29  SURRENDER OF PREMISES; REMOVAL OF PROPERTY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7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6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ARTICLE 30</w:t>
            </w:r>
          </w:p>
        </w:tc>
        <w:tc>
          <w:tcPr>
            <w:tcW w:w="9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MISCELLANEOUS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(a)</w:t>
            </w:r>
          </w:p>
        </w:tc>
        <w:tc>
          <w:tcPr>
            <w:tcW w:w="9460" w:type="dxa"/>
            <w:vAlign w:val="bottom"/>
          </w:tcPr>
          <w:p>
            <w:pPr>
              <w:ind w:left="100"/>
              <w:spacing w:after="0"/>
              <w:rPr>
                <w:sz w:val="20"/>
                <w:szCs w:val="20"/>
                <w:color w:val="auto"/>
              </w:rPr>
            </w:pPr>
            <w:r>
              <w:rPr>
                <w:rFonts w:ascii="Arial" w:cs="Arial" w:eastAsia="Arial" w:hAnsi="Arial"/>
                <w:sz w:val="18"/>
                <w:szCs w:val="18"/>
                <w:color w:val="auto"/>
              </w:rPr>
              <w:t>SEVERABILITY; ENTIRE AGREEMENT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Attorneys' Fees; Waiver of Jury Trial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(c)</w:t>
            </w:r>
          </w:p>
        </w:tc>
        <w:tc>
          <w:tcPr>
            <w:tcW w:w="9460" w:type="dxa"/>
            <w:vAlign w:val="bottom"/>
          </w:tcPr>
          <w:p>
            <w:pPr>
              <w:ind w:left="100"/>
              <w:spacing w:after="0"/>
              <w:rPr>
                <w:sz w:val="20"/>
                <w:szCs w:val="20"/>
                <w:color w:val="auto"/>
              </w:rPr>
            </w:pPr>
            <w:r>
              <w:rPr>
                <w:rFonts w:ascii="Arial" w:cs="Arial" w:eastAsia="Arial" w:hAnsi="Arial"/>
                <w:sz w:val="18"/>
                <w:szCs w:val="18"/>
                <w:color w:val="auto"/>
              </w:rPr>
              <w:t>Time of Essence</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Headings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(e)</w:t>
            </w:r>
          </w:p>
        </w:tc>
        <w:tc>
          <w:tcPr>
            <w:tcW w:w="9460" w:type="dxa"/>
            <w:vAlign w:val="bottom"/>
          </w:tcPr>
          <w:p>
            <w:pPr>
              <w:ind w:left="100"/>
              <w:spacing w:after="0"/>
              <w:rPr>
                <w:sz w:val="20"/>
                <w:szCs w:val="20"/>
                <w:color w:val="auto"/>
              </w:rPr>
            </w:pPr>
            <w:r>
              <w:rPr>
                <w:rFonts w:ascii="Arial" w:cs="Arial" w:eastAsia="Arial" w:hAnsi="Arial"/>
                <w:sz w:val="18"/>
                <w:szCs w:val="18"/>
                <w:color w:val="auto"/>
              </w:rPr>
              <w:t>Rules and Regulations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Quiet Possession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(g)</w:t>
            </w:r>
          </w:p>
        </w:tc>
        <w:tc>
          <w:tcPr>
            <w:tcW w:w="9460" w:type="dxa"/>
            <w:vAlign w:val="bottom"/>
          </w:tcPr>
          <w:p>
            <w:pPr>
              <w:ind w:left="100"/>
              <w:spacing w:after="0"/>
              <w:rPr>
                <w:sz w:val="20"/>
                <w:szCs w:val="20"/>
                <w:color w:val="auto"/>
              </w:rPr>
            </w:pPr>
            <w:r>
              <w:rPr>
                <w:rFonts w:ascii="Arial" w:cs="Arial" w:eastAsia="Arial" w:hAnsi="Arial"/>
                <w:sz w:val="18"/>
                <w:szCs w:val="18"/>
                <w:color w:val="auto"/>
              </w:rPr>
              <w:t>Rent</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(h)</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Successors and Assigns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(i)</w:t>
            </w:r>
          </w:p>
        </w:tc>
        <w:tc>
          <w:tcPr>
            <w:tcW w:w="9460" w:type="dxa"/>
            <w:vAlign w:val="bottom"/>
          </w:tcPr>
          <w:p>
            <w:pPr>
              <w:ind w:left="100"/>
              <w:spacing w:after="0"/>
              <w:rPr>
                <w:sz w:val="20"/>
                <w:szCs w:val="20"/>
                <w:color w:val="auto"/>
              </w:rPr>
            </w:pPr>
            <w:r>
              <w:rPr>
                <w:rFonts w:ascii="Arial" w:cs="Arial" w:eastAsia="Arial" w:hAnsi="Arial"/>
                <w:sz w:val="18"/>
                <w:szCs w:val="18"/>
                <w:color w:val="auto"/>
              </w:rPr>
              <w:t>Notices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(j)</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Survival of Obligations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(k)</w:t>
            </w:r>
          </w:p>
        </w:tc>
        <w:tc>
          <w:tcPr>
            <w:tcW w:w="946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 of Foreign Assets Control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(m)</w:t>
            </w:r>
          </w:p>
        </w:tc>
        <w:tc>
          <w:tcPr>
            <w:tcW w:w="9460" w:type="dxa"/>
            <w:vAlign w:val="bottom"/>
          </w:tcPr>
          <w:p>
            <w:pPr>
              <w:ind w:left="100"/>
              <w:spacing w:after="0"/>
              <w:rPr>
                <w:sz w:val="20"/>
                <w:szCs w:val="20"/>
                <w:color w:val="auto"/>
              </w:rPr>
            </w:pPr>
            <w:r>
              <w:rPr>
                <w:rFonts w:ascii="Arial" w:cs="Arial" w:eastAsia="Arial" w:hAnsi="Arial"/>
                <w:sz w:val="18"/>
                <w:szCs w:val="18"/>
                <w:color w:val="auto"/>
              </w:rPr>
              <w:t>California Certified Access Specialist Inspection</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Exterior Equipment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(o)</w:t>
            </w:r>
          </w:p>
        </w:tc>
        <w:tc>
          <w:tcPr>
            <w:tcW w:w="9460" w:type="dxa"/>
            <w:vAlign w:val="bottom"/>
          </w:tcPr>
          <w:p>
            <w:pPr>
              <w:ind w:left="100"/>
              <w:spacing w:after="0"/>
              <w:rPr>
                <w:sz w:val="20"/>
                <w:szCs w:val="20"/>
                <w:color w:val="auto"/>
              </w:rPr>
            </w:pPr>
            <w:r>
              <w:rPr>
                <w:rFonts w:ascii="Arial" w:cs="Arial" w:eastAsia="Arial" w:hAnsi="Arial"/>
                <w:sz w:val="18"/>
                <w:szCs w:val="18"/>
                <w:color w:val="auto"/>
              </w:rPr>
              <w:t>Landlord Lien Waiver/Equipment Financing</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Communication Equipment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(q)</w:t>
            </w:r>
          </w:p>
        </w:tc>
        <w:tc>
          <w:tcPr>
            <w:tcW w:w="9460" w:type="dxa"/>
            <w:vAlign w:val="bottom"/>
          </w:tcPr>
          <w:p>
            <w:pPr>
              <w:ind w:left="100"/>
              <w:spacing w:after="0"/>
              <w:rPr>
                <w:sz w:val="20"/>
                <w:szCs w:val="20"/>
                <w:color w:val="auto"/>
              </w:rPr>
            </w:pPr>
            <w:r>
              <w:rPr>
                <w:rFonts w:ascii="Arial" w:cs="Arial" w:eastAsia="Arial" w:hAnsi="Arial"/>
                <w:sz w:val="18"/>
                <w:szCs w:val="18"/>
                <w:color w:val="auto"/>
              </w:rPr>
              <w:t>Exhibits</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Counterparts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(s)</w:t>
            </w:r>
          </w:p>
        </w:tc>
        <w:tc>
          <w:tcPr>
            <w:tcW w:w="9460" w:type="dxa"/>
            <w:vAlign w:val="bottom"/>
          </w:tcPr>
          <w:p>
            <w:pPr>
              <w:ind w:left="100"/>
              <w:spacing w:after="0"/>
              <w:rPr>
                <w:sz w:val="20"/>
                <w:szCs w:val="20"/>
                <w:color w:val="auto"/>
              </w:rPr>
            </w:pPr>
            <w:r>
              <w:rPr>
                <w:rFonts w:ascii="Arial" w:cs="Arial" w:eastAsia="Arial" w:hAnsi="Arial"/>
                <w:sz w:val="18"/>
                <w:szCs w:val="18"/>
                <w:color w:val="auto"/>
              </w:rPr>
              <w:t>REIT Compliance</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Recording</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31  OPTION TO EXTEND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(a)</w:t>
            </w:r>
          </w:p>
        </w:tc>
        <w:tc>
          <w:tcPr>
            <w:tcW w:w="9460" w:type="dxa"/>
            <w:vAlign w:val="bottom"/>
          </w:tcPr>
          <w:p>
            <w:pPr>
              <w:ind w:left="100"/>
              <w:spacing w:after="0"/>
              <w:rPr>
                <w:sz w:val="20"/>
                <w:szCs w:val="20"/>
                <w:color w:val="auto"/>
              </w:rPr>
            </w:pPr>
            <w:r>
              <w:rPr>
                <w:rFonts w:ascii="Arial" w:cs="Arial" w:eastAsia="Arial" w:hAnsi="Arial"/>
                <w:sz w:val="18"/>
                <w:szCs w:val="18"/>
                <w:color w:val="auto"/>
              </w:rPr>
              <w:t>Option Right</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 Rent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(c)</w:t>
            </w:r>
          </w:p>
        </w:tc>
        <w:tc>
          <w:tcPr>
            <w:tcW w:w="9460" w:type="dxa"/>
            <w:vAlign w:val="bottom"/>
          </w:tcPr>
          <w:p>
            <w:pPr>
              <w:ind w:left="100"/>
              <w:spacing w:after="0"/>
              <w:rPr>
                <w:sz w:val="20"/>
                <w:szCs w:val="20"/>
                <w:color w:val="auto"/>
              </w:rPr>
            </w:pPr>
            <w:r>
              <w:rPr>
                <w:rFonts w:ascii="Arial" w:cs="Arial" w:eastAsia="Arial" w:hAnsi="Arial"/>
                <w:sz w:val="18"/>
                <w:szCs w:val="18"/>
                <w:color w:val="auto"/>
              </w:rPr>
              <w:t>Exercise of Options</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Determination of Market Rent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32  RIGHT OF FIRST OFFER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(a)</w:t>
            </w:r>
          </w:p>
        </w:tc>
        <w:tc>
          <w:tcPr>
            <w:tcW w:w="9460" w:type="dxa"/>
            <w:vAlign w:val="bottom"/>
          </w:tcPr>
          <w:p>
            <w:pPr>
              <w:ind w:left="100"/>
              <w:spacing w:after="0"/>
              <w:rPr>
                <w:sz w:val="20"/>
                <w:szCs w:val="20"/>
                <w:color w:val="auto"/>
              </w:rPr>
            </w:pPr>
            <w:r>
              <w:rPr>
                <w:rFonts w:ascii="Arial" w:cs="Arial" w:eastAsia="Arial" w:hAnsi="Arial"/>
                <w:sz w:val="18"/>
                <w:szCs w:val="18"/>
                <w:color w:val="auto"/>
              </w:rPr>
              <w:t>Procedure for Offer</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Procedure for Acceptance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(c)</w:t>
            </w:r>
          </w:p>
        </w:tc>
        <w:tc>
          <w:tcPr>
            <w:tcW w:w="9460" w:type="dxa"/>
            <w:vAlign w:val="bottom"/>
          </w:tcPr>
          <w:p>
            <w:pPr>
              <w:ind w:left="100"/>
              <w:spacing w:after="0"/>
              <w:rPr>
                <w:sz w:val="20"/>
                <w:szCs w:val="20"/>
                <w:color w:val="auto"/>
              </w:rPr>
            </w:pPr>
            <w:r>
              <w:rPr>
                <w:rFonts w:ascii="Arial" w:cs="Arial" w:eastAsia="Arial" w:hAnsi="Arial"/>
                <w:sz w:val="18"/>
                <w:szCs w:val="18"/>
                <w:color w:val="auto"/>
              </w:rPr>
              <w:t>Lease of First Offer Space</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9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98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ARTICLE 33</w:t>
            </w:r>
          </w:p>
        </w:tc>
        <w:tc>
          <w:tcPr>
            <w:tcW w:w="9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SIGNAGE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742"/>
        </w:trPr>
        <w:tc>
          <w:tcPr>
            <w:tcW w:w="110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880" w:type="dxa"/>
            <w:vAlign w:val="bottom"/>
            <w:gridSpan w:val="2"/>
          </w:tcPr>
          <w:p>
            <w:pPr>
              <w:ind w:left="180"/>
              <w:spacing w:after="0"/>
              <w:rPr>
                <w:sz w:val="20"/>
                <w:szCs w:val="20"/>
                <w:color w:val="auto"/>
              </w:rPr>
            </w:pPr>
            <w:r>
              <w:rPr>
                <w:rFonts w:ascii="Arial" w:cs="Arial" w:eastAsia="Arial" w:hAnsi="Arial"/>
                <w:sz w:val="18"/>
                <w:szCs w:val="18"/>
                <w:color w:val="auto"/>
              </w:rPr>
              <w:t>Premises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880" w:type="dxa"/>
            <w:vAlign w:val="bottom"/>
            <w:gridSpan w:val="2"/>
          </w:tcPr>
          <w:p>
            <w:pPr>
              <w:ind w:left="160"/>
              <w:spacing w:after="0"/>
              <w:rPr>
                <w:sz w:val="20"/>
                <w:szCs w:val="20"/>
                <w:color w:val="auto"/>
              </w:rPr>
            </w:pPr>
            <w:r>
              <w:rPr>
                <w:rFonts w:ascii="Arial" w:cs="Arial" w:eastAsia="Arial" w:hAnsi="Arial"/>
                <w:sz w:val="18"/>
                <w:szCs w:val="18"/>
                <w:color w:val="auto"/>
              </w:rPr>
              <w:t>Notice of Term Dates and Tenant's Proportionate Share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880" w:type="dxa"/>
            <w:vAlign w:val="bottom"/>
            <w:gridSpan w:val="2"/>
          </w:tcPr>
          <w:p>
            <w:pPr>
              <w:ind w:left="160"/>
              <w:spacing w:after="0"/>
              <w:rPr>
                <w:sz w:val="20"/>
                <w:szCs w:val="20"/>
                <w:color w:val="auto"/>
              </w:rPr>
            </w:pPr>
            <w:r>
              <w:rPr>
                <w:rFonts w:ascii="Arial" w:cs="Arial" w:eastAsia="Arial" w:hAnsi="Arial"/>
                <w:sz w:val="18"/>
                <w:szCs w:val="18"/>
                <w:color w:val="auto"/>
              </w:rPr>
              <w:t>Removable Items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9880" w:type="dxa"/>
            <w:vAlign w:val="bottom"/>
            <w:gridSpan w:val="2"/>
          </w:tcPr>
          <w:p>
            <w:pPr>
              <w:ind w:left="180"/>
              <w:spacing w:after="0"/>
              <w:rPr>
                <w:sz w:val="20"/>
                <w:szCs w:val="20"/>
                <w:color w:val="auto"/>
              </w:rPr>
            </w:pPr>
            <w:r>
              <w:rPr>
                <w:rFonts w:ascii="Arial" w:cs="Arial" w:eastAsia="Arial" w:hAnsi="Arial"/>
                <w:sz w:val="18"/>
                <w:szCs w:val="18"/>
                <w:color w:val="auto"/>
              </w:rPr>
              <w:t>Exclusive Parking Area</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9880" w:type="dxa"/>
            <w:vAlign w:val="bottom"/>
            <w:gridSpan w:val="2"/>
          </w:tcPr>
          <w:p>
            <w:pPr>
              <w:ind w:left="160"/>
              <w:spacing w:after="0"/>
              <w:rPr>
                <w:sz w:val="20"/>
                <w:szCs w:val="20"/>
                <w:color w:val="auto"/>
              </w:rPr>
            </w:pPr>
            <w:r>
              <w:rPr>
                <w:rFonts w:ascii="Arial" w:cs="Arial" w:eastAsia="Arial" w:hAnsi="Arial"/>
                <w:sz w:val="18"/>
                <w:szCs w:val="18"/>
                <w:color w:val="auto"/>
              </w:rPr>
              <w:t>Pre-Approved Alterations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7560" w:type="dxa"/>
            <w:vAlign w:val="bottom"/>
            <w:gridSpan w:val="6"/>
          </w:tcPr>
          <w:p>
            <w:pPr>
              <w:ind w:left="1540"/>
              <w:spacing w:after="0"/>
              <w:rPr>
                <w:sz w:val="20"/>
                <w:szCs w:val="20"/>
                <w:color w:val="auto"/>
              </w:rPr>
            </w:pPr>
            <w:r>
              <w:rPr>
                <w:rFonts w:ascii="Arial" w:cs="Arial" w:eastAsia="Arial" w:hAnsi="Arial"/>
                <w:sz w:val="18"/>
                <w:szCs w:val="18"/>
                <w:b w:val="1"/>
                <w:bCs w:val="1"/>
                <w:color w:val="auto"/>
              </w:rPr>
              <w:t>INDEX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780" w:type="dxa"/>
            <w:vAlign w:val="bottom"/>
          </w:tcPr>
          <w:p>
            <w:pPr>
              <w:spacing w:after="0"/>
              <w:rPr>
                <w:sz w:val="17"/>
                <w:szCs w:val="17"/>
                <w:color w:val="auto"/>
              </w:rPr>
            </w:pPr>
          </w:p>
        </w:tc>
        <w:tc>
          <w:tcPr>
            <w:tcW w:w="6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8"/>
              </w:rPr>
              <w:t>Page(s)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Abatement Event</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Abatement Notice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Additional Rent</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Affiliate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Affiliated Assignee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Agreed Amortization Procedure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Alteration Notice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Alterations</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Backup Generators</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Basic Rental</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BMS System</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Broker</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Claims</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Code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Commencement Date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Common Area</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Communication Equipment</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Company</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Control</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Controllable Operating Costs</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Damage Repair Estimate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Deemed Response Notice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Demising Work</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Direct Costs</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Economic Terms</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Eligibility Period</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Emergency Cure Period</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Emergency Notice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Laws</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Equipment Lienor</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Estimate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Estimate Statement</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Exercise Notice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Exterior Equipment</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First Offer Notice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First Offer Space</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Force Majeure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Hazardous Material</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HVAC System</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Initial Aggregate Cost</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Landlord</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Landlord Parties</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Laws</w:t>
            </w:r>
          </w:p>
        </w:tc>
        <w:tc>
          <w:tcPr>
            <w:tcW w:w="754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Lease</w:t>
            </w:r>
          </w:p>
        </w:tc>
        <w:tc>
          <w:tcPr>
            <w:tcW w:w="7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5060" w:type="dxa"/>
            <w:vAlign w:val="bottom"/>
            <w:gridSpan w:val="4"/>
          </w:tcPr>
          <w:p>
            <w:pPr>
              <w:ind w:left="4320"/>
              <w:spacing w:after="0"/>
              <w:rPr>
                <w:sz w:val="20"/>
                <w:szCs w:val="20"/>
                <w:color w:val="auto"/>
              </w:rPr>
            </w:pPr>
            <w:r>
              <w:rPr>
                <w:rFonts w:ascii="Arial" w:cs="Arial" w:eastAsia="Arial" w:hAnsi="Arial"/>
                <w:sz w:val="22"/>
                <w:szCs w:val="22"/>
                <w:b w:val="1"/>
                <w:bCs w:val="1"/>
                <w:color w:val="auto"/>
                <w:w w:val="90"/>
              </w:rPr>
              <w:t>Page(s)</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63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Lienor Requirements</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Market Rent</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Minor Alterations</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Necessary Action</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Objection Notice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Costs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Option Rent</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Option Rent Notice</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Option Terms</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Options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Original Tenant</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Outside Agreement Date</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Parking Programs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Permitted Use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Premises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Project</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Project Systems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Real Property</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REIT</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Required Action</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Rules and Regulations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Second Chance Notice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Second Demand</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Shared Space</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Short Term Lease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Signage</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Signage Specifications</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Square Footage of Premises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Statement</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Tax Costs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Tenant</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Tenant Improvements</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Tenant's Acceptance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Tenant's Property</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Tenant's Proportionate Share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Term</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Transfer Premium</w:t>
            </w:r>
          </w:p>
        </w:tc>
        <w:tc>
          <w:tcPr>
            <w:tcW w:w="504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Transferee</w:t>
            </w:r>
          </w:p>
        </w:tc>
        <w:tc>
          <w:tcPr>
            <w:tcW w:w="5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Lease ("</w:t>
      </w:r>
      <w:r>
        <w:rPr>
          <w:rFonts w:ascii="Arial" w:cs="Arial" w:eastAsia="Arial" w:hAnsi="Arial"/>
          <w:sz w:val="16"/>
          <w:szCs w:val="16"/>
          <w:b w:val="1"/>
          <w:bCs w:val="1"/>
          <w:color w:val="auto"/>
        </w:rPr>
        <w:t>Lease</w:t>
      </w:r>
      <w:r>
        <w:rPr>
          <w:rFonts w:ascii="Arial" w:cs="Arial" w:eastAsia="Arial" w:hAnsi="Arial"/>
          <w:sz w:val="16"/>
          <w:szCs w:val="16"/>
          <w:color w:val="auto"/>
        </w:rPr>
        <w:t>") is made and entered into as of the _____ day of December, 2015, by and between CT CROSTHWAITE I, LLC, a 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COHU,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Landlord hereby leases to Tenant and Tenant hereby leases from Landlord the premises described as Suite No. 100, as designated as the Cohu Lease Area on the plan attached hereto and incorporated herein as Exhibit "A" ("</w:t>
      </w:r>
      <w:r>
        <w:rPr>
          <w:rFonts w:ascii="Arial" w:cs="Arial" w:eastAsia="Arial" w:hAnsi="Arial"/>
          <w:sz w:val="16"/>
          <w:szCs w:val="16"/>
          <w:b w:val="1"/>
          <w:bCs w:val="1"/>
          <w:color w:val="auto"/>
        </w:rPr>
        <w:t>Premises</w:t>
      </w:r>
      <w:r>
        <w:rPr>
          <w:rFonts w:ascii="Arial" w:cs="Arial" w:eastAsia="Arial" w:hAnsi="Arial"/>
          <w:sz w:val="16"/>
          <w:szCs w:val="16"/>
          <w:color w:val="auto"/>
        </w:rPr>
        <w:t>"), of the project ("</w:t>
      </w:r>
      <w:r>
        <w:rPr>
          <w:rFonts w:ascii="Arial" w:cs="Arial" w:eastAsia="Arial" w:hAnsi="Arial"/>
          <w:sz w:val="16"/>
          <w:szCs w:val="16"/>
          <w:b w:val="1"/>
          <w:bCs w:val="1"/>
          <w:color w:val="auto"/>
        </w:rPr>
        <w:t>Project</w:t>
      </w:r>
      <w:r>
        <w:rPr>
          <w:rFonts w:ascii="Arial" w:cs="Arial" w:eastAsia="Arial" w:hAnsi="Arial"/>
          <w:sz w:val="16"/>
          <w:szCs w:val="16"/>
          <w:color w:val="auto"/>
        </w:rPr>
        <w:t>") whose address is 12367 Crosthwaite Circle, Poway, California 92064, for the Term and upon the terms and conditions hereinafter set forth, and Landlord and Tenant hereby agree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ARTICLE 1</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20" w:type="dxa"/>
            <w:vAlign w:val="bottom"/>
            <w:gridSpan w:val="8"/>
          </w:tcPr>
          <w:p>
            <w:pPr>
              <w:jc w:val="center"/>
              <w:ind w:right="1360"/>
              <w:spacing w:after="0" w:line="196" w:lineRule="exact"/>
              <w:rPr>
                <w:sz w:val="20"/>
                <w:szCs w:val="20"/>
                <w:color w:val="auto"/>
              </w:rPr>
            </w:pPr>
            <w:r>
              <w:rPr>
                <w:rFonts w:ascii="Arial" w:cs="Arial" w:eastAsia="Arial" w:hAnsi="Arial"/>
                <w:sz w:val="18"/>
                <w:szCs w:val="18"/>
                <w:b w:val="1"/>
                <w:bCs w:val="1"/>
                <w:color w:val="auto"/>
                <w:w w:val="98"/>
              </w:rPr>
              <w:t>BASIC LEASE PROVISIONS</w:t>
            </w: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A.</w:t>
            </w:r>
          </w:p>
        </w:tc>
        <w:tc>
          <w:tcPr>
            <w:tcW w:w="31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Term:</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60" w:type="dxa"/>
            <w:vAlign w:val="bottom"/>
            <w:gridSpan w:val="4"/>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0" w:type="dxa"/>
            <w:vAlign w:val="bottom"/>
            <w:vMerge w:val="continue"/>
          </w:tcPr>
          <w:p>
            <w:pPr>
              <w:spacing w:after="0"/>
              <w:rPr>
                <w:sz w:val="24"/>
                <w:szCs w:val="24"/>
                <w:color w:val="auto"/>
              </w:rPr>
            </w:pPr>
          </w:p>
        </w:tc>
        <w:tc>
          <w:tcPr>
            <w:tcW w:w="31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gridSpan w:val="7"/>
          </w:tcPr>
          <w:p>
            <w:pPr>
              <w:ind w:left="260"/>
              <w:spacing w:after="0"/>
              <w:rPr>
                <w:sz w:val="20"/>
                <w:szCs w:val="20"/>
                <w:color w:val="auto"/>
              </w:rPr>
            </w:pPr>
            <w:r>
              <w:rPr>
                <w:rFonts w:ascii="Arial" w:cs="Arial" w:eastAsia="Arial" w:hAnsi="Arial"/>
                <w:sz w:val="18"/>
                <w:szCs w:val="18"/>
                <w:color w:val="auto"/>
              </w:rPr>
              <w:t>Approximately ten (10) years.</w:t>
            </w: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Commencement Date: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ind w:left="260"/>
              <w:spacing w:after="0"/>
              <w:rPr>
                <w:sz w:val="20"/>
                <w:szCs w:val="20"/>
                <w:color w:val="auto"/>
              </w:rPr>
            </w:pPr>
            <w:r>
              <w:rPr>
                <w:rFonts w:ascii="Arial" w:cs="Arial" w:eastAsia="Arial" w:hAnsi="Arial"/>
                <w:sz w:val="18"/>
                <w:szCs w:val="18"/>
                <w:color w:val="auto"/>
              </w:rPr>
              <w:t>December ___, 2015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Expiration Date: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ind w:left="260"/>
              <w:spacing w:after="0"/>
              <w:rPr>
                <w:sz w:val="20"/>
                <w:szCs w:val="20"/>
                <w:color w:val="auto"/>
              </w:rPr>
            </w:pPr>
            <w:r>
              <w:rPr>
                <w:rFonts w:ascii="Arial" w:cs="Arial" w:eastAsia="Arial" w:hAnsi="Arial"/>
                <w:sz w:val="18"/>
                <w:szCs w:val="18"/>
                <w:color w:val="auto"/>
              </w:rPr>
              <w:t>December 31, 2025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0"/>
                <w:szCs w:val="20"/>
                <w:color w:val="auto"/>
              </w:rPr>
            </w:pPr>
            <w:r>
              <w:rPr>
                <w:rFonts w:ascii="Arial" w:cs="Arial" w:eastAsia="Arial" w:hAnsi="Arial"/>
                <w:sz w:val="18"/>
                <w:szCs w:val="18"/>
                <w:b w:val="1"/>
                <w:bCs w:val="1"/>
                <w:color w:val="auto"/>
              </w:rPr>
              <w:t>B.</w:t>
            </w:r>
          </w:p>
        </w:tc>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Square Footage of Premises: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gridSpan w:val="10"/>
          </w:tcPr>
          <w:p>
            <w:pPr>
              <w:ind w:left="260"/>
              <w:spacing w:after="0"/>
              <w:rPr>
                <w:sz w:val="20"/>
                <w:szCs w:val="20"/>
                <w:color w:val="auto"/>
              </w:rPr>
            </w:pPr>
            <w:r>
              <w:rPr>
                <w:rFonts w:ascii="Arial" w:cs="Arial" w:eastAsia="Arial" w:hAnsi="Arial"/>
                <w:sz w:val="18"/>
                <w:szCs w:val="18"/>
                <w:color w:val="auto"/>
                <w:w w:val="92"/>
              </w:rPr>
              <w:t>Approximately 146,635 rentable square feet. The square footage of the Premises includes</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gridSpan w:val="10"/>
          </w:tcPr>
          <w:p>
            <w:pPr>
              <w:ind w:left="260"/>
              <w:spacing w:after="0"/>
              <w:rPr>
                <w:sz w:val="20"/>
                <w:szCs w:val="20"/>
                <w:color w:val="auto"/>
              </w:rPr>
            </w:pPr>
            <w:r>
              <w:rPr>
                <w:rFonts w:ascii="Arial" w:cs="Arial" w:eastAsia="Arial" w:hAnsi="Arial"/>
                <w:sz w:val="18"/>
                <w:szCs w:val="18"/>
                <w:color w:val="auto"/>
                <w:w w:val="90"/>
              </w:rPr>
              <w:t>Tenant's prorata share of the shared electrical room and any other shared utility room in the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60" w:type="dxa"/>
            <w:vAlign w:val="bottom"/>
            <w:gridSpan w:val="7"/>
          </w:tcPr>
          <w:p>
            <w:pPr>
              <w:ind w:left="260"/>
              <w:spacing w:after="0"/>
              <w:rPr>
                <w:sz w:val="20"/>
                <w:szCs w:val="20"/>
                <w:color w:val="auto"/>
              </w:rPr>
            </w:pPr>
            <w:r>
              <w:rPr>
                <w:rFonts w:ascii="Arial" w:cs="Arial" w:eastAsia="Arial" w:hAnsi="Arial"/>
                <w:sz w:val="18"/>
                <w:szCs w:val="18"/>
                <w:color w:val="auto"/>
              </w:rPr>
              <w:t>Project (collectively, the "</w:t>
            </w:r>
            <w:r>
              <w:rPr>
                <w:rFonts w:ascii="Arial" w:cs="Arial" w:eastAsia="Arial" w:hAnsi="Arial"/>
                <w:sz w:val="18"/>
                <w:szCs w:val="18"/>
                <w:b w:val="1"/>
                <w:bCs w:val="1"/>
                <w:color w:val="auto"/>
              </w:rPr>
              <w:t>Shared Space</w:t>
            </w: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C.</w:t>
            </w:r>
          </w:p>
        </w:tc>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Basic Rental:</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3"/>
          </w:tcPr>
          <w:p>
            <w:pPr>
              <w:jc w:val="center"/>
              <w:ind w:right="840"/>
              <w:spacing w:after="0"/>
              <w:rPr>
                <w:sz w:val="20"/>
                <w:szCs w:val="20"/>
                <w:color w:val="auto"/>
              </w:rPr>
            </w:pPr>
            <w:r>
              <w:rPr>
                <w:rFonts w:ascii="Arial" w:cs="Arial" w:eastAsia="Arial" w:hAnsi="Arial"/>
                <w:sz w:val="18"/>
                <w:szCs w:val="18"/>
                <w:color w:val="auto"/>
                <w:w w:val="98"/>
              </w:rPr>
              <w:t>Monthly</w:t>
            </w:r>
          </w:p>
        </w:tc>
        <w:tc>
          <w:tcPr>
            <w:tcW w:w="520" w:type="dxa"/>
            <w:vAlign w:val="bottom"/>
          </w:tcPr>
          <w:p>
            <w:pPr>
              <w:spacing w:after="0"/>
              <w:rPr>
                <w:sz w:val="18"/>
                <w:szCs w:val="18"/>
                <w:color w:val="auto"/>
              </w:rPr>
            </w:pPr>
          </w:p>
        </w:tc>
        <w:tc>
          <w:tcPr>
            <w:tcW w:w="2500" w:type="dxa"/>
            <w:vAlign w:val="bottom"/>
            <w:gridSpan w:val="2"/>
          </w:tcPr>
          <w:p>
            <w:pPr>
              <w:jc w:val="center"/>
              <w:ind w:right="640"/>
              <w:spacing w:after="0"/>
              <w:rPr>
                <w:sz w:val="20"/>
                <w:szCs w:val="20"/>
                <w:color w:val="auto"/>
              </w:rPr>
            </w:pPr>
            <w:r>
              <w:rPr>
                <w:rFonts w:ascii="Arial" w:cs="Arial" w:eastAsia="Arial" w:hAnsi="Arial"/>
                <w:sz w:val="18"/>
                <w:szCs w:val="18"/>
                <w:color w:val="auto"/>
                <w:w w:val="93"/>
              </w:rPr>
              <w:t>Monthly Basic Rental</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gridSpan w:val="5"/>
          </w:tcPr>
          <w:p>
            <w:pPr>
              <w:spacing w:after="0" w:line="190" w:lineRule="exact"/>
              <w:rPr>
                <w:sz w:val="20"/>
                <w:szCs w:val="20"/>
                <w:color w:val="auto"/>
              </w:rPr>
            </w:pPr>
            <w:r>
              <w:rPr>
                <w:rFonts w:ascii="Arial" w:cs="Arial" w:eastAsia="Arial" w:hAnsi="Arial"/>
                <w:sz w:val="18"/>
                <w:szCs w:val="18"/>
                <w:color w:val="auto"/>
              </w:rPr>
              <w:t>Months</w:t>
            </w:r>
          </w:p>
        </w:tc>
        <w:tc>
          <w:tcPr>
            <w:tcW w:w="1780" w:type="dxa"/>
            <w:vAlign w:val="bottom"/>
            <w:gridSpan w:val="3"/>
          </w:tcPr>
          <w:p>
            <w:pPr>
              <w:jc w:val="center"/>
              <w:ind w:right="860"/>
              <w:spacing w:after="0" w:line="190" w:lineRule="exact"/>
              <w:rPr>
                <w:sz w:val="20"/>
                <w:szCs w:val="20"/>
                <w:color w:val="auto"/>
              </w:rPr>
            </w:pPr>
            <w:r>
              <w:rPr>
                <w:rFonts w:ascii="Arial" w:cs="Arial" w:eastAsia="Arial" w:hAnsi="Arial"/>
                <w:sz w:val="18"/>
                <w:szCs w:val="18"/>
                <w:color w:val="auto"/>
                <w:w w:val="91"/>
              </w:rPr>
              <w:t>Basic Rental</w:t>
            </w:r>
          </w:p>
        </w:tc>
        <w:tc>
          <w:tcPr>
            <w:tcW w:w="3020" w:type="dxa"/>
            <w:vAlign w:val="bottom"/>
            <w:gridSpan w:val="3"/>
          </w:tcPr>
          <w:p>
            <w:pPr>
              <w:jc w:val="center"/>
              <w:ind w:right="140"/>
              <w:spacing w:after="0" w:line="190" w:lineRule="exact"/>
              <w:rPr>
                <w:sz w:val="20"/>
                <w:szCs w:val="20"/>
                <w:color w:val="auto"/>
              </w:rPr>
            </w:pPr>
            <w:r>
              <w:rPr>
                <w:rFonts w:ascii="Arial" w:cs="Arial" w:eastAsia="Arial" w:hAnsi="Arial"/>
                <w:sz w:val="18"/>
                <w:szCs w:val="18"/>
                <w:color w:val="auto"/>
                <w:w w:val="87"/>
              </w:rPr>
              <w:t>Per Rentable Square Foot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97"/>
              </w:rPr>
              <w:t>1-12*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$131,971.50</w:t>
            </w:r>
          </w:p>
        </w:tc>
        <w:tc>
          <w:tcPr>
            <w:tcW w:w="8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8"/>
              </w:rPr>
              <w:t>$.900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13-24</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$135,930.64</w:t>
            </w:r>
          </w:p>
        </w:tc>
        <w:tc>
          <w:tcPr>
            <w:tcW w:w="860" w:type="dxa"/>
            <w:vAlign w:val="bottom"/>
          </w:tcPr>
          <w:p>
            <w:pPr>
              <w:spacing w:after="0"/>
              <w:rPr>
                <w:sz w:val="18"/>
                <w:szCs w:val="18"/>
                <w:color w:val="auto"/>
              </w:rPr>
            </w:pPr>
          </w:p>
        </w:tc>
        <w:tc>
          <w:tcPr>
            <w:tcW w:w="2360" w:type="dxa"/>
            <w:vAlign w:val="bottom"/>
            <w:gridSpan w:val="2"/>
          </w:tcPr>
          <w:p>
            <w:pPr>
              <w:jc w:val="center"/>
              <w:ind w:left="430"/>
              <w:spacing w:after="0"/>
              <w:rPr>
                <w:sz w:val="20"/>
                <w:szCs w:val="20"/>
                <w:color w:val="auto"/>
              </w:rPr>
            </w:pPr>
            <w:r>
              <w:rPr>
                <w:rFonts w:ascii="Arial" w:cs="Arial" w:eastAsia="Arial" w:hAnsi="Arial"/>
                <w:sz w:val="18"/>
                <w:szCs w:val="18"/>
                <w:color w:val="auto"/>
                <w:w w:val="88"/>
              </w:rPr>
              <w:t>$.927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91"/>
              </w:rPr>
              <w:t>25-36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$140,008.55</w:t>
            </w:r>
          </w:p>
        </w:tc>
        <w:tc>
          <w:tcPr>
            <w:tcW w:w="8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8"/>
              </w:rPr>
              <w:t>$.955</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37-48</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$144,208.80</w:t>
            </w:r>
          </w:p>
        </w:tc>
        <w:tc>
          <w:tcPr>
            <w:tcW w:w="860" w:type="dxa"/>
            <w:vAlign w:val="bottom"/>
          </w:tcPr>
          <w:p>
            <w:pPr>
              <w:spacing w:after="0"/>
              <w:rPr>
                <w:sz w:val="18"/>
                <w:szCs w:val="18"/>
                <w:color w:val="auto"/>
              </w:rPr>
            </w:pPr>
          </w:p>
        </w:tc>
        <w:tc>
          <w:tcPr>
            <w:tcW w:w="2360" w:type="dxa"/>
            <w:vAlign w:val="bottom"/>
            <w:gridSpan w:val="2"/>
          </w:tcPr>
          <w:p>
            <w:pPr>
              <w:jc w:val="center"/>
              <w:ind w:left="430"/>
              <w:spacing w:after="0"/>
              <w:rPr>
                <w:sz w:val="20"/>
                <w:szCs w:val="20"/>
                <w:color w:val="auto"/>
              </w:rPr>
            </w:pPr>
            <w:r>
              <w:rPr>
                <w:rFonts w:ascii="Arial" w:cs="Arial" w:eastAsia="Arial" w:hAnsi="Arial"/>
                <w:sz w:val="18"/>
                <w:szCs w:val="18"/>
                <w:color w:val="auto"/>
                <w:w w:val="88"/>
              </w:rPr>
              <w:t>$.983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91"/>
              </w:rPr>
              <w:t>49-60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$148,535.06</w:t>
            </w:r>
          </w:p>
        </w:tc>
        <w:tc>
          <w:tcPr>
            <w:tcW w:w="8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$1.013</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61-72</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$152,991.11</w:t>
            </w:r>
          </w:p>
        </w:tc>
        <w:tc>
          <w:tcPr>
            <w:tcW w:w="860" w:type="dxa"/>
            <w:vAlign w:val="bottom"/>
          </w:tcPr>
          <w:p>
            <w:pPr>
              <w:spacing w:after="0"/>
              <w:rPr>
                <w:sz w:val="18"/>
                <w:szCs w:val="18"/>
                <w:color w:val="auto"/>
              </w:rPr>
            </w:pPr>
          </w:p>
        </w:tc>
        <w:tc>
          <w:tcPr>
            <w:tcW w:w="2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$1.043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91"/>
              </w:rPr>
              <w:t>73-84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$157,580.84</w:t>
            </w:r>
          </w:p>
        </w:tc>
        <w:tc>
          <w:tcPr>
            <w:tcW w:w="8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$1.075</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85-96</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$162,308.26</w:t>
            </w:r>
          </w:p>
        </w:tc>
        <w:tc>
          <w:tcPr>
            <w:tcW w:w="860" w:type="dxa"/>
            <w:vAlign w:val="bottom"/>
          </w:tcPr>
          <w:p>
            <w:pPr>
              <w:spacing w:after="0"/>
              <w:rPr>
                <w:sz w:val="18"/>
                <w:szCs w:val="18"/>
                <w:color w:val="auto"/>
              </w:rPr>
            </w:pPr>
          </w:p>
        </w:tc>
        <w:tc>
          <w:tcPr>
            <w:tcW w:w="2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$1.107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89"/>
              </w:rPr>
              <w:t>97-108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$167,177.50</w:t>
            </w:r>
          </w:p>
        </w:tc>
        <w:tc>
          <w:tcPr>
            <w:tcW w:w="8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$1.140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8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109-120</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$172,192.82</w:t>
            </w:r>
          </w:p>
        </w:tc>
        <w:tc>
          <w:tcPr>
            <w:tcW w:w="860" w:type="dxa"/>
            <w:vAlign w:val="bottom"/>
          </w:tcPr>
          <w:p>
            <w:pPr>
              <w:spacing w:after="0"/>
              <w:rPr>
                <w:sz w:val="18"/>
                <w:szCs w:val="18"/>
                <w:color w:val="auto"/>
              </w:rPr>
            </w:pPr>
          </w:p>
        </w:tc>
        <w:tc>
          <w:tcPr>
            <w:tcW w:w="2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$1.174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*Plus any partial month at the beginning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534670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D.</w:t>
            </w:r>
          </w:p>
        </w:tc>
        <w:tc>
          <w:tcPr>
            <w:tcW w:w="3340" w:type="dxa"/>
            <w:vAlign w:val="bottom"/>
          </w:tcPr>
          <w:p>
            <w:pPr>
              <w:ind w:left="120"/>
              <w:spacing w:after="0"/>
              <w:rPr>
                <w:sz w:val="20"/>
                <w:szCs w:val="20"/>
                <w:color w:val="auto"/>
              </w:rPr>
            </w:pPr>
            <w:r>
              <w:rPr>
                <w:rFonts w:ascii="Arial" w:cs="Arial" w:eastAsia="Arial" w:hAnsi="Arial"/>
                <w:sz w:val="18"/>
                <w:szCs w:val="18"/>
                <w:b w:val="1"/>
                <w:bCs w:val="1"/>
                <w:color w:val="auto"/>
              </w:rPr>
              <w:t>Tenant's Proportionate Share:</w:t>
            </w: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rPr>
              <w:t>43.22%, based upon a total of 339,264 rentable square feet in the Project.</w:t>
            </w:r>
          </w:p>
        </w:tc>
      </w:tr>
      <w:tr>
        <w:trPr>
          <w:trHeight w:val="418"/>
        </w:trPr>
        <w:tc>
          <w:tcPr>
            <w:tcW w:w="340" w:type="dxa"/>
            <w:vAlign w:val="bottom"/>
          </w:tcPr>
          <w:p>
            <w:pPr>
              <w:spacing w:after="0"/>
              <w:rPr>
                <w:sz w:val="20"/>
                <w:szCs w:val="20"/>
                <w:color w:val="auto"/>
              </w:rPr>
            </w:pPr>
            <w:r>
              <w:rPr>
                <w:rFonts w:ascii="Arial" w:cs="Arial" w:eastAsia="Arial" w:hAnsi="Arial"/>
                <w:sz w:val="18"/>
                <w:szCs w:val="18"/>
                <w:b w:val="1"/>
                <w:bCs w:val="1"/>
                <w:color w:val="auto"/>
              </w:rPr>
              <w:t>E.</w:t>
            </w:r>
          </w:p>
        </w:tc>
        <w:tc>
          <w:tcPr>
            <w:tcW w:w="3340" w:type="dxa"/>
            <w:vAlign w:val="bottom"/>
          </w:tcPr>
          <w:p>
            <w:pPr>
              <w:ind w:left="120"/>
              <w:spacing w:after="0"/>
              <w:rPr>
                <w:sz w:val="20"/>
                <w:szCs w:val="20"/>
                <w:color w:val="auto"/>
              </w:rPr>
            </w:pPr>
            <w:r>
              <w:rPr>
                <w:rFonts w:ascii="Arial" w:cs="Arial" w:eastAsia="Arial" w:hAnsi="Arial"/>
                <w:sz w:val="18"/>
                <w:szCs w:val="18"/>
                <w:b w:val="1"/>
                <w:bCs w:val="1"/>
                <w:color w:val="auto"/>
              </w:rPr>
              <w:t>Security Deposit:</w:t>
            </w: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w w:val="93"/>
              </w:rPr>
              <w:t>A security deposit of $131,971.50 shall be due and payable by Tenant to Landlord upon the</w:t>
            </w: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rPr>
              <w:t>Commencement Date.</w:t>
            </w:r>
          </w:p>
        </w:tc>
      </w:tr>
      <w:tr>
        <w:trPr>
          <w:trHeight w:val="432"/>
        </w:trPr>
        <w:tc>
          <w:tcPr>
            <w:tcW w:w="340" w:type="dxa"/>
            <w:vAlign w:val="bottom"/>
          </w:tcPr>
          <w:p>
            <w:pPr>
              <w:spacing w:after="0"/>
              <w:rPr>
                <w:sz w:val="20"/>
                <w:szCs w:val="20"/>
                <w:color w:val="auto"/>
              </w:rPr>
            </w:pPr>
            <w:r>
              <w:rPr>
                <w:rFonts w:ascii="Arial" w:cs="Arial" w:eastAsia="Arial" w:hAnsi="Arial"/>
                <w:sz w:val="18"/>
                <w:szCs w:val="18"/>
                <w:b w:val="1"/>
                <w:bCs w:val="1"/>
                <w:color w:val="auto"/>
              </w:rPr>
              <w:t>F.</w:t>
            </w:r>
          </w:p>
        </w:tc>
        <w:tc>
          <w:tcPr>
            <w:tcW w:w="3340" w:type="dxa"/>
            <w:vAlign w:val="bottom"/>
          </w:tcPr>
          <w:p>
            <w:pPr>
              <w:ind w:left="120"/>
              <w:spacing w:after="0"/>
              <w:rPr>
                <w:sz w:val="20"/>
                <w:szCs w:val="20"/>
                <w:color w:val="auto"/>
              </w:rPr>
            </w:pPr>
            <w:r>
              <w:rPr>
                <w:rFonts w:ascii="Arial" w:cs="Arial" w:eastAsia="Arial" w:hAnsi="Arial"/>
                <w:sz w:val="18"/>
                <w:szCs w:val="18"/>
                <w:b w:val="1"/>
                <w:bCs w:val="1"/>
                <w:color w:val="auto"/>
              </w:rPr>
              <w:t>Permitted Use:</w:t>
            </w: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rPr>
              <w:t>Research and development, warehouse, manufacturing and general office use.</w:t>
            </w:r>
          </w:p>
        </w:tc>
      </w:tr>
      <w:tr>
        <w:trPr>
          <w:trHeight w:val="432"/>
        </w:trPr>
        <w:tc>
          <w:tcPr>
            <w:tcW w:w="340" w:type="dxa"/>
            <w:vAlign w:val="bottom"/>
          </w:tcPr>
          <w:p>
            <w:pPr>
              <w:spacing w:after="0"/>
              <w:rPr>
                <w:sz w:val="20"/>
                <w:szCs w:val="20"/>
                <w:color w:val="auto"/>
              </w:rPr>
            </w:pPr>
            <w:r>
              <w:rPr>
                <w:rFonts w:ascii="Arial" w:cs="Arial" w:eastAsia="Arial" w:hAnsi="Arial"/>
                <w:sz w:val="18"/>
                <w:szCs w:val="18"/>
                <w:b w:val="1"/>
                <w:bCs w:val="1"/>
                <w:color w:val="auto"/>
              </w:rPr>
              <w:t>G.</w:t>
            </w:r>
          </w:p>
        </w:tc>
        <w:tc>
          <w:tcPr>
            <w:tcW w:w="3340" w:type="dxa"/>
            <w:vAlign w:val="bottom"/>
          </w:tcPr>
          <w:p>
            <w:pPr>
              <w:ind w:left="120"/>
              <w:spacing w:after="0"/>
              <w:rPr>
                <w:sz w:val="20"/>
                <w:szCs w:val="20"/>
                <w:color w:val="auto"/>
              </w:rPr>
            </w:pPr>
            <w:r>
              <w:rPr>
                <w:rFonts w:ascii="Arial" w:cs="Arial" w:eastAsia="Arial" w:hAnsi="Arial"/>
                <w:sz w:val="18"/>
                <w:szCs w:val="18"/>
                <w:b w:val="1"/>
                <w:bCs w:val="1"/>
                <w:color w:val="auto"/>
              </w:rPr>
              <w:t>Broker:</w:t>
            </w: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rPr>
              <w:t>CBRE, Inc. (representing Tenant only).</w:t>
            </w:r>
          </w:p>
        </w:tc>
      </w:tr>
      <w:tr>
        <w:trPr>
          <w:trHeight w:val="418"/>
        </w:trPr>
        <w:tc>
          <w:tcPr>
            <w:tcW w:w="340" w:type="dxa"/>
            <w:vAlign w:val="bottom"/>
          </w:tcPr>
          <w:p>
            <w:pPr>
              <w:spacing w:after="0"/>
              <w:rPr>
                <w:sz w:val="20"/>
                <w:szCs w:val="20"/>
                <w:color w:val="auto"/>
              </w:rPr>
            </w:pPr>
            <w:r>
              <w:rPr>
                <w:rFonts w:ascii="Arial" w:cs="Arial" w:eastAsia="Arial" w:hAnsi="Arial"/>
                <w:sz w:val="18"/>
                <w:szCs w:val="18"/>
                <w:b w:val="1"/>
                <w:bCs w:val="1"/>
                <w:color w:val="auto"/>
              </w:rPr>
              <w:t>H.</w:t>
            </w:r>
          </w:p>
        </w:tc>
        <w:tc>
          <w:tcPr>
            <w:tcW w:w="3340" w:type="dxa"/>
            <w:vAlign w:val="bottom"/>
          </w:tcPr>
          <w:p>
            <w:pPr>
              <w:ind w:left="120"/>
              <w:spacing w:after="0"/>
              <w:rPr>
                <w:sz w:val="20"/>
                <w:szCs w:val="20"/>
                <w:color w:val="auto"/>
              </w:rPr>
            </w:pPr>
            <w:r>
              <w:rPr>
                <w:rFonts w:ascii="Arial" w:cs="Arial" w:eastAsia="Arial" w:hAnsi="Arial"/>
                <w:sz w:val="18"/>
                <w:szCs w:val="18"/>
                <w:b w:val="1"/>
                <w:bCs w:val="1"/>
                <w:color w:val="auto"/>
              </w:rPr>
              <w:t>Parking:</w:t>
            </w: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w w:val="94"/>
              </w:rPr>
              <w:t>Tenant shall be entitled to use three (3) parking spaces for each 1,000 rentable square feet</w:t>
            </w: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w w:val="91"/>
              </w:rPr>
              <w:t>contained in the Premises, which equals four hundred forty (440) spaces, upon the terms and</w:t>
            </w: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w w:val="95"/>
              </w:rPr>
              <w:t>conditions provided in Article 23 hereof. Tenant shall have the exclusive right to use those</w:t>
            </w:r>
          </w:p>
        </w:tc>
      </w:tr>
      <w:tr>
        <w:trPr>
          <w:trHeight w:val="216"/>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w w:val="92"/>
              </w:rPr>
              <w:t>parking spaces depicted on Exhibit "D" attached hereto and made a part hereof and Tenant's</w:t>
            </w: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740" w:type="dxa"/>
            <w:vAlign w:val="bottom"/>
            <w:gridSpan w:val="5"/>
          </w:tcPr>
          <w:p>
            <w:pPr>
              <w:ind w:left="900"/>
              <w:spacing w:after="0"/>
              <w:rPr>
                <w:sz w:val="20"/>
                <w:szCs w:val="20"/>
                <w:color w:val="auto"/>
              </w:rPr>
            </w:pPr>
            <w:r>
              <w:rPr>
                <w:rFonts w:ascii="Arial" w:cs="Arial" w:eastAsia="Arial" w:hAnsi="Arial"/>
                <w:sz w:val="18"/>
                <w:szCs w:val="18"/>
                <w:color w:val="auto"/>
              </w:rPr>
              <w:t>remaining parking spaces shall be for unreserved parking.</w:t>
            </w:r>
          </w:p>
        </w:tc>
      </w:tr>
      <w:tr>
        <w:trPr>
          <w:trHeight w:val="392"/>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3"/>
          </w:tcPr>
          <w:p>
            <w:pPr>
              <w:jc w:val="center"/>
              <w:ind w:right="5240"/>
              <w:spacing w:after="0"/>
              <w:rPr>
                <w:sz w:val="20"/>
                <w:szCs w:val="20"/>
                <w:color w:val="auto"/>
              </w:rPr>
            </w:pPr>
            <w:r>
              <w:rPr>
                <w:rFonts w:ascii="Arial" w:cs="Arial" w:eastAsia="Arial" w:hAnsi="Arial"/>
                <w:sz w:val="18"/>
                <w:szCs w:val="18"/>
                <w:b w:val="1"/>
                <w:bCs w:val="1"/>
                <w:color w:val="auto"/>
              </w:rPr>
              <w:t>ARTICLE 2</w:t>
            </w:r>
          </w:p>
        </w:tc>
      </w:tr>
      <w:tr>
        <w:trPr>
          <w:trHeight w:val="20"/>
        </w:trPr>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60" w:type="dxa"/>
            <w:vAlign w:val="bottom"/>
            <w:gridSpan w:val="4"/>
          </w:tcPr>
          <w:p>
            <w:pPr>
              <w:jc w:val="center"/>
              <w:ind w:right="4960"/>
              <w:spacing w:after="0" w:line="196" w:lineRule="exact"/>
              <w:rPr>
                <w:sz w:val="20"/>
                <w:szCs w:val="20"/>
                <w:color w:val="auto"/>
              </w:rPr>
            </w:pPr>
            <w:r>
              <w:rPr>
                <w:rFonts w:ascii="Arial" w:cs="Arial" w:eastAsia="Arial" w:hAnsi="Arial"/>
                <w:sz w:val="18"/>
                <w:szCs w:val="18"/>
                <w:b w:val="1"/>
                <w:bCs w:val="1"/>
                <w:color w:val="auto"/>
              </w:rPr>
              <w:t>TERM/PREMISES</w:t>
            </w:r>
          </w:p>
        </w:tc>
      </w:tr>
      <w:tr>
        <w:trPr>
          <w:trHeight w:val="20"/>
        </w:trPr>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Term of this Lease shall commence on the Commencement Date as set forth in Article 1.A. of the Basic Lease Provisions and shall end on the Expiration Date set forth in Article 1.A. of the Basic Lease Provisions. Landlord and Tenant hereby stipulate that the Premises contains the number of square feet specified in Article 1.B. of the Basic Lease Provisions. Landlord shall deliver to Tenant a Commencement Letter in a form substantially similar to that attached hereto as Exhibit "B", which Tenant shall edit (if necessary), execute and return to Landlord within thirty (30) days of receipt thereof.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RENTAL</w:t>
      </w:r>
    </w:p>
    <w:p>
      <w:pPr>
        <w:spacing w:after="0" w:line="211" w:lineRule="exact"/>
        <w:rPr>
          <w:sz w:val="20"/>
          <w:szCs w:val="20"/>
          <w:color w:val="auto"/>
        </w:rPr>
      </w:pPr>
    </w:p>
    <w:p>
      <w:pPr>
        <w:jc w:val="both"/>
        <w:ind w:firstLine="656"/>
        <w:spacing w:after="0" w:line="226" w:lineRule="auto"/>
        <w:tabs>
          <w:tab w:leader="none" w:pos="111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Basic Rental</w:t>
      </w:r>
      <w:r>
        <w:rPr>
          <w:rFonts w:ascii="Arial" w:cs="Arial" w:eastAsia="Arial" w:hAnsi="Arial"/>
          <w:sz w:val="17"/>
          <w:szCs w:val="17"/>
          <w:color w:val="auto"/>
        </w:rPr>
        <w:t>. Tenant agrees to pay to Landlord during the Term hereof, at Landlord's office or to such other person or at such other place as directed from time to time by written notice to Tenant from Landlord, the monthly sums as set forth in Article 1.C. of the Basic Lease Provisions, payable in advance on the first (1</w:t>
      </w:r>
      <w:r>
        <w:rPr>
          <w:rFonts w:ascii="Arial" w:cs="Arial" w:eastAsia="Arial" w:hAnsi="Arial"/>
          <w:sz w:val="28"/>
          <w:szCs w:val="28"/>
          <w:color w:val="auto"/>
          <w:vertAlign w:val="superscript"/>
        </w:rPr>
        <w:t>st</w:t>
      </w:r>
      <w:r>
        <w:rPr>
          <w:rFonts w:ascii="Arial" w:cs="Arial" w:eastAsia="Arial" w:hAnsi="Arial"/>
          <w:sz w:val="17"/>
          <w:szCs w:val="17"/>
          <w:color w:val="auto"/>
        </w:rPr>
        <w:t>) day of each calendar month, without demand, setoff or deduction (except as expressly provided in this Lease) in lawful money of the United States, and in the event this Lease commences or the date of expiration of this Lease occurs other than on the first (1</w:t>
      </w:r>
      <w:r>
        <w:rPr>
          <w:rFonts w:ascii="Arial" w:cs="Arial" w:eastAsia="Arial" w:hAnsi="Arial"/>
          <w:sz w:val="28"/>
          <w:szCs w:val="28"/>
          <w:color w:val="auto"/>
          <w:vertAlign w:val="superscript"/>
        </w:rPr>
        <w:t>st</w:t>
      </w:r>
      <w:r>
        <w:rPr>
          <w:rFonts w:ascii="Arial" w:cs="Arial" w:eastAsia="Arial" w:hAnsi="Arial"/>
          <w:sz w:val="17"/>
          <w:szCs w:val="17"/>
          <w:color w:val="auto"/>
        </w:rPr>
        <w:t>) day or last day of a calendar month, the rent for such month shall be prorated based upon the actual number of days in such month. If the Commencement Date is not the first day of a month, Basic Rental for the partial month commencing as of the Commencement Date shall be prorated based upon the actual number of days in such month and shall be due and payable upon the Commencement Date.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9" w:name="page70"/>
    <w:bookmarkEnd w:id="69"/>
    <w:p>
      <w:pPr>
        <w:jc w:val="both"/>
        <w:ind w:firstLine="656"/>
        <w:spacing w:after="0" w:line="272" w:lineRule="auto"/>
        <w:tabs>
          <w:tab w:leader="none" w:pos="115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Direct Costs</w:t>
      </w:r>
      <w:r>
        <w:rPr>
          <w:rFonts w:ascii="Arial" w:cs="Arial" w:eastAsia="Arial" w:hAnsi="Arial"/>
          <w:sz w:val="17"/>
          <w:szCs w:val="17"/>
          <w:color w:val="auto"/>
        </w:rPr>
        <w:t>. Tenant shall pay an additional sum for each calendar year during the Term equal to the product of the percentage set forth in Article 1.D. of the Basic Lease Provisions multiplied by the amount of "Direct Costs." In the event this Lease shall terminate on any date other than the last day of a calendar year, the additional sum payable hereunder by Tenant during the calendar year in which this Lease terminates shall be prorated on the basis of the relationship which the number of days which have elapsed from the commencement of said calendar year to and including said date on which this Lease terminates bears to three hundred sixty five (365). Any and all amounts due and payable by Tenant pursuant to this Lease (other than Basic Rental) shall be deemed "</w:t>
      </w:r>
      <w:r>
        <w:rPr>
          <w:rFonts w:ascii="Arial" w:cs="Arial" w:eastAsia="Arial" w:hAnsi="Arial"/>
          <w:sz w:val="17"/>
          <w:szCs w:val="17"/>
          <w:b w:val="1"/>
          <w:bCs w:val="1"/>
          <w:color w:val="auto"/>
        </w:rPr>
        <w:t>Additional Rent</w:t>
      </w:r>
      <w:r>
        <w:rPr>
          <w:rFonts w:ascii="Arial" w:cs="Arial" w:eastAsia="Arial" w:hAnsi="Arial"/>
          <w:sz w:val="17"/>
          <w:szCs w:val="17"/>
          <w:color w:val="auto"/>
        </w:rPr>
        <w:t>" and Landlord shall be entitled to exercise the same rights and remedies upon default in these payments as Landlord is entitled to exercise with respect to defaults in monthly Basic Rental payments.</w:t>
      </w:r>
    </w:p>
    <w:p>
      <w:pPr>
        <w:spacing w:after="0" w:line="173"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Direct Costs</w:t>
      </w:r>
      <w:r>
        <w:rPr>
          <w:rFonts w:ascii="Arial" w:cs="Arial" w:eastAsia="Arial" w:hAnsi="Arial"/>
          <w:sz w:val="18"/>
          <w:szCs w:val="18"/>
          <w:color w:val="auto"/>
        </w:rPr>
        <w:t>" shall mean the sum of the following:</w:t>
      </w:r>
    </w:p>
    <w:p>
      <w:pPr>
        <w:spacing w:after="0" w:line="225" w:lineRule="exact"/>
        <w:rPr>
          <w:rFonts w:ascii="Arial" w:cs="Arial" w:eastAsia="Arial" w:hAnsi="Arial"/>
          <w:sz w:val="18"/>
          <w:szCs w:val="18"/>
          <w:color w:val="auto"/>
        </w:rPr>
      </w:pPr>
    </w:p>
    <w:p>
      <w:pPr>
        <w:jc w:val="both"/>
        <w:ind w:firstLine="1305"/>
        <w:spacing w:after="0" w:line="288" w:lineRule="auto"/>
        <w:tabs>
          <w:tab w:leader="none" w:pos="1705" w:val="left"/>
        </w:tabs>
        <w:numPr>
          <w:ilvl w:val="1"/>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Costs</w:t>
      </w:r>
      <w:r>
        <w:rPr>
          <w:rFonts w:ascii="Arial" w:cs="Arial" w:eastAsia="Arial" w:hAnsi="Arial"/>
          <w:sz w:val="16"/>
          <w:szCs w:val="16"/>
          <w:color w:val="auto"/>
        </w:rPr>
        <w:t>", which shall mean any and all real estate taxes and other similar charges on real property or improvements, assessments, water and sewer charges, and all other charges assessed, reassessed or levied upon the Project and appurtenances thereto and the parking or other facilities thereof, or the real property thereunder (collectively the "</w:t>
      </w:r>
      <w:r>
        <w:rPr>
          <w:rFonts w:ascii="Arial" w:cs="Arial" w:eastAsia="Arial" w:hAnsi="Arial"/>
          <w:sz w:val="16"/>
          <w:szCs w:val="16"/>
          <w:b w:val="1"/>
          <w:bCs w:val="1"/>
          <w:color w:val="auto"/>
        </w:rPr>
        <w:t>Real Property</w:t>
      </w:r>
      <w:r>
        <w:rPr>
          <w:rFonts w:ascii="Arial" w:cs="Arial" w:eastAsia="Arial" w:hAnsi="Arial"/>
          <w:sz w:val="16"/>
          <w:szCs w:val="16"/>
          <w:color w:val="auto"/>
        </w:rPr>
        <w:t>") which are assessed, reassessed or levied by the United States, the State of California or any local government authority or agency or any political subdivision thereof, and shall include Landlord's reasonable legal fees, costs and disbursements incurred in connection with proceedings for reduction of Tax Costs or any part thereof. Any taxes or assessments that may be paid over more than a one-year period shall be included in Tax Costs as if such payments were made in the maximum number of installments permitted by applicable law and only the portion thereof attributable to a given year shall be in included in Tax Costs for that year. Notwithstanding anything to the contrary contained in this Section 3(c)(i), there shall be excluded from Tax Costs (i) all excess profits taxes, franchise taxes, gift taxes, capital stock taxes, inheritance and succession taxes, estate taxes, federal and state income taxes, and other taxes to the extent applicable to Landlord's general or net income, (ii) any items included as Operating Costs, and (iii) any items paid by Tenant under Article 6 of this Lease. In no event shall Tenant be permitted to contest Tax Costs for the Project; provided that if Landlord and Tenant mutually agree in good faith that a tax contest is warranted, Landlord shall contest the Tax Costs for the Project.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both"/>
        <w:ind w:firstLine="1305"/>
        <w:spacing w:after="0" w:line="285" w:lineRule="auto"/>
        <w:tabs>
          <w:tab w:leader="none" w:pos="17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Costs</w:t>
      </w:r>
      <w:r>
        <w:rPr>
          <w:rFonts w:ascii="Arial" w:cs="Arial" w:eastAsia="Arial" w:hAnsi="Arial"/>
          <w:sz w:val="16"/>
          <w:szCs w:val="16"/>
          <w:color w:val="auto"/>
        </w:rPr>
        <w:t>", which shall mean all costs and expenses incurred by Landlord in connection with the maintenance, operation and repair of the Project including the Common Areas of the Project as defined below. Operating Costs shall include but not be limited to, personal property taxes on property used in the maintenance and operation of the Project; fees, costs, expenses or dues payable pursuant to the terms of any covenants, conditions or restrictions or owners' association pertaining to the Project; capital expenditures incurred to effect economies of operation of the Project where the economies reasonably expected to be achieved each year are in excess of the reasonably expected annual amortized cost of such expenditure and capital expenditures required by Laws not in effect as of the Commencement Date; provided, however, that capital expenditures included in Operating Costs shall be amortized over their useful life as determined in accordance with generally accepted accounting principles; charges for electricity, gas, water and other utilities furnished to the common areas of the Project and any taxes thereon; all charges for fire and extended coverage, liability and all other insurance in connection with the Project carried by Landlord; the cost of all building and cleaning supplies and materials; all charges for service contracts and other services with independent contractors for repair, maintenance and operation of the Project; a property management fee in the amount of two percent (2%) of Basic Rental per year and license, permit and inspection fees relating to the operation, maintenance and repair of Project. As used herein, the term "</w:t>
      </w:r>
      <w:r>
        <w:rPr>
          <w:rFonts w:ascii="Arial" w:cs="Arial" w:eastAsia="Arial" w:hAnsi="Arial"/>
          <w:sz w:val="16"/>
          <w:szCs w:val="16"/>
          <w:b w:val="1"/>
          <w:bCs w:val="1"/>
          <w:color w:val="auto"/>
        </w:rPr>
        <w:t>Common Area</w:t>
      </w:r>
      <w:r>
        <w:rPr>
          <w:rFonts w:ascii="Arial" w:cs="Arial" w:eastAsia="Arial" w:hAnsi="Arial"/>
          <w:sz w:val="16"/>
          <w:szCs w:val="16"/>
          <w:color w:val="auto"/>
        </w:rPr>
        <w:t>" is defined for all purposes of this Lease as that part of the Project intended for the common use of all tenants and their employees and other invitees, including among other facilities (as such may be applicable to the Project), the Shared Space, the parking areas, private streets and alleys, landscaping, curbs, sidewalks, lighting facilities and the like, as they may exist from time to time. In addition, although the roof of the building in the Project is not literally part of the Common Area, it will be deemed to be so included solely for purposes of (A) Landlord's ability to prescribe rules and regulations regarding same (subject to Section 30(p) below), and (B) Tenant's obligations to pay Operating Costs with respect thereto (subject to the express exclusions below). Landlord reserves the right subject to the provisions of Article 12 below regarding the cooling tower, to change from time to time the dimensions, size and location of the Common Area, as well as the dimensions, identities, locations, number, size and types of signs or other improvements in the Project, including, without limitation, driveways, entrances, parking spaces, parking areas, loading areas, ingress, egress, direction of traffic, walkways and landscape areas; provided, however, that no such changes will materially and adversely impair Tenant's parking rights pursuant to Article 23 hereof, the access to the Premises or the area immediately adjacent to Tenant's primary entry. In no event shall Tenant be permitted to erect any structures, fencing or other improvements in the Common Area.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1" w:name="page72"/>
    <w:bookmarkEnd w:id="71"/>
    <w:p>
      <w:pPr>
        <w:jc w:val="both"/>
        <w:ind w:firstLine="1297"/>
        <w:spacing w:after="0" w:line="285" w:lineRule="auto"/>
        <w:rPr>
          <w:sz w:val="20"/>
          <w:szCs w:val="20"/>
          <w:color w:val="auto"/>
        </w:rPr>
      </w:pPr>
      <w:r>
        <w:rPr>
          <w:rFonts w:ascii="Arial" w:cs="Arial" w:eastAsia="Arial" w:hAnsi="Arial"/>
          <w:sz w:val="16"/>
          <w:szCs w:val="16"/>
          <w:color w:val="auto"/>
        </w:rPr>
        <w:t>Notwithstanding anything above to the contrary, Operating Costs shall not include (1) the cost of providing any service directly to and paid directly by any tenant (outside of such tenant's Direct Cost payments) such as where a Tenant directly contracts for electric power or other utilities with the local public services company; (2) the cost of any items for which Landlord is reimbursed by insurance proceeds, condemnation awards, a tenant of the Project (outside of such tenant's Direct Cost payments), or otherwise to the extent so reimbursed; (3) any real estate brokerage commissions or other costs incurred in procuring tenants, or any fee in lieu of commission; (4) amortization of principal and interest on mortgages or ground lease payments (if any);</w:t>
      </w:r>
    </w:p>
    <w:p>
      <w:pPr>
        <w:spacing w:after="0" w:line="2" w:lineRule="exact"/>
        <w:rPr>
          <w:sz w:val="20"/>
          <w:szCs w:val="20"/>
          <w:color w:val="auto"/>
        </w:rPr>
      </w:pPr>
    </w:p>
    <w:p>
      <w:pPr>
        <w:jc w:val="both"/>
        <w:ind w:firstLine="8"/>
        <w:spacing w:after="0" w:line="281" w:lineRule="auto"/>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of items considered capital repairs, replacements, improvements and equipment under generally accepted accounting principles consistently applied except as expressly included in Operating Costs pursuant to the definition above; (6) costs incurred by Landlord due to the violation by Landlord or any tenant of the terms and conditions of any lease of space in the Project or any law, code, regulation, ordinance or the like; (7) any compensation paid to clerks, attendants or other persons in commercial concessions operated by Landlord; (8) bad debt expenses and interest, principal, points and fees on debts;</w:t>
      </w:r>
    </w:p>
    <w:p>
      <w:pPr>
        <w:spacing w:after="0" w:line="2" w:lineRule="exact"/>
        <w:rPr>
          <w:rFonts w:ascii="Arial" w:cs="Arial" w:eastAsia="Arial" w:hAnsi="Arial"/>
          <w:sz w:val="16"/>
          <w:szCs w:val="16"/>
          <w:color w:val="auto"/>
        </w:rPr>
      </w:pPr>
    </w:p>
    <w:p>
      <w:pPr>
        <w:jc w:val="both"/>
        <w:ind w:firstLine="8"/>
        <w:spacing w:after="0" w:line="283" w:lineRule="auto"/>
        <w:tabs>
          <w:tab w:leader="none" w:pos="2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marketing costs, including those costs described in (3) above,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Project, including attorneys' fees and other costs and expenditures incurred in connection with disputes with present or prospective tenants or other occupants of the Project; (10) costs, including permit, license and inspection costs, incurred with respect to the installation of other tenants' or occupants' improvements made for tenants or other occupants in the Project or incurred in renovating or otherwise improving, decorating, painting or redecorating vacant space for tenants or other occupants in the Project; (11) any costs expressly excluded from Operating Costs elsewhere in this Lease; (12) costs of any items (including, but not limited to, costs incurred by Landlord for the repair of damage to the Project) to the extent Landlord receives reimbursement from insurance proceeds or from a third party (except that any commercially reasonable deductible amount under any insurance policy shall be included within Operating Costs up to a maximum of $100,000.00 per casualty [provided that such maximum shall not be applied to any earthquake deductible so long as any earthquake deductible is amortized over the useful life of the repair and in no event shall Tenant's Proportionate Share thereof exceed $75,000.00 per year]); (13) rentals and other related expenses for leasing an HVAC system, elevators, or other items (except when needed in connection with normal repairs and maintenance of the Project) which if purchased, rather than rented, would constitute a capital improvement not included in Operating Costs pursuant to this Lease; (14) depreciation, amortization and interest payments, except as specifically included in Operating Costs pursuant to the terms of this Lease and except on materials, tools, supplies and vendor-type equipment purchased by Landlord to enable Landlord to supply services Landlord might otherwise contract for with a third party, where such depreciation, amortization and interest payments would otherwise have been included in the charge for such third party's services, all as determined in accordance with generally accepted accounting principles, consistently applied, and when depreciation or amortization is permitted or required, the item shall be amortized over its reasonably anticipated useful life; (15) expenses in connection with services or other benefits which are not offered to Tenant or for which Tenant is charged for directly but which are provided to another tenant or occupant of the Project, without charge; (16) costs (including in connection therewith all attorneys' fees and costs of settlement, judgments and/or payments in lieu thereof) arising from claims, disputes or potential disputes in connection with potential or actual claims litigation or arbitrations pertaining to Landlord and/or the Project; (17) costs associated with the operation of the business of the partnership, corporation or limited liability company which constitutes Landlord as the same are distinguished from the costs of operation of the Project; (18) costs incurred to remove, remedy, contain, or treat any Hazardous Material; (19) any salaries or benefits for property management personnel (except that for personnel that provide maintenance and repair services to the Project, such salaries and benefits may be included in Operating Costs, provided that such costs for any individual who provides services to any other building or project shall be prorated based upon time devoted to this Project); (20) costs and expenses otherwise includable in Operating Costs to the extent the same arise from the negligence or tortious acts of Landlord or any of Landlord's agents, employees or contractors; or (21) any overhead and/or profit increment paid to Landlord or to subsidiaries or affiliates or Landlord for services in the Project to the extent the same exceed the amount which would generally be expected to be the cost of such services rendered by comparably qualified unaffiliated third parties.</w:t>
      </w:r>
    </w:p>
    <w:p>
      <w:pPr>
        <w:spacing w:after="0" w:line="39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Notwithstanding anything to the contrary contained herein, the aggregate Controllable Operating Costs, as that term is defined below, shall not increase more than four percent (4%) in any calendar year over the maximum amount of Controllable Operating Costs chargeable for the immediately preceding calendar year, calculated on a cumulative basis. "</w:t>
      </w:r>
      <w:r>
        <w:rPr>
          <w:rFonts w:ascii="Arial" w:cs="Arial" w:eastAsia="Arial" w:hAnsi="Arial"/>
          <w:sz w:val="17"/>
          <w:szCs w:val="17"/>
          <w:b w:val="1"/>
          <w:bCs w:val="1"/>
          <w:color w:val="auto"/>
        </w:rPr>
        <w:t>Controllable Operating Costs</w:t>
      </w:r>
      <w:r>
        <w:rPr>
          <w:rFonts w:ascii="Arial" w:cs="Arial" w:eastAsia="Arial" w:hAnsi="Arial"/>
          <w:sz w:val="17"/>
          <w:szCs w:val="17"/>
          <w:color w:val="auto"/>
        </w:rPr>
        <w:t>" shall mean all Direct Costs except Tax Costs, utility charges, insurance costs, trash collection costs, costs of services provided under a union contract, payments under CC&amp;R's or to an owners' association, capital expenditures that are permitted herein, and costs associated with repairs due to casualty.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ind w:left="1100" w:hanging="444"/>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Determination of Payment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firstLine="1305"/>
        <w:spacing w:after="0" w:line="246" w:lineRule="auto"/>
        <w:tabs>
          <w:tab w:leader="none" w:pos="1872" w:val="left"/>
        </w:tabs>
        <w:numPr>
          <w:ilvl w:val="1"/>
          <w:numId w:val="30"/>
        </w:numPr>
        <w:rPr>
          <w:rFonts w:ascii="Arial" w:cs="Arial" w:eastAsia="Arial" w:hAnsi="Arial"/>
          <w:sz w:val="17"/>
          <w:szCs w:val="17"/>
          <w:color w:val="auto"/>
        </w:rPr>
      </w:pPr>
      <w:r>
        <w:rPr>
          <w:rFonts w:ascii="Arial" w:cs="Arial" w:eastAsia="Arial" w:hAnsi="Arial"/>
          <w:sz w:val="17"/>
          <w:szCs w:val="17"/>
          <w:color w:val="auto"/>
        </w:rPr>
        <w:t>Landlord shall give Tenant a yearly expense estimate statement (the "</w:t>
      </w:r>
      <w:r>
        <w:rPr>
          <w:rFonts w:ascii="Arial" w:cs="Arial" w:eastAsia="Arial" w:hAnsi="Arial"/>
          <w:sz w:val="17"/>
          <w:szCs w:val="17"/>
          <w:b w:val="1"/>
          <w:bCs w:val="1"/>
          <w:color w:val="auto"/>
        </w:rPr>
        <w:t>Estimate Statement</w:t>
      </w:r>
      <w:r>
        <w:rPr>
          <w:rFonts w:ascii="Arial" w:cs="Arial" w:eastAsia="Arial" w:hAnsi="Arial"/>
          <w:sz w:val="17"/>
          <w:szCs w:val="17"/>
          <w:color w:val="auto"/>
        </w:rPr>
        <w:t>") which shall set forth Landlord's reasonable estimate (the "</w:t>
      </w:r>
      <w:r>
        <w:rPr>
          <w:rFonts w:ascii="Arial" w:cs="Arial" w:eastAsia="Arial" w:hAnsi="Arial"/>
          <w:sz w:val="17"/>
          <w:szCs w:val="17"/>
          <w:b w:val="1"/>
          <w:bCs w:val="1"/>
          <w:color w:val="auto"/>
        </w:rPr>
        <w:t>Estimate</w:t>
      </w:r>
      <w:r>
        <w:rPr>
          <w:rFonts w:ascii="Arial" w:cs="Arial" w:eastAsia="Arial" w:hAnsi="Arial"/>
          <w:sz w:val="17"/>
          <w:szCs w:val="17"/>
          <w:color w:val="auto"/>
        </w:rPr>
        <w:t>") of what the total amount of Direct Costs for the then-current calendar year shall be and Tenant's Proportionate Share thereof. Tenant shall pay, within thirty (30) days after receipt of the Estimate Statement, a fraction of the Estimate for the then-current calendar year (reduced by any amounts paid pursuant to the last sentence of this Section 3(d)(i)). Such fraction shall have as its numerator the number of months which have elapsed in such current calendar year to the month of such payment, both months inclusive, and shall have twelve (12) as its denominator. Until a new Estimate Statement is furnished, Tenant shall pay monthly, with the Monthly Basic Rental installments, an amount equal to one-twelfth (1/12</w:t>
      </w:r>
      <w:r>
        <w:rPr>
          <w:rFonts w:ascii="Arial" w:cs="Arial" w:eastAsia="Arial" w:hAnsi="Arial"/>
          <w:sz w:val="28"/>
          <w:szCs w:val="28"/>
          <w:color w:val="auto"/>
          <w:vertAlign w:val="superscript"/>
        </w:rPr>
        <w:t>th</w:t>
      </w:r>
      <w:r>
        <w:rPr>
          <w:rFonts w:ascii="Arial" w:cs="Arial" w:eastAsia="Arial" w:hAnsi="Arial"/>
          <w:sz w:val="17"/>
          <w:szCs w:val="17"/>
          <w:color w:val="auto"/>
        </w:rPr>
        <w:t>) of the total Estimated Direct Costs set forth in the previous Estimate Statement delivered by Landlord to Tenant.</w:t>
      </w:r>
    </w:p>
    <w:p>
      <w:pPr>
        <w:spacing w:after="0" w:line="200" w:lineRule="exact"/>
        <w:rPr>
          <w:rFonts w:ascii="Arial" w:cs="Arial" w:eastAsia="Arial" w:hAnsi="Arial"/>
          <w:sz w:val="17"/>
          <w:szCs w:val="17"/>
          <w:color w:val="auto"/>
        </w:rPr>
      </w:pPr>
    </w:p>
    <w:p>
      <w:pPr>
        <w:jc w:val="both"/>
        <w:ind w:firstLine="1305"/>
        <w:spacing w:after="0" w:line="268" w:lineRule="auto"/>
        <w:tabs>
          <w:tab w:leader="none" w:pos="17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 addition, Landlord shall give to Tenant within one hundred twenty (120) days following the end of each calendar year, a statement (the "</w:t>
      </w:r>
      <w:r>
        <w:rPr>
          <w:rFonts w:ascii="Arial" w:cs="Arial" w:eastAsia="Arial" w:hAnsi="Arial"/>
          <w:sz w:val="17"/>
          <w:szCs w:val="17"/>
          <w:b w:val="1"/>
          <w:bCs w:val="1"/>
          <w:color w:val="auto"/>
        </w:rPr>
        <w:t>Statement</w:t>
      </w:r>
      <w:r>
        <w:rPr>
          <w:rFonts w:ascii="Arial" w:cs="Arial" w:eastAsia="Arial" w:hAnsi="Arial"/>
          <w:sz w:val="17"/>
          <w:szCs w:val="17"/>
          <w:color w:val="auto"/>
        </w:rPr>
        <w:t>") which shall state the Direct Costs incurred or accrued for such preceding calendar year. Upon receipt of the Statement for each calendar year during the Term, if amounts paid by Tenant on an estimated basis pursuant to Section 3(d)(i) above are less than Tenant's Proportionate Share of the actual Direct Costs for such year as specified on the Statement, Tenant shall pay, within thirty (30) days thereafter, the full amount of Direct Costs for such calendar year, less the amounts paid during such calendar year on an estimated basis pursuant to Section 3(d)(i) above. If, however, the Statement indicates that amounts paid by Tenant on an estimated basis pursuant to Section 3(d)(i) above are greater than Tenant's Proportionate Share of the actual Direct Costs for such year as specified on the Statement, such overpayment shall be refunded to Tenant within thirty (30) days after the Statement. The failure of Landlord to timely furnish the Statement for any calendar year shall not prejudice Landlord from enforcing its rights under this Article 3, for a period of twelve (12) months after the expiration of such one hundred twenty (120) day period, except where the failure to timely furnish the Statement as to any particular item includable in the Statement is beyond Landlord's reasonable control (e.g. tax assessments that are late in arriving from the assessor), in which case such twelve (12) month limit shall not be applicable. Even though the Term has expired and Tenant has vacated the Premises, when the final determination is made of Tenant's Proportionate Share of the Direct Costs for the calendar year in which this Lease terminates, Tenant shall pay to Landlord an amount as calculated pursuant to the provisions of this Section 3(d).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both"/>
        <w:ind w:firstLine="656"/>
        <w:spacing w:after="0" w:line="293" w:lineRule="auto"/>
        <w:tabs>
          <w:tab w:leader="none" w:pos="107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Use of Common Area</w:t>
      </w:r>
      <w:r>
        <w:rPr>
          <w:rFonts w:ascii="Arial" w:cs="Arial" w:eastAsia="Arial" w:hAnsi="Arial"/>
          <w:sz w:val="16"/>
          <w:szCs w:val="16"/>
          <w:color w:val="auto"/>
        </w:rPr>
        <w:t>. Tenant and its employees and invitees, and when duly authorized pursuant to the provisions of this Lease, its subtenants and licensees, shall have the nonexclusive right to use the Common Area (expressly excluding the roof of the building in the Project other than for Tenant to comply with its repair and maintenance obligations under Article 9 below and except as provided in Section 30(p) below [but otherwise subject to the provisions thereof]) as constituted from time to time, such use to be in common with Landlord, other tenants in the Project and other persons permitted by Landlord to use the same, and subject to such reasonable rules and regulations governing use as Landlord may from time to time prescribe. For example, and without limiting the generality of Landlord's ability to establish rules and regulations governing all aspects of the Common Area, Tenant agrees as follows:</w:t>
      </w:r>
    </w:p>
    <w:p>
      <w:pPr>
        <w:spacing w:after="0" w:line="164" w:lineRule="exact"/>
        <w:rPr>
          <w:rFonts w:ascii="Arial" w:cs="Arial" w:eastAsia="Arial" w:hAnsi="Arial"/>
          <w:sz w:val="16"/>
          <w:szCs w:val="16"/>
          <w:color w:val="auto"/>
        </w:rPr>
      </w:pPr>
    </w:p>
    <w:p>
      <w:pPr>
        <w:ind w:left="1700" w:hanging="395"/>
        <w:spacing w:after="0"/>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Tenant shall not take any action which would unreasonably interfere with the rights of other persons to use the Common Area.</w:t>
      </w:r>
    </w:p>
    <w:p>
      <w:pPr>
        <w:spacing w:after="0" w:line="236" w:lineRule="exact"/>
        <w:rPr>
          <w:rFonts w:ascii="Arial" w:cs="Arial" w:eastAsia="Arial" w:hAnsi="Arial"/>
          <w:sz w:val="17"/>
          <w:szCs w:val="17"/>
          <w:color w:val="auto"/>
        </w:rPr>
      </w:pPr>
    </w:p>
    <w:p>
      <w:pPr>
        <w:jc w:val="both"/>
        <w:ind w:firstLine="1305"/>
        <w:spacing w:after="0" w:line="259" w:lineRule="auto"/>
        <w:tabs>
          <w:tab w:leader="none" w:pos="18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Landlord may temporarily close any part of the Common Area for such periods of time as may be necessary to make repairs or alterations or during construction or to prevent the public from obtaining prescriptive rights, provided that access to the Premises remains reasonably available and Landlord uses reasonable efforts to minimize any disruption to Tenant's use and enjoyment of the Premises and the parking to which it is entitled hereunder.</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82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With regard to the roof of the building in the Project, any use of the roof whatsoever is hereby exclusively reserved to Landlord for any and all purposes and in all respects in its reasonable discretion other than for Tenant to comply with its repair and maintenance obligations under Article 9 below and except as provided in Section 30(p) below (but otherwise subject to the provisions thereof). Landlord shall otherwise have the exclusive rights to use, possess, lease, alter, construct on, or otherwise manage the roof in its reasonable discretion. In performing Tenant's obligations pursuant to Article 9 and Section 30(p), Tenant shall take no action and Tenant will comply with all Landlord requirements in connection therewith that would invalidate any roof warranty.</w:t>
      </w:r>
    </w:p>
    <w:p>
      <w:pPr>
        <w:spacing w:after="0" w:line="193" w:lineRule="exact"/>
        <w:rPr>
          <w:rFonts w:ascii="Arial" w:cs="Arial" w:eastAsia="Arial" w:hAnsi="Arial"/>
          <w:sz w:val="18"/>
          <w:szCs w:val="18"/>
          <w:color w:val="auto"/>
        </w:rPr>
      </w:pPr>
    </w:p>
    <w:p>
      <w:pPr>
        <w:jc w:val="both"/>
        <w:ind w:firstLine="656"/>
        <w:spacing w:after="0" w:line="25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Maintenance of Common Area</w:t>
      </w:r>
      <w:r>
        <w:rPr>
          <w:rFonts w:ascii="Arial" w:cs="Arial" w:eastAsia="Arial" w:hAnsi="Arial"/>
          <w:sz w:val="18"/>
          <w:szCs w:val="18"/>
          <w:color w:val="auto"/>
        </w:rPr>
        <w:t xml:space="preserve">. Subject to Tenant's reimbursement obligations set forth in this Article 3, Landlord shall be responsible for the operation, management and maintenance of the Common Area, the manner of maintenance and the expenditures therefore to be generally in keeping with similar properties within the same geographical area as the Project. Without limiting the generality of the immediately preceding sentence, Tenant acknowledges that </w:t>
      </w:r>
      <w:r>
        <w:rPr>
          <w:rFonts w:ascii="Arial" w:cs="Arial" w:eastAsia="Arial" w:hAnsi="Arial"/>
          <w:sz w:val="18"/>
          <w:szCs w:val="18"/>
          <w:b w:val="1"/>
          <w:bCs w:val="1"/>
          <w:color w:val="auto"/>
        </w:rPr>
        <w:t>LANDLORD MAKES NO REPRESENTATION, COVENANT OR WARRANTY REGARDING WHETHER OR NOT</w:t>
      </w:r>
      <w:r>
        <w:rPr>
          <w:rFonts w:ascii="Arial" w:cs="Arial" w:eastAsia="Arial" w:hAnsi="Arial"/>
          <w:sz w:val="18"/>
          <w:szCs w:val="18"/>
          <w:color w:val="auto"/>
        </w:rPr>
        <w:t xml:space="preserve"> </w:t>
      </w:r>
      <w:r>
        <w:rPr>
          <w:rFonts w:ascii="Arial" w:cs="Arial" w:eastAsia="Arial" w:hAnsi="Arial"/>
          <w:sz w:val="18"/>
          <w:szCs w:val="18"/>
          <w:b w:val="1"/>
          <w:bCs w:val="1"/>
          <w:color w:val="auto"/>
        </w:rPr>
        <w:t>LANDLORD WILL PROVIDE SECURITY SERVICES, OR IF SO, WHAT FORM OF SECURITY SERVICES WILL BE PROVIDED</w:t>
      </w:r>
      <w:r>
        <w:rPr>
          <w:rFonts w:ascii="Arial" w:cs="Arial" w:eastAsia="Arial" w:hAnsi="Arial"/>
          <w:sz w:val="18"/>
          <w:szCs w:val="18"/>
          <w:color w:val="auto"/>
        </w:rPr>
        <w:t>.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herein, Tenant may maintain a security system for the Premises, at Tenant's sole cost, which may include, without limitation, security personnel at a security desk at the entrance to the Premises; provided that Landlord reserves the right to have Tenant, at Tenant's cost, upon the expiration or early termination of this Lease, to remove any security system which does not exist as of the date hereof and to repair any damage caused thereby.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u w:val="single" w:color="auto"/>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DEPOSIT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Tenant has deposited or concurrently herewith is depositing with Landlord the sum set forth in Article 1.E. of the Basic Lease Provisions as security for the full and faithful performance of every provision of this Lease to be performed by Tenant. If Tenant breaches any provision of this Lease, including but not limited to the payment of rent, Landlord may use all or any part of this Security Deposit for the payment of any rent or any other sums in default, or to compensate Landlord for any other loss or damage which Landlord may suffer by reason of Tenant's default. If any portion of said deposit is so used or applied, Tenant shall, within ten (10) days after written demand therefor, deposit funds with Landlord in an amount sufficient to restore the Security Deposit to its full amount. Tenant agrees that Landlord shall not be required to keep the Security Deposit in trust, segregate it or keep it separate from Landlord's general funds, but Landlord may commingle the Security Deposit with its general funds and Tenant shall not be entitled to interest on such Security Deposit. Subject to this Article 4, within thirty (30) days after Tenant (i) has surrendered the Premises to Landlord (which, Landlord and Tenant agree, includes turning over to Landlord's representative all keys to the Premises), and (ii) has provided Landlord with a forwarding address, Landlord shall return to Tenant the portion of the Security Deposit remaining after deducting all damages, charges and other amounts permitted by the terms of this Lease and applicable law. Tenant acknowledges and agrees that if Tenant has breached this Lease before or during Tenant's surrendering the Premises to Landlord, then Landlord shall be entitled to deduct from the Security Deposit being returned to Tenant (if any) all damages and losses that Landlord has suffered as a result of such breach of this Lease by Tenant under Article 20 below. Tenant hereby waives the provisions of Section 1950.7 of the California Civil Code and agrees that the provisions of this Article 4 shall govern the treatment of Tenant's Security Deposit in all respects for this Lease.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Landlord transfers its interest in the Premises during the Term of this Lease, Landlord may assign the Security Deposit to the transferee and upon such transfer and the transferee's written acknowledgement of responsibility for the Security Deposit (which acknowledgement will be deemed to have been effected if the transferee assumes the obligations of the Landlord under this Lease (i.e., even without a specific mention of the Security Deposit), Landlord shall thereafter have no further liability for the return of the Security Deposit.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HOLDING OVER</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Tenant is not permitted to hold over possession of the Premises after the expiration or earlier termination of the Term without the express prior written consent of Landlord, which consent Landlord may withhold in its sole and absolute discretion. Should Tenant, without Landlord's written consent, hold over after expiration or earlier termination of this Lease, Tenant shall become a tenant at sufferance upon each and all of the terms herein provided as may be applicable to such a tenancy and any such holding over shall not constitute an extension of this Lease. During such holding over, Tenant shall pay in advance, Basic Rental at a rate equal to one hundred twenty-five percent (125%) of the rate in effect for the last month of the Term of this Lease for the first ninety (90) days of such holdover, and one hundred fifty percent (150%) of the rate in effect for the last month of the Term thereafter. Any such payments shall be in addition to, and not in lieu of, all other payments required to be made by Tenant hereunder including but not limited to Tenant's Proportionate Share of Direct Costs. Nothing contained in this Article 5 shall be construed as consent by Landlord to any holding over of the Premises by Tenant, and Landlord expressly reserves the right to require Tenant to surrender possession of the Premises to Landlord as provided in this Lease upon the expiration or earlier termination of the Term. In no event shall Tenant be responsible for any consequential damages incurred by Landlord due to a holdover by Tenant.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u w:val="single" w:color="auto"/>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TAXES</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Tenant shall pay, prior to delinquency, all taxes assessed against or levied upon trade fixtures, furnishings, equipment and all other personal property of Tenant located in the Premises. Tenant shall assume and pay to Landlord at the time Basic Rental next becomes due (or if assessed after the expiration of the Term, then within ten (10) days), any excise, sales, use, rent, occupancy, garage, parking, gross receipts or other taxes (other than net income taxes) which may be assessed against or levied upon Landlord on account of the letting of the Premises or the payment of Basic Rental or any other sums due or payable hereunder, and which Landlord may be required to pay or collect under any law now in effect or hereafter enacted. In addition to Tenant's obligation pursuant to the immediately preceding sentence, Tenant shall pay directly to the party or entity entitled thereto all business license fees, gross receipts taxes and similar taxes and impositions which may from time to time be assessed against or levied upon Tenant, as and when the same become due and before delinquency. Notwithstanding anything to the contrary contained herein, any sums payable by Tenant under this Article 6 shall not be included in the computation of "Tax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USE/COMPLIANCE WITH LAWS</w:t>
      </w:r>
    </w:p>
    <w:p>
      <w:pPr>
        <w:spacing w:after="0" w:line="211" w:lineRule="exact"/>
        <w:rPr>
          <w:sz w:val="20"/>
          <w:szCs w:val="20"/>
          <w:color w:val="auto"/>
        </w:rPr>
      </w:pPr>
    </w:p>
    <w:p>
      <w:pPr>
        <w:ind w:firstLine="656"/>
        <w:spacing w:after="0" w:line="308" w:lineRule="auto"/>
        <w:tabs>
          <w:tab w:leader="none" w:pos="111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Permitted Use</w:t>
      </w:r>
      <w:r>
        <w:rPr>
          <w:rFonts w:ascii="Arial" w:cs="Arial" w:eastAsia="Arial" w:hAnsi="Arial"/>
          <w:sz w:val="17"/>
          <w:szCs w:val="17"/>
          <w:color w:val="auto"/>
        </w:rPr>
        <w:t>. Tenant shall use and occupy the Premises only for the use set forth in Article 1.F. of the Basic Lease Provisions and shall not use or occupy the Premises or permit the same to be used or occupied for any other purpose without the prior written consent of Landlord.</w:t>
      </w:r>
    </w:p>
    <w:p>
      <w:pPr>
        <w:spacing w:after="0" w:line="146" w:lineRule="exact"/>
        <w:rPr>
          <w:rFonts w:ascii="Arial" w:cs="Arial" w:eastAsia="Arial" w:hAnsi="Arial"/>
          <w:sz w:val="17"/>
          <w:szCs w:val="17"/>
          <w:color w:val="auto"/>
        </w:rPr>
      </w:pPr>
    </w:p>
    <w:p>
      <w:pPr>
        <w:jc w:val="both"/>
        <w:ind w:firstLine="656"/>
        <w:spacing w:after="0" w:line="272" w:lineRule="auto"/>
        <w:tabs>
          <w:tab w:leader="none" w:pos="124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Tenant shall, at its sole cost and expense, promptly comply with all laws, statutes, ordinances, governmental regulations or requirements (collectively, "</w:t>
      </w:r>
      <w:r>
        <w:rPr>
          <w:rFonts w:ascii="Arial" w:cs="Arial" w:eastAsia="Arial" w:hAnsi="Arial"/>
          <w:sz w:val="17"/>
          <w:szCs w:val="17"/>
          <w:b w:val="1"/>
          <w:bCs w:val="1"/>
          <w:color w:val="auto"/>
        </w:rPr>
        <w:t>Laws</w:t>
      </w:r>
      <w:r>
        <w:rPr>
          <w:rFonts w:ascii="Arial" w:cs="Arial" w:eastAsia="Arial" w:hAnsi="Arial"/>
          <w:sz w:val="17"/>
          <w:szCs w:val="17"/>
          <w:color w:val="auto"/>
        </w:rPr>
        <w:t>") now in force or which may hereafter be in force relating to or affecting (i) the condition, use or occupancy of the Premises (excluding structural changes not related to Tenant's particular use of the Premises), and (ii) Alterations installed or constructed in the Premises by or on behalf of Tenant. Landlord shall be responsible for compliance with all Laws with respect to the Common Areas of the Project and the Real Property and all other portions of the Project other than those which are the responsibility of Tenant pursuant to the immediately preceding sentence. In addition to the foregoing, Tenant shall procure at its sole expense any permits and licenses required for the transaction of business in the Premises. At Landlord's request, Tenant shall deliver to Landlord copies of all necessary permits and licenses.</w:t>
      </w:r>
    </w:p>
    <w:p>
      <w:pPr>
        <w:spacing w:after="0" w:line="177" w:lineRule="exact"/>
        <w:rPr>
          <w:rFonts w:ascii="Arial" w:cs="Arial" w:eastAsia="Arial" w:hAnsi="Arial"/>
          <w:sz w:val="17"/>
          <w:szCs w:val="17"/>
          <w:color w:val="auto"/>
        </w:rPr>
      </w:pPr>
    </w:p>
    <w:p>
      <w:pPr>
        <w:jc w:val="both"/>
        <w:ind w:firstLine="656"/>
        <w:spacing w:after="0" w:line="289"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Certain Prohibited Uses</w:t>
      </w:r>
      <w:r>
        <w:rPr>
          <w:rFonts w:ascii="Arial" w:cs="Arial" w:eastAsia="Arial" w:hAnsi="Arial"/>
          <w:sz w:val="16"/>
          <w:szCs w:val="16"/>
          <w:color w:val="auto"/>
        </w:rPr>
        <w:t>. Tenant shall not conduct or give notice of any fire, auction (public or private), "going-out-of-business," "lost-our-lease," "moving," bankruptcy or similar sale at or on the Premises. Tenant shall not permit any objectionable noises, odors, vibrations, dust, gas, exhaust or smoke to emanate from the Premises (or from any facility or equipment servicing the Premises); nor except as provided in Section 30(p) below (but subject to the provisions set forth therein) place or permit any radio or television antenna, satellite dish, loudspeaker or amplifier on the roof or exterior walls or outside the Premises or where the same can be seen or heard from outside the Premises; nor place any antenna, equipment, awning or other projection on the exterior of the Premises or any building; nor take any other action which would constitute a nuisance or would unreasonably interfere with, disturb or endanger Landlord or other tenants of the Project, or unreasonably interfere with their use of their respective premises; nor permit any unlawful practice to be carried on or committed on the Premises; nor do or permit anything which would void Tenant's or Landlord's insurance. If Tenant causes any increase in the cost of insurance on the Premises or the Project, then Tenant shall pay to Landlord the amount of such increase as Additional Rent.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jc w:val="both"/>
        <w:ind w:firstLine="656"/>
        <w:spacing w:after="0" w:line="291" w:lineRule="auto"/>
        <w:tabs>
          <w:tab w:leader="none" w:pos="1083"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Care of Premises by Tenant</w:t>
      </w:r>
      <w:r>
        <w:rPr>
          <w:rFonts w:ascii="Arial" w:cs="Arial" w:eastAsia="Arial" w:hAnsi="Arial"/>
          <w:sz w:val="16"/>
          <w:szCs w:val="16"/>
          <w:color w:val="auto"/>
        </w:rPr>
        <w:t>. Tenant shall take good care of the Premises and shall operate in the Premises in a safe, careful and proper manner; shall not commit or suffer waste in or about the Premises, nor to any facility or equipment for which Tenant is responsible; and shall keep the Premises free of insects, rodents, vermin and other pests. As indicated in Section 3(f) above, Tenant hereby acknowledges that security is Tenant's responsibility and that Tenant is not relying on any representation or warranty by Landlord in this regard. Tenant shall not overload the floors in the Premises, nor deface or injure the Premises. Tenant shall store all trash and garbage within the Premises, or in a trash dumpster or similar container and Landlord shall arrange for trash pick-up for the Project as part of Operating Costs. Outside storage, including, without limitation, storage of containers, trailers, trucks and other vehicles, is prohibited without Landlord's prior written consent, which may be withheld in Landlord's sole and absolute discretion.</w:t>
      </w:r>
    </w:p>
    <w:p>
      <w:pPr>
        <w:spacing w:after="0" w:line="167" w:lineRule="exact"/>
        <w:rPr>
          <w:rFonts w:ascii="Arial" w:cs="Arial" w:eastAsia="Arial" w:hAnsi="Arial"/>
          <w:sz w:val="16"/>
          <w:szCs w:val="16"/>
          <w:color w:val="auto"/>
        </w:rPr>
      </w:pPr>
    </w:p>
    <w:p>
      <w:pPr>
        <w:jc w:val="both"/>
        <w:ind w:firstLine="656"/>
        <w:spacing w:after="0" w:line="297" w:lineRule="auto"/>
        <w:tabs>
          <w:tab w:leader="none" w:pos="1127"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Tenant Financial Statements</w:t>
      </w:r>
      <w:r>
        <w:rPr>
          <w:rFonts w:ascii="Arial" w:cs="Arial" w:eastAsia="Arial" w:hAnsi="Arial"/>
          <w:sz w:val="16"/>
          <w:szCs w:val="16"/>
          <w:color w:val="auto"/>
        </w:rPr>
        <w:t>. In connection with a proposed sale or refinance of the Project and not more than one (1) time in any calendar year, Tenant shall, within ten (10) business days after a request from Landlord, deliver to Landlord such financial statements as are reasonably requested by Landlord that have been previously prepared by Tenant to verify the net worth of Tenant. However, the immediately preceding sentence shall not apply if, at such time, Tenant is publicly traded. Tenant further agrees to cooperate with any reasonable request by Landlord for Tenant's written permission or other cooperation in connection with Landlord's obtaining, at Landlord's sole cost, a credit report or similar information regarding Tenant from third-party sources.</w:t>
      </w:r>
    </w:p>
    <w:p>
      <w:pPr>
        <w:spacing w:after="0" w:line="158" w:lineRule="exact"/>
        <w:rPr>
          <w:rFonts w:ascii="Arial" w:cs="Arial" w:eastAsia="Arial" w:hAnsi="Arial"/>
          <w:sz w:val="16"/>
          <w:szCs w:val="16"/>
          <w:color w:val="auto"/>
        </w:rPr>
      </w:pPr>
    </w:p>
    <w:p>
      <w:pPr>
        <w:jc w:val="both"/>
        <w:ind w:firstLine="656"/>
        <w:spacing w:after="0" w:line="283" w:lineRule="auto"/>
        <w:tabs>
          <w:tab w:leader="none" w:pos="1067"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Confidentiality; Marketing Materials</w:t>
      </w:r>
      <w:r>
        <w:rPr>
          <w:rFonts w:ascii="Arial" w:cs="Arial" w:eastAsia="Arial" w:hAnsi="Arial"/>
          <w:sz w:val="16"/>
          <w:szCs w:val="16"/>
          <w:color w:val="auto"/>
        </w:rPr>
        <w:t>. Landlord shall use good faith efforts to keep confidential all non-public financial statements supplied by Tenant; however, if Landlord notifies such parties of the requirement to keep such information confidential, Landlord has the right to reveal such information to mortgagees, prospective purchasers and prospective mortgagees (and their respective agents) and to Landlord's managers, officers, personnel, affiliates, partners, directors, advisors, accountants, attorneys, members, and consultants, and as may be required by Law, including, without limitation, securities regulations, or by legal process; and, provided further, that Landlord and Landlord's affiliates have the right to include, disclose, or otherwise publicize Tenant's name as one of Landlord's or Landlord's affiliates' tenants in any of Landlord's marketing materials, press releases, presentations, or other disclosures. The following materials and information are not considered "non-public financial statements" for purposes of this Lease and will not be subject to the restrictions set for in the preceding sentence: (i) information which is or becomes generally available to the public other than as a result of a wrongful disclosure by Landlord; (ii) information which reasonably can be demonstrated to be known to Landlord prior to its disclosure by Tenant hereunder;</w:t>
      </w:r>
    </w:p>
    <w:p>
      <w:pPr>
        <w:spacing w:after="0" w:line="6" w:lineRule="exact"/>
        <w:rPr>
          <w:rFonts w:ascii="Arial" w:cs="Arial" w:eastAsia="Arial" w:hAnsi="Arial"/>
          <w:sz w:val="16"/>
          <w:szCs w:val="16"/>
          <w:color w:val="auto"/>
        </w:rPr>
      </w:pPr>
    </w:p>
    <w:p>
      <w:pPr>
        <w:ind w:right="20" w:firstLine="8"/>
        <w:spacing w:after="0" w:line="261" w:lineRule="auto"/>
        <w:tabs>
          <w:tab w:leader="none" w:pos="3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which becomes available to Landlord on a non-confidential basis from sources other than Tenant; and (iv) information which Landlord may be compelled to disclose by court order or applicable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 OF PREMISES</w:t>
      </w:r>
    </w:p>
    <w:p>
      <w:pPr>
        <w:spacing w:after="0" w:line="211" w:lineRule="exact"/>
        <w:rPr>
          <w:sz w:val="20"/>
          <w:szCs w:val="20"/>
          <w:color w:val="auto"/>
        </w:rPr>
      </w:pPr>
    </w:p>
    <w:p>
      <w:pPr>
        <w:jc w:val="both"/>
        <w:ind w:firstLine="656"/>
        <w:spacing w:after="0" w:line="255" w:lineRule="auto"/>
        <w:tabs>
          <w:tab w:leader="none" w:pos="108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Existing Condition</w:t>
      </w:r>
      <w:r>
        <w:rPr>
          <w:rFonts w:ascii="Arial" w:cs="Arial" w:eastAsia="Arial" w:hAnsi="Arial"/>
          <w:sz w:val="18"/>
          <w:szCs w:val="18"/>
          <w:color w:val="auto"/>
        </w:rPr>
        <w:t>. Landlord and Tenant acknowledge that Tenant has, prior to the Commencement Date, owned the Project and occupied the Premises. Tenant hereby agrees that except as provided in this Lease (including, without limitation, the following provisions of this Article 8 and Section 11(a), below), the Premises shall be taken "as is", "with all faults", and "without any representations or warranties", and Landlord makes no warranty of any kind, express or implied, with respect to the Premises and the Real Property (without limitation, Landlord makes no warranty as to the habitability, fitness or suitability of the Premises for a particular purpose, nor as to compliance with any laws, rules or regulations, nor as to the absence of any toxic or otherwise Hazardous Materials).</w:t>
      </w:r>
    </w:p>
    <w:p>
      <w:pPr>
        <w:spacing w:after="0" w:line="193" w:lineRule="exact"/>
        <w:rPr>
          <w:rFonts w:ascii="Arial" w:cs="Arial" w:eastAsia="Arial" w:hAnsi="Arial"/>
          <w:sz w:val="18"/>
          <w:szCs w:val="18"/>
          <w:color w:val="auto"/>
        </w:rPr>
      </w:pPr>
    </w:p>
    <w:p>
      <w:pPr>
        <w:jc w:val="both"/>
        <w:ind w:firstLine="656"/>
        <w:spacing w:after="0" w:line="284" w:lineRule="auto"/>
        <w:tabs>
          <w:tab w:leader="none" w:pos="123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Landlord's Work</w:t>
      </w:r>
      <w:r>
        <w:rPr>
          <w:rFonts w:ascii="Arial" w:cs="Arial" w:eastAsia="Arial" w:hAnsi="Arial"/>
          <w:sz w:val="16"/>
          <w:szCs w:val="16"/>
          <w:color w:val="auto"/>
        </w:rPr>
        <w:t>. Landlord shall, at Landlord's sole cost, cause the following work to be performed: (a) within one (1) year after the Commencement Date, install RainShield RS-2P-3W roofing system (or its equivalent) with twenty (20) year guarantee including installation of new curb mount, steel frame, single dome skylights and smoke vents in accordance with the June 8, 2015 proposal from Highland Commercial Roofing (or an equivalent or better proposal from a different vendor, as mutually agreed by Landlord and Tenant), (b) install a demising wall(s) separating the Premises from the remainder of the Project utilizing specifications and materials reasonably determined by Landlord (the "</w:t>
      </w:r>
      <w:r>
        <w:rPr>
          <w:rFonts w:ascii="Arial" w:cs="Arial" w:eastAsia="Arial" w:hAnsi="Arial"/>
          <w:sz w:val="16"/>
          <w:szCs w:val="16"/>
          <w:b w:val="1"/>
          <w:bCs w:val="1"/>
          <w:color w:val="auto"/>
        </w:rPr>
        <w:t>Demising Work</w:t>
      </w:r>
      <w:r>
        <w:rPr>
          <w:rFonts w:ascii="Arial" w:cs="Arial" w:eastAsia="Arial" w:hAnsi="Arial"/>
          <w:sz w:val="16"/>
          <w:szCs w:val="16"/>
          <w:color w:val="auto"/>
        </w:rPr>
        <w:t>"), which Demising Work shall include the separation of the electric service as described in Section 11(a) below. In order to separate the electric service, Landlord and Tenant contemplate that the existing 120/208 gear currently serving the Project will be upgraded to 277/480 and then be dedicated to serve the space which is the subject of the Short Term Lease (defined below). The 120/208 load currently connected to the existing 120/208 gear will be disconnected and re-connected (through a new step-down transformer) to the existing 277/480 gear currently serving the Project. A 1.5MW generator will be supplied to maintain the Tenant's 120/208 service during the changeover if change over cannot be scheduled during a period which would not unreasonably interfere with Tenant's business. The existing 277/480 gear will then be dedicated to serve the Premises. The Demising Work shall be completed prior to the date which is the earlier of the date that is one (1) year after Tenant has surrendered the Short Term Lease space to Landlord in the condition required in the Short Term Lease, or the date any new tenant commences occupancy of space in the remainder of the Project, (c) repaint the exterior of the Project utilizing specifications and materials reasonably determined by Landlord and reasonably approved by Tenant, with such work to be completed prior to the date which is two (2) years after the Commencement Date, (d) slurry coat, repair and reseal the parking lot of the Project pursuant to a parking, striping and truck loading plan reasonably determined by Landlord, with such work to be completed on or before the date which is two (2) years after the Commencement Date, and (e) upgrade the landscaping at the Project pursuant to a plan reasonably determined by Landlord within one (1) year after the Commencement Date. Tenant agrees that Landlord shall be provided with access to the Premises to complete such Demising Work in accordance with, and subject to, Article 12 below, and shall reasonably cooperate with Landlord so as to allow Landlord to timely complete all of the foregoing work. Except as otherwise expressly provided in this Lease, Landlord agrees that any costs to relocate electrical conduits required by the Demising Work shall be borne by Landlord and any shutdown of the electrical system to the Premises required by the Demising Work shall be performed pursuant to a schedule mutually acceptable to Landlord and Tenant.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ind w:firstLine="656"/>
        <w:spacing w:after="0" w:line="277" w:lineRule="auto"/>
        <w:tabs>
          <w:tab w:leader="none" w:pos="108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The existing leasehold improvements in the Premises as of the date of this Lease may be collectively referred to herein as the "</w:t>
      </w: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REPAIRS AND ALTERATIONS</w:t>
      </w:r>
    </w:p>
    <w:p>
      <w:pPr>
        <w:spacing w:after="0" w:line="211" w:lineRule="exact"/>
        <w:rPr>
          <w:sz w:val="20"/>
          <w:szCs w:val="20"/>
          <w:color w:val="auto"/>
        </w:rPr>
      </w:pPr>
    </w:p>
    <w:p>
      <w:pPr>
        <w:jc w:val="both"/>
        <w:ind w:firstLine="656"/>
        <w:spacing w:after="0" w:line="257" w:lineRule="auto"/>
        <w:tabs>
          <w:tab w:leader="none" w:pos="119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Landlord's Obligations</w:t>
      </w:r>
      <w:r>
        <w:rPr>
          <w:rFonts w:ascii="Arial" w:cs="Arial" w:eastAsia="Arial" w:hAnsi="Arial"/>
          <w:sz w:val="16"/>
          <w:szCs w:val="16"/>
          <w:color w:val="auto"/>
        </w:rPr>
        <w:t>. Landlord shall, as part of Operating Costs to the extent permitted under Article 3 above, maintain the structural portions of the Project in good condition and repair, including the foundation, floor/ceiling slabs, roof, roof membrane, curtain walls, exterior glass, columns, beams, shafts, stairs, stairwells, elevator cabs and common areas, and shall also maintain and repair the basic mechanical, electrical, life safety, plumbing, sprinkler systems and heating, ventilating and air-conditioning systems serving the Project (the "</w:t>
      </w:r>
      <w:r>
        <w:rPr>
          <w:rFonts w:ascii="Arial" w:cs="Arial" w:eastAsia="Arial" w:hAnsi="Arial"/>
          <w:sz w:val="16"/>
          <w:szCs w:val="16"/>
          <w:b w:val="1"/>
          <w:bCs w:val="1"/>
          <w:color w:val="auto"/>
        </w:rPr>
        <w:t>Project Systems</w:t>
      </w:r>
      <w:r>
        <w:rPr>
          <w:rFonts w:ascii="Arial" w:cs="Arial" w:eastAsia="Arial" w:hAnsi="Arial"/>
          <w:sz w:val="16"/>
          <w:szCs w:val="16"/>
          <w:color w:val="auto"/>
        </w:rPr>
        <w:t>"), although Tenant shall be responsible, at Tenant's sole cost, for repair and maintenance of any such systems that exclusively service the Premises. Should any of the Project Systems (including, without limitation, any such systems that exclusively serve the Premises such as the heating ventilation and air-conditioning system that exclusively services the Premises ("</w:t>
      </w:r>
      <w:r>
        <w:rPr>
          <w:rFonts w:ascii="Arial" w:cs="Arial" w:eastAsia="Arial" w:hAnsi="Arial"/>
          <w:sz w:val="16"/>
          <w:szCs w:val="16"/>
          <w:b w:val="1"/>
          <w:bCs w:val="1"/>
          <w:color w:val="auto"/>
        </w:rPr>
        <w:t>HVAC System</w:t>
      </w:r>
      <w:r>
        <w:rPr>
          <w:rFonts w:ascii="Arial" w:cs="Arial" w:eastAsia="Arial" w:hAnsi="Arial"/>
          <w:sz w:val="16"/>
          <w:szCs w:val="16"/>
          <w:color w:val="auto"/>
        </w:rPr>
        <w:t>")) require replacement, Landlord shall be responsible for such replacement, which replacement cost shall be passed through to Tenant as Additional Rent so long as such amount is amortized over the useful life of the replaced system in accordance with the following procedure ("</w:t>
      </w:r>
      <w:r>
        <w:rPr>
          <w:rFonts w:ascii="Arial" w:cs="Arial" w:eastAsia="Arial" w:hAnsi="Arial"/>
          <w:sz w:val="16"/>
          <w:szCs w:val="16"/>
          <w:b w:val="1"/>
          <w:bCs w:val="1"/>
          <w:color w:val="auto"/>
        </w:rPr>
        <w:t>Agreed Amortization Procedure</w:t>
      </w:r>
      <w:r>
        <w:rPr>
          <w:rFonts w:ascii="Arial" w:cs="Arial" w:eastAsia="Arial" w:hAnsi="Arial"/>
          <w:sz w:val="16"/>
          <w:szCs w:val="16"/>
          <w:color w:val="auto"/>
        </w:rPr>
        <w:t>"): a monthly straight-line basis commencing as of the date such replacement is placed into service, over the useful life of the replaced system (which useful life is deemed to be ten (10) years for replacement of any HVAC System units). Notwithstanding the foregoing, in the event an R-22 HVAC System unit that exclusively services the Premises fails and cannot be repaired at a cost less than forty percent (40%) of the replacement cost, the unit shall be replaced and the "Initial Aggregate Cost" (defined below) of the replacement of such unit(s) shall be paid for by Tenant as Additional Rent and the remainder of such replacement costs shall be passed through to Tenant as Additional Rent pursuant to the Agreed Amortization Procedure, but with such amortization commencing as of the first day of the next calendar year. The term "</w:t>
      </w:r>
      <w:r>
        <w:rPr>
          <w:rFonts w:ascii="Arial" w:cs="Arial" w:eastAsia="Arial" w:hAnsi="Arial"/>
          <w:sz w:val="16"/>
          <w:szCs w:val="16"/>
          <w:b w:val="1"/>
          <w:bCs w:val="1"/>
          <w:color w:val="auto"/>
        </w:rPr>
        <w:t>Initial Aggregate Cost</w:t>
      </w:r>
      <w:r>
        <w:rPr>
          <w:rFonts w:ascii="Arial" w:cs="Arial" w:eastAsia="Arial" w:hAnsi="Arial"/>
          <w:sz w:val="16"/>
          <w:szCs w:val="16"/>
          <w:color w:val="auto"/>
        </w:rPr>
        <w:t>" shall mean Fifty Thousand Dollars ($50,000.00) in the aggregate for the period which constitutes the first three (3) years of the Term, Forty Thousand Dollars ($40,000.00) in the aggregate for the fourth (4th) year of the Term, Thirty Thousand Dollars ($30,000.00) in the aggregate for the fifth (5th) year of the Term, Twenty Thousand Dollars ($20,000.00) in the aggregate for the sixth (6</w:t>
      </w:r>
      <w:r>
        <w:rPr>
          <w:rFonts w:ascii="Arial" w:cs="Arial" w:eastAsia="Arial" w:hAnsi="Arial"/>
          <w:sz w:val="26"/>
          <w:szCs w:val="26"/>
          <w:color w:val="auto"/>
          <w:vertAlign w:val="superscript"/>
        </w:rPr>
        <w:t>th</w:t>
      </w:r>
      <w:r>
        <w:rPr>
          <w:rFonts w:ascii="Arial" w:cs="Arial" w:eastAsia="Arial" w:hAnsi="Arial"/>
          <w:sz w:val="16"/>
          <w:szCs w:val="16"/>
          <w:color w:val="auto"/>
        </w:rPr>
        <w:t>) year of the Term, Ten Thousand Dollars ($10,000.00) in the aggregate for the seventh (7</w:t>
      </w:r>
      <w:r>
        <w:rPr>
          <w:rFonts w:ascii="Arial" w:cs="Arial" w:eastAsia="Arial" w:hAnsi="Arial"/>
          <w:sz w:val="26"/>
          <w:szCs w:val="26"/>
          <w:color w:val="auto"/>
          <w:vertAlign w:val="superscript"/>
        </w:rPr>
        <w:t>th</w:t>
      </w:r>
      <w:r>
        <w:rPr>
          <w:rFonts w:ascii="Arial" w:cs="Arial" w:eastAsia="Arial" w:hAnsi="Arial"/>
          <w:sz w:val="16"/>
          <w:szCs w:val="16"/>
          <w:color w:val="auto"/>
        </w:rPr>
        <w:t>) year of the Term, and Zero Dollars ($0) thereafter. Such amortization payments for any of the first seven (7) years shall commence only after Tenant's payment of the Initial Aggregate Cost for such year. By way of example only, and not as limitation upon the foregoing, if in the fifth (5</w:t>
      </w:r>
      <w:r>
        <w:rPr>
          <w:rFonts w:ascii="Arial" w:cs="Arial" w:eastAsia="Arial" w:hAnsi="Arial"/>
          <w:sz w:val="26"/>
          <w:szCs w:val="26"/>
          <w:color w:val="auto"/>
          <w:vertAlign w:val="superscript"/>
        </w:rPr>
        <w:t>th</w:t>
      </w:r>
      <w:r>
        <w:rPr>
          <w:rFonts w:ascii="Arial" w:cs="Arial" w:eastAsia="Arial" w:hAnsi="Arial"/>
          <w:sz w:val="16"/>
          <w:szCs w:val="16"/>
          <w:color w:val="auto"/>
        </w:rPr>
        <w:t>) year of the Term, five (5) R-22 HVAC System units must be replaced and if the total aggregate cost of such replacements is $40,000.00 for such year, then the Initial Aggregate Amount for such replacements for such year would be $30,000.00, which amount will be payable by Tenant as Additional Rent within thirty (30) days after Tenant's receipt of paid invoices from Landlord and the remaining $10,000.00 of such replacement costs shall be amortized pursuant to the Agreed Amortization Procedure, with such amortization to begin on the first day of the sixth (6</w:t>
      </w:r>
      <w:r>
        <w:rPr>
          <w:rFonts w:ascii="Arial" w:cs="Arial" w:eastAsia="Arial" w:hAnsi="Arial"/>
          <w:sz w:val="26"/>
          <w:szCs w:val="26"/>
          <w:color w:val="auto"/>
          <w:vertAlign w:val="superscript"/>
        </w:rPr>
        <w:t>th</w:t>
      </w:r>
      <w:r>
        <w:rPr>
          <w:rFonts w:ascii="Arial" w:cs="Arial" w:eastAsia="Arial" w:hAnsi="Arial"/>
          <w:sz w:val="16"/>
          <w:szCs w:val="16"/>
          <w:color w:val="auto"/>
        </w:rPr>
        <w:t>) year of the Term. In no event shall Tenant be responsible for the cost of repair, maintenance or replacement of any heating, ventilation or air-conditioning system that does not service the Premises. Except as expressly provided in Section 9(b) below, Tenant waives the right to make repairs at Landlord's expense under any applicable Laws.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ind w:left="1100" w:hanging="444"/>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Tenant's Right to Make Repairs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8" w:lineRule="auto"/>
        <w:tabs>
          <w:tab w:leader="none" w:pos="1777" w:val="left"/>
        </w:tabs>
        <w:numPr>
          <w:ilvl w:val="1"/>
          <w:numId w:val="38"/>
        </w:numPr>
        <w:rPr>
          <w:rFonts w:ascii="Arial" w:cs="Arial" w:eastAsia="Arial" w:hAnsi="Arial"/>
          <w:sz w:val="17"/>
          <w:szCs w:val="17"/>
          <w:color w:val="auto"/>
        </w:rPr>
      </w:pPr>
      <w:r>
        <w:rPr>
          <w:rFonts w:ascii="Arial" w:cs="Arial" w:eastAsia="Arial" w:hAnsi="Arial"/>
          <w:sz w:val="17"/>
          <w:szCs w:val="17"/>
          <w:color w:val="auto"/>
        </w:rPr>
        <w:t>Notwithstanding any provision set forth in this Lease to the contrary, if Tenant provides written notice to Landlord of an event or circumstance which requires the action of Landlord with respect to repair and/or maintenance under Section 9(a) above (hereinafter, a "</w:t>
      </w:r>
      <w:r>
        <w:rPr>
          <w:rFonts w:ascii="Arial" w:cs="Arial" w:eastAsia="Arial" w:hAnsi="Arial"/>
          <w:sz w:val="17"/>
          <w:szCs w:val="17"/>
          <w:b w:val="1"/>
          <w:bCs w:val="1"/>
          <w:color w:val="auto"/>
        </w:rPr>
        <w:t>Required Action</w:t>
      </w:r>
      <w:r>
        <w:rPr>
          <w:rFonts w:ascii="Arial" w:cs="Arial" w:eastAsia="Arial" w:hAnsi="Arial"/>
          <w:sz w:val="17"/>
          <w:szCs w:val="17"/>
          <w:color w:val="auto"/>
        </w:rPr>
        <w:t>"), and Landlord fails to commence such action within a reasonable period of time, given the circumstances, after the receipt of such notice, but in no event later than thirty (30) days after Landlord's receipt of such notice (or sooner in case of emergency, as set forth below in subsection (iii)), then if such repair is in the interior, non-structural portion of the Premises, or if Landlord's failure with respect to such repair and maintenance obligations otherwise materially and adversely affects Tenant's normal business operations, Tenant may proceed to take the required action following the delivery of an additional ten (10) business days notice to Landlord specifying in bold-faced capital letters that: "</w:t>
      </w:r>
      <w:r>
        <w:rPr>
          <w:rFonts w:ascii="Arial" w:cs="Arial" w:eastAsia="Arial" w:hAnsi="Arial"/>
          <w:sz w:val="17"/>
          <w:szCs w:val="17"/>
          <w:b w:val="1"/>
          <w:bCs w:val="1"/>
          <w:color w:val="auto"/>
        </w:rPr>
        <w:t>LANDLORD'S FAILURE TO PERFORM AN OBLIGATION WITHIN (10)</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 DAYS OF RECEIVING THIS NOTICE MAY RESULT IN TENANT EXERCISING SELF-HELP</w:t>
      </w:r>
      <w:r>
        <w:rPr>
          <w:rFonts w:ascii="Arial" w:cs="Arial" w:eastAsia="Arial" w:hAnsi="Arial"/>
          <w:sz w:val="17"/>
          <w:szCs w:val="17"/>
          <w:color w:val="auto"/>
        </w:rPr>
        <w:t>", and if such action was required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the Lease to be taken by Landlord and was not taken by Landlord within such additional ten (10) business day period, then Tenant shall be permitted to perform such repair at Landlord's cost. In the event Tenant takes such action, and such work will affect the Project Systems or the structural integrity of the Project, Tenant shall use only those contractors used by Landlord in the Project for work on such Project Systems or structure unless such contractors are unwilling or unable to perform, or timely perform, such work, in which event Tenant may utilize the services of any other qualified contractor which normally and regularly performs similar work in comparable buildings.</w:t>
      </w:r>
    </w:p>
    <w:p>
      <w:pPr>
        <w:spacing w:after="0" w:line="187" w:lineRule="exact"/>
        <w:rPr>
          <w:rFonts w:ascii="Arial" w:cs="Arial" w:eastAsia="Arial" w:hAnsi="Arial"/>
          <w:sz w:val="17"/>
          <w:szCs w:val="17"/>
          <w:color w:val="auto"/>
        </w:rPr>
      </w:pPr>
    </w:p>
    <w:p>
      <w:pPr>
        <w:jc w:val="both"/>
        <w:ind w:firstLine="1305"/>
        <w:spacing w:after="0" w:line="285" w:lineRule="auto"/>
        <w:tabs>
          <w:tab w:leader="none" w:pos="1801"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Landlord fails to pay to Tenant the actual documented cost of such cure within twenty (20) days following Landlord's receipt of Tenant's demand therefor, including a statement setting forth the amount due, and, if available, executed mechanics' lien releases from the party or parties performing such repairs complying with the appropriate provisions of California Civil Code Sections 8136 and 8138, then Tenant may provide to Landlord a second written demand therefor ("</w:t>
      </w:r>
      <w:r>
        <w:rPr>
          <w:rFonts w:ascii="Arial" w:cs="Arial" w:eastAsia="Arial" w:hAnsi="Arial"/>
          <w:sz w:val="16"/>
          <w:szCs w:val="16"/>
          <w:b w:val="1"/>
          <w:bCs w:val="1"/>
          <w:color w:val="auto"/>
        </w:rPr>
        <w:t>Second Demand</w:t>
      </w:r>
      <w:r>
        <w:rPr>
          <w:rFonts w:ascii="Arial" w:cs="Arial" w:eastAsia="Arial" w:hAnsi="Arial"/>
          <w:sz w:val="16"/>
          <w:szCs w:val="16"/>
          <w:color w:val="auto"/>
        </w:rPr>
        <w:t>") which contains the following phrase on page 1 of the notice in all capital letters and boldface type (or it shall not be deemed validly delivered to Landlord) "</w:t>
      </w:r>
      <w:r>
        <w:rPr>
          <w:rFonts w:ascii="Arial" w:cs="Arial" w:eastAsia="Arial" w:hAnsi="Arial"/>
          <w:sz w:val="16"/>
          <w:szCs w:val="16"/>
          <w:b w:val="1"/>
          <w:bCs w:val="1"/>
          <w:color w:val="auto"/>
        </w:rPr>
        <w:t>YOUR FAILURE TO REIMBURSE TENANT AS REQUIRED HEREIN WITHIN TEN (10)</w:t>
      </w:r>
    </w:p>
    <w:p>
      <w:pPr>
        <w:spacing w:after="0" w:line="2"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b w:val="1"/>
          <w:bCs w:val="1"/>
          <w:color w:val="auto"/>
        </w:rPr>
        <w:t>DAYS SHALL ENTITLE THE UNDERSIGNED TO EXERCISE CERTAIN OFFSET RIGHTS AS SET FORTH IN THE LEASE WITHOUT FURTHER NOTICE</w:t>
      </w:r>
      <w:r>
        <w:rPr>
          <w:rFonts w:ascii="Arial" w:cs="Arial" w:eastAsia="Arial" w:hAnsi="Arial"/>
          <w:sz w:val="17"/>
          <w:szCs w:val="17"/>
          <w:color w:val="auto"/>
        </w:rPr>
        <w:t>." If Landlord fails to pay to Tenant the amount due to Tenant within ten (10) days following Landlord's receipt of the Second Demand,</w:t>
      </w:r>
      <w:r>
        <w:rPr>
          <w:rFonts w:ascii="Arial" w:cs="Arial" w:eastAsia="Arial" w:hAnsi="Arial"/>
          <w:sz w:val="17"/>
          <w:szCs w:val="17"/>
          <w:b w:val="1"/>
          <w:bCs w:val="1"/>
          <w:color w:val="auto"/>
        </w:rPr>
        <w:t xml:space="preserve"> </w:t>
      </w:r>
      <w:r>
        <w:rPr>
          <w:rFonts w:ascii="Arial" w:cs="Arial" w:eastAsia="Arial" w:hAnsi="Arial"/>
          <w:sz w:val="17"/>
          <w:szCs w:val="17"/>
          <w:color w:val="auto"/>
        </w:rPr>
        <w:t>then Tenant may offset from the next installments of rent and other charges coming due under this Lease the full amount owed by Landlord to Tenant together with interest at the Interest Rate from the date of payment until the date of offset, provided, however, that (i) the amount of offset during any month shall not exceed the greater of (A) ten percent (10%) of the total Basic Rent payable by Tenant to Landlord for such month, or (B) the amount necessary to fully amortize Tenant's cost of cure from the date of completion of such cure to the earlier to occur of (x) the date which is twenty four (24) months after such date of completion, or (y) the expiration date of the Term (without regard to any unexercised renewal options); and (ii) Landlord is not then contesting same (or having contested same, a judgment, decision or ruling in such action, mediation or arbitration has been rendered in favor of Tenant). Tenant shall obtain and deliver to Landlord waivers of liens from all contractors, subcontractors and materialmen providing work or materials with respect to any such repairs performed by or on behalf of Tenant.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both"/>
        <w:ind w:firstLine="1305"/>
        <w:spacing w:after="0" w:line="270" w:lineRule="auto"/>
        <w:tabs>
          <w:tab w:leader="none" w:pos="1856" w:val="left"/>
        </w:tabs>
        <w:numPr>
          <w:ilvl w:val="1"/>
          <w:numId w:val="39"/>
        </w:numPr>
        <w:rPr>
          <w:rFonts w:ascii="Arial" w:cs="Arial" w:eastAsia="Arial" w:hAnsi="Arial"/>
          <w:sz w:val="17"/>
          <w:szCs w:val="17"/>
          <w:color w:val="auto"/>
        </w:rPr>
      </w:pPr>
      <w:r>
        <w:rPr>
          <w:rFonts w:ascii="Arial" w:cs="Arial" w:eastAsia="Arial" w:hAnsi="Arial"/>
          <w:sz w:val="17"/>
          <w:szCs w:val="17"/>
          <w:color w:val="auto"/>
        </w:rPr>
        <w:t>Notwithstanding the foregoing, if there exists an emergency that is not addressed by Article 16 below such that the Premises or a material portion thereof are rendered untenantable or if Tenant is unable to conduct business from a material portion of the Premises as a result of such emergency and if Tenant gives Landlord written notice (the "</w:t>
      </w:r>
      <w:r>
        <w:rPr>
          <w:rFonts w:ascii="Arial" w:cs="Arial" w:eastAsia="Arial" w:hAnsi="Arial"/>
          <w:sz w:val="17"/>
          <w:szCs w:val="17"/>
          <w:b w:val="1"/>
          <w:bCs w:val="1"/>
          <w:color w:val="auto"/>
        </w:rPr>
        <w:t>Emergency Notice</w:t>
      </w:r>
      <w:r>
        <w:rPr>
          <w:rFonts w:ascii="Arial" w:cs="Arial" w:eastAsia="Arial" w:hAnsi="Arial"/>
          <w:sz w:val="17"/>
          <w:szCs w:val="17"/>
          <w:color w:val="auto"/>
        </w:rPr>
        <w:t>") of Tenant's intention to take action with respect thereto (the "</w:t>
      </w:r>
      <w:r>
        <w:rPr>
          <w:rFonts w:ascii="Arial" w:cs="Arial" w:eastAsia="Arial" w:hAnsi="Arial"/>
          <w:sz w:val="17"/>
          <w:szCs w:val="17"/>
          <w:b w:val="1"/>
          <w:bCs w:val="1"/>
          <w:color w:val="auto"/>
        </w:rPr>
        <w:t>Necessary</w:t>
      </w:r>
      <w:r>
        <w:rPr>
          <w:rFonts w:ascii="Arial" w:cs="Arial" w:eastAsia="Arial" w:hAnsi="Arial"/>
          <w:sz w:val="17"/>
          <w:szCs w:val="17"/>
          <w:color w:val="auto"/>
        </w:rPr>
        <w:t xml:space="preserve"> </w:t>
      </w:r>
      <w:r>
        <w:rPr>
          <w:rFonts w:ascii="Arial" w:cs="Arial" w:eastAsia="Arial" w:hAnsi="Arial"/>
          <w:sz w:val="17"/>
          <w:szCs w:val="17"/>
          <w:b w:val="1"/>
          <w:bCs w:val="1"/>
          <w:color w:val="auto"/>
        </w:rPr>
        <w:t>Action</w:t>
      </w:r>
      <w:r>
        <w:rPr>
          <w:rFonts w:ascii="Arial" w:cs="Arial" w:eastAsia="Arial" w:hAnsi="Arial"/>
          <w:sz w:val="17"/>
          <w:szCs w:val="17"/>
          <w:color w:val="auto"/>
        </w:rPr>
        <w:t>") and the Necessary Action is also a Required Action, Tenant may take the Necessary Action if Landlord does not commence the Necessary Action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end of the business day which is two (2) business days following the day of Landlord's receipt of the Emergency Notice (the "</w:t>
      </w:r>
      <w:r>
        <w:rPr>
          <w:rFonts w:ascii="Arial" w:cs="Arial" w:eastAsia="Arial" w:hAnsi="Arial"/>
          <w:sz w:val="17"/>
          <w:szCs w:val="17"/>
          <w:b w:val="1"/>
          <w:bCs w:val="1"/>
          <w:color w:val="auto"/>
        </w:rPr>
        <w:t>Emergency Cure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and thereafter use its commercially reasonably efforts and due diligence to complete the Necessary Action as soon as reasonably practicable. If</w:t>
      </w:r>
      <w:r>
        <w:rPr>
          <w:rFonts w:ascii="Arial" w:cs="Arial" w:eastAsia="Arial" w:hAnsi="Arial"/>
          <w:sz w:val="17"/>
          <w:szCs w:val="17"/>
          <w:b w:val="1"/>
          <w:bCs w:val="1"/>
          <w:color w:val="auto"/>
        </w:rPr>
        <w:t xml:space="preserve"> </w:t>
      </w:r>
      <w:r>
        <w:rPr>
          <w:rFonts w:ascii="Arial" w:cs="Arial" w:eastAsia="Arial" w:hAnsi="Arial"/>
          <w:sz w:val="17"/>
          <w:szCs w:val="17"/>
          <w:color w:val="auto"/>
        </w:rPr>
        <w:t>Tenant takes any Necessary Action hereunder, Tenant shall use only those contractors used by Landlord in the Project for such work unless such contractors are unwilling or unable to perform such work, in which event Tenant may utilize the services of any other qualified contractor which normally and regularly performs similar work in comparable buildings.</w:t>
      </w:r>
    </w:p>
    <w:p>
      <w:pPr>
        <w:spacing w:after="0" w:line="181" w:lineRule="exact"/>
        <w:rPr>
          <w:rFonts w:ascii="Arial" w:cs="Arial" w:eastAsia="Arial" w:hAnsi="Arial"/>
          <w:sz w:val="17"/>
          <w:szCs w:val="17"/>
          <w:color w:val="auto"/>
        </w:rPr>
      </w:pPr>
    </w:p>
    <w:p>
      <w:pPr>
        <w:jc w:val="both"/>
        <w:ind w:firstLine="656"/>
        <w:spacing w:after="0" w:line="268"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Tenant's Obligations</w:t>
      </w:r>
      <w:r>
        <w:rPr>
          <w:rFonts w:ascii="Arial" w:cs="Arial" w:eastAsia="Arial" w:hAnsi="Arial"/>
          <w:sz w:val="17"/>
          <w:szCs w:val="17"/>
          <w:color w:val="auto"/>
        </w:rPr>
        <w:t>. Except as expressly provided as Landlord's obligation in this Article 9, Tenant shall keep all portions of the Premises in good condition and repair, excluding only those portions that are Landlord's express obligation to maintain as provided above. Tenant's obligations include, without limitation, maintenance and repair of the compressed air system and nitrogen tank located in or solely benefitting the Premises (regardless of whether such systems are located entirely in the Premises), lighting within the Premises, any HVAC System that exclusively services the Premises (as described in Section 9(a) above), plumbing systems within the Premises, exhaust systems within the Premises and the electrical system within the Premises. In addition, Tenant's responsibility shall also include, with respect to the Premises, all repairs in ducts, conduits, pipes and wiring. Tenant shall give Landlord prompt written notice of any leaks or water damage that becomes known to Tenant. If any repairs required to be made by Tenant hereunder are not commenced within ten (10) days after written notice delivered to Tenant by Landlord (or less than ten (10) days, in the case of an emergency situation which by its nature requires an immediate response or a response within fewer than ten (10) days), or if Tenant timely commences such repairs but fails to diligently prosecute such repairs to completion, Landlord may, upon notice to Tenant and at Landlord's option, make such repairs without liability to Tenant for any loss or damage which may result by reason of such repairs. In such event, Tenant shall reimburse Landlord's costs therefor as Additional Rent within thirty (30) days of Landlord's written demand. Tenant shall have access to the roof of the Project and other areas of the Project required in order for Tenant to repair and maintain any systems that exclusively service the Premises (as required by Section 9(a) above) and to otherwise comply with Tenant's repair and maintenance obligations under this Lease. All damage or injury to the Premises or the Project resulting from the act or negligence of Tenant, its employees, agents or visitors, guests, invitees or licensees or by the use of the Premises, shall be promptly repaired by Tenant at its sole cost and expense (except to the extent covered by insurance).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jc w:val="both"/>
        <w:ind w:firstLine="656"/>
        <w:spacing w:after="0" w:line="284" w:lineRule="auto"/>
        <w:tabs>
          <w:tab w:leader="none" w:pos="131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Alterations</w:t>
      </w:r>
      <w:r>
        <w:rPr>
          <w:rFonts w:ascii="Arial" w:cs="Arial" w:eastAsia="Arial" w:hAnsi="Arial"/>
          <w:sz w:val="16"/>
          <w:szCs w:val="16"/>
          <w:color w:val="auto"/>
        </w:rPr>
        <w:t>. Tenant shall make no alterations, installations, changes or additions in or to the Premises or the Project (collectively, "</w:t>
      </w:r>
      <w:r>
        <w:rPr>
          <w:rFonts w:ascii="Arial" w:cs="Arial" w:eastAsia="Arial" w:hAnsi="Arial"/>
          <w:sz w:val="16"/>
          <w:szCs w:val="16"/>
          <w:b w:val="1"/>
          <w:bCs w:val="1"/>
          <w:color w:val="auto"/>
        </w:rPr>
        <w:t>Alterations</w:t>
      </w:r>
      <w:r>
        <w:rPr>
          <w:rFonts w:ascii="Arial" w:cs="Arial" w:eastAsia="Arial" w:hAnsi="Arial"/>
          <w:sz w:val="16"/>
          <w:szCs w:val="16"/>
          <w:color w:val="auto"/>
        </w:rPr>
        <w:t>") without Landlord's prior written consent, which shall not be unreasonably withheld, conditioned or delayed; provided, however, (i) Landlord hereby consents to those Alterations listed on Exhibit "E" attached hereto and made a part hereof (so long as such Alterations are otherwise completed in accordance with the requirements set forth in this Lease), and (ii) Landlord's prior written consent shall not be required for Tenant's interior painting, and for any non-structural installation of fixtures, equipment, interior floors and floor coverings in the Premises, all of which may otherwise be completed in accordance with this Lease. Any Alterations approved by Landlord must be performed in accordance with the terms hereof, using only contractors reasonably approved by Landlord in writing and upon the reasonable approval by Landlord in writing of plans and specifications pertaining to the Alterations in question, to be prepared and submitted by Tenant at its sole cost and expense. Landlord shall grant or deny consent to a proposed Alteration within ten (10) business days after Landlord's receipt of plans and specifications therefor. If Landlord fails to so respond in writing to Tenant within said ten (10) business day period, Tenant may send a second written notice ("</w:t>
      </w:r>
      <w:r>
        <w:rPr>
          <w:rFonts w:ascii="Arial" w:cs="Arial" w:eastAsia="Arial" w:hAnsi="Arial"/>
          <w:sz w:val="16"/>
          <w:szCs w:val="16"/>
          <w:b w:val="1"/>
          <w:bCs w:val="1"/>
          <w:color w:val="auto"/>
        </w:rPr>
        <w:t>Alteration Notice</w:t>
      </w:r>
      <w:r>
        <w:rPr>
          <w:rFonts w:ascii="Arial" w:cs="Arial" w:eastAsia="Arial" w:hAnsi="Arial"/>
          <w:sz w:val="16"/>
          <w:szCs w:val="16"/>
          <w:color w:val="auto"/>
        </w:rPr>
        <w:t>") to Landlord indicating that such Alteration Notice is being delivered by Tenant pursuant to this Section 9(d). Landlord's failure to withhold its consent by written notice to Tenant within five (5) business days after Landlord's receipt of a properly delivered Alteration Notice shall be deemed to constitute Landlord's consent to such Alteration. Tenant shall at its sole cost and expense obtain all necessary approvals and permits pertaining to any Alterations approved by Landlord. Tenant shall cause all Alterations to be performed in a good and workmanlike manner, in conformance with all applicable Laws and pursuant to a valid building permit. Landlord shall not be entitled to a construction management fee or review fee in connection with any Alterations. Notwithstanding anything to the contrary contained herein, Tenant may also make minor alterations to the Premises (the "</w:t>
      </w:r>
      <w:r>
        <w:rPr>
          <w:rFonts w:ascii="Arial" w:cs="Arial" w:eastAsia="Arial" w:hAnsi="Arial"/>
          <w:sz w:val="16"/>
          <w:szCs w:val="16"/>
          <w:b w:val="1"/>
          <w:bCs w:val="1"/>
          <w:color w:val="auto"/>
        </w:rPr>
        <w:t>Minor Alterations</w:t>
      </w:r>
      <w:r>
        <w:rPr>
          <w:rFonts w:ascii="Arial" w:cs="Arial" w:eastAsia="Arial" w:hAnsi="Arial"/>
          <w:sz w:val="16"/>
          <w:szCs w:val="16"/>
          <w:color w:val="auto"/>
        </w:rPr>
        <w:t>"), without Landlord's consent, provided that the cost of any such Minor Alteration does not exceed $75,000 in any one instance and more than $200,000 in the aggregate during the Term; and provided further that such Minor Alteration does not (i) require any structural modifications to the Premises, (ii) require any changes to, nor adversely affect, the Project Systems, and (iii) affect the exterior appearance of the Project. Notwithstanding the rights accorded to Tenant pursuant to the immediately preceding sentences, Tenant acknowledges and agrees that Landlord's permission for Tenant to commence construction or Landlord's monitoring of such work shall in no way constitute any representation or warranty by Landlord as to the adequacy or sufficiency of such plans and specifications, the improvements to which they relate, the capabilities of such contractors or the compliance of any such work with any applicable Laws; instead, any such permission or monitoring shall merely be the consent of Landlord as required hereunder.</w:t>
      </w:r>
    </w:p>
    <w:p>
      <w:pPr>
        <w:spacing w:after="0" w:line="180" w:lineRule="exact"/>
        <w:rPr>
          <w:rFonts w:ascii="Arial" w:cs="Arial" w:eastAsia="Arial" w:hAnsi="Arial"/>
          <w:sz w:val="16"/>
          <w:szCs w:val="16"/>
          <w:color w:val="auto"/>
        </w:rPr>
      </w:pPr>
    </w:p>
    <w:p>
      <w:pPr>
        <w:jc w:val="both"/>
        <w:ind w:firstLine="656"/>
        <w:spacing w:after="0" w:line="259" w:lineRule="auto"/>
        <w:tabs>
          <w:tab w:leader="none" w:pos="116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Prior to the commencement of any Alterations, Tenant shall provide Landlord with evidence that Tenant or Tenant's contractor carries insurance for workers' compensation, "Builder's All Risk" insurance in an amount approved by Landlord covering the construction of such Alterations, and such other insurance as Landlord may reasonably require, it being understood that all such Alterations shall be insured by Tenant pursuant to Article 14 of this Lease immediately upon completion thereof.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both"/>
        <w:ind w:firstLine="656"/>
        <w:spacing w:after="0" w:line="257" w:lineRule="auto"/>
        <w:tabs>
          <w:tab w:leader="none" w:pos="106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Costs and Fees; Removal</w:t>
      </w:r>
      <w:r>
        <w:rPr>
          <w:rFonts w:ascii="Arial" w:cs="Arial" w:eastAsia="Arial" w:hAnsi="Arial"/>
          <w:sz w:val="18"/>
          <w:szCs w:val="18"/>
          <w:color w:val="auto"/>
        </w:rPr>
        <w:t>. If permitted Alterations are made, they shall be made at Tenant's sole cost and expense and shall be and become the property of Landlord, except that Landlord may, by written notice to Tenant given at the time of Landlord's consent to an Alteration (or if Landlord's consent is not required, then Landlord's notice shall be provided within thirty (30) days after Landlord receives written notice of the Alteration), require Tenant at Tenant's expense to remove such Alteration from the Premises upon expiration or earlier termination of this Lease, and to repair any damage to the Premises and the Project caused by such removal.</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21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Quality of Construction Work by Tenant</w:t>
      </w:r>
      <w:r>
        <w:rPr>
          <w:rFonts w:ascii="Arial" w:cs="Arial" w:eastAsia="Arial" w:hAnsi="Arial"/>
          <w:sz w:val="18"/>
          <w:szCs w:val="18"/>
          <w:color w:val="auto"/>
        </w:rPr>
        <w:t>. All construction work done by Tenant within the Premises shall be performed in a good and workmanlike manner, lien-free and in compliance with all Laws, and in such manner as to reasonably minimize interference with other construction in progress and with the transaction of business in the Project. Without limiting the generality of the foregoing, Landlord shall have the right to require that such work be performed in accordance with non-discriminatory rules and regulations which Landlord may from time to time reasonably prescribe by prior written notice to Tenant.</w:t>
      </w:r>
    </w:p>
    <w:p>
      <w:pPr>
        <w:spacing w:after="0" w:line="188" w:lineRule="exact"/>
        <w:rPr>
          <w:rFonts w:ascii="Arial" w:cs="Arial" w:eastAsia="Arial" w:hAnsi="Arial"/>
          <w:sz w:val="18"/>
          <w:szCs w:val="18"/>
          <w:color w:val="auto"/>
        </w:rPr>
      </w:pPr>
    </w:p>
    <w:p>
      <w:pPr>
        <w:jc w:val="both"/>
        <w:ind w:firstLine="656"/>
        <w:spacing w:after="0" w:line="279" w:lineRule="auto"/>
        <w:tabs>
          <w:tab w:leader="none" w:pos="123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Renovation by Landlord</w:t>
      </w:r>
      <w:r>
        <w:rPr>
          <w:rFonts w:ascii="Arial" w:cs="Arial" w:eastAsia="Arial" w:hAnsi="Arial"/>
          <w:sz w:val="17"/>
          <w:szCs w:val="17"/>
          <w:color w:val="auto"/>
        </w:rPr>
        <w:t>. In the event that Landlord elects to renovate all or any portion of the Project, including, without limitation, performing the Demising Work, subject to Article 12 below, Tenant will reasonably cooperate with such renovations, including Tenant's tolerating temporary and reasonable inconveniences (which will be minimized by Landlord to the extent practicable and may include, without limitation, the temporary removal of Tenant's signs) in order to facilitate such renovations, as they may relate to the exterior of the Premises.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LIENS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Tenant shall keep the Premises and the Project free from any mechanics' liens, vendors liens or any other liens arising out of any work performed, materials furnished or obligations incurred by Tenant, and Tenant agrees to defend, indemnify and hold Landlord harmless from and against any such lien or claim or action thereon, together with costs of suit and reasonable attorneys' fees and costs incurred by Landlord in connection with any such claim or action. Before commencing any work of alteration, addition or improvement to the Premises, Tenant shall give Landlord at least ten (10) business days' written notice of the proposed commencement of such work (to afford Landlord an opportunity to post appropriate notices of non-responsibility). In the event that there shall be recorded against the Premises or the Project or the property of which the Premises is a part any claim or lien arising out of any such work performed, materials furnished or obligations incurred by Tenant and such claim or lien shall not be removed by bond or otherwise or discharged within ten (10) days of filing, upon notice to Tenant and the expiration of a fifteen (15) day cure period, Landlord shall have the right but not the obligation to pay and discharge said lien without regard to whether such lien shall be lawful or correct (in which case Tenant shall reimburse Landlord for any such payment made by Landlord within ten (10) days following written demand). Upon completion of the work, Tenant shall deliver to Landlord final lien waivers from all contractors and suppliers. Landlord may post at the Premises such notices of non-responsibility as may be provided for under applicable Law. Tenant shall provide Landlord with as-built plans and specifications for all Alterations done by Tenant.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u w:val="single" w:color="auto"/>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PROJECT SERVICES</w:t>
      </w:r>
    </w:p>
    <w:p>
      <w:pPr>
        <w:spacing w:after="0" w:line="211" w:lineRule="exact"/>
        <w:rPr>
          <w:sz w:val="20"/>
          <w:szCs w:val="20"/>
          <w:color w:val="auto"/>
        </w:rPr>
      </w:pPr>
    </w:p>
    <w:p>
      <w:pPr>
        <w:jc w:val="both"/>
        <w:ind w:firstLine="656"/>
        <w:spacing w:after="0" w:line="284" w:lineRule="auto"/>
        <w:tabs>
          <w:tab w:leader="none" w:pos="116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Utilities and Services</w:t>
      </w:r>
      <w:r>
        <w:rPr>
          <w:rFonts w:ascii="Arial" w:cs="Arial" w:eastAsia="Arial" w:hAnsi="Arial"/>
          <w:sz w:val="16"/>
          <w:szCs w:val="16"/>
          <w:color w:val="auto"/>
        </w:rPr>
        <w:t>. Landlord and Tenant acknowledge that, concurrently with their execution and delivery of this Lease, Landlord and Tenant are entering into a Lease for the remainder of the Project consisting of approximately 192,629 rentable square feet (the "</w:t>
      </w:r>
      <w:r>
        <w:rPr>
          <w:rFonts w:ascii="Arial" w:cs="Arial" w:eastAsia="Arial" w:hAnsi="Arial"/>
          <w:sz w:val="16"/>
          <w:szCs w:val="16"/>
          <w:b w:val="1"/>
          <w:bCs w:val="1"/>
          <w:color w:val="auto"/>
        </w:rPr>
        <w:t>Short Term Lease</w:t>
      </w:r>
      <w:r>
        <w:rPr>
          <w:rFonts w:ascii="Arial" w:cs="Arial" w:eastAsia="Arial" w:hAnsi="Arial"/>
          <w:sz w:val="16"/>
          <w:szCs w:val="16"/>
          <w:color w:val="auto"/>
        </w:rPr>
        <w:t>"). Tenant acknowledges and agrees that the shared electrical room for the Project requires expansion, and Tenant agrees that it will cooperate with Landlord to have such expansion occur into Tenant's storage room. Upon the completion of the expansion, the added space shall be included in the Shared Space. Landlord and Tenant further acknowledge and agree that the telephone room shall be located solely in Tenant's Premises and may be used exclusively by Tenant and not any other occupant. In accordance with the timeframes set forth in Section 8(b) above, Landlord shall, at Landlord's sole cost, (i) separate the Project Systems (excluding fire system branch lines, fire life safety systems and common HVAC elements) serving the Premises from the remainder of the Project, and (ii) have separate meters or submeters installed for each of the following utilities: electricity, water and natural gas. Notwithstanding the foregoing or anything to the contrary herein, Landlord shall have the right, as determined in Landlord's sole discretion and at Landlord's sole cost, to either (A) separate the Project's condensed water loop and dedicate the existing cooling towers in the Project to service the Premises exclusively, or (B) maintain the condensed water loop and cooling tower as a Common Area in accordance with the terms of this Lease, in which event, Landlord shall install, at Landlord's sole cost, a new Siemens Talon Controls Building Management System (or comparable system) (the "</w:t>
      </w:r>
      <w:r>
        <w:rPr>
          <w:rFonts w:ascii="Arial" w:cs="Arial" w:eastAsia="Arial" w:hAnsi="Arial"/>
          <w:sz w:val="16"/>
          <w:szCs w:val="16"/>
          <w:b w:val="1"/>
          <w:bCs w:val="1"/>
          <w:color w:val="auto"/>
        </w:rPr>
        <w:t>BMS System</w:t>
      </w:r>
      <w:r>
        <w:rPr>
          <w:rFonts w:ascii="Arial" w:cs="Arial" w:eastAsia="Arial" w:hAnsi="Arial"/>
          <w:sz w:val="16"/>
          <w:szCs w:val="16"/>
          <w:color w:val="auto"/>
        </w:rPr>
        <w:t>") with controllers at each water source heat pump. Tenant shall cooperate with Landlord and Landlord's contractor to allow the timely completion of the foregoing work. If Landlord elects to maintain the condensed water loop and cooling towers as Common Area, Landlord shall utilize the BMS System to monitor and record the water heat source pump fan and compressor operation times to establish the costs attributable to each party utilizing same. Any utility costs attributable to Tenant as determined by Landlord's review of the BMS System shall be paid by Tenant to Landlord as Additional Rent within fifteen (15) days of Landlord's demand. Tenant shall have the right to connect additional equipment to the BMS System at Tenant's sole cost, so long as such additional equipment is reasonably approved by Landlord, complies with all applicable laws, does not overload the BMS System and otherwise complies with all of the requirements set forth in this Lease. Any meters and sub-meters shall be installed for each such utility in order to measure amounts supplied to the Premises, other space in the Project and the Common Areas (and the costs measured from such meters and sub-meters shall be solely paid by the parties utilizing such systems as further described in this Section 11(a) below). After such separate meters are installed, Tenant shall contract directly with the applicable utility company for utilities separately metered to the Premises, Tenant shall have no responsibility for utilities provided to other space in the Project and utilities provided to the Common Areas of the Project shall be included in Operating Costs. Landlord shall bill Tenant for Tenant's usage (as determined by Landlord's review of the sub-meter readings) for any utilities that are sub-metered, and Tenant shall reimburse Landlord for such actual costs (without mark-up from Landlord) as Additional Rent within fifteen (15) days of demand. Until such separate meters and submeters are installed, Tenant shall pay Tenant's Proportionate Share of the cost of such utilities on a monthly basis. Landlord shall provide, as an Operating Cost of the Project, trash removal services and janitorial service to the Common Areas (but not to the Premises). Tenant shall be responsible, at Tenant's sole cost, for janitorial services to the Premises. Landlord shall not be liable for, and except as provided in Section 11(b) below, there shall be no rent abatement as a result of, any stoppage, reduction or interruption of any such services caused by governmental rules, regulations or ordinances, riot, strike, labor disputes, breakdowns, accidents or necessary repairs.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p>
      <w:pPr>
        <w:jc w:val="both"/>
        <w:ind w:firstLine="656"/>
        <w:spacing w:after="0" w:line="267" w:lineRule="auto"/>
        <w:tabs>
          <w:tab w:leader="none" w:pos="112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Abatement Event</w:t>
      </w:r>
      <w:r>
        <w:rPr>
          <w:rFonts w:ascii="Arial" w:cs="Arial" w:eastAsia="Arial" w:hAnsi="Arial"/>
          <w:sz w:val="17"/>
          <w:szCs w:val="17"/>
          <w:color w:val="auto"/>
        </w:rPr>
        <w:t>. An "</w:t>
      </w:r>
      <w:r>
        <w:rPr>
          <w:rFonts w:ascii="Arial" w:cs="Arial" w:eastAsia="Arial" w:hAnsi="Arial"/>
          <w:sz w:val="17"/>
          <w:szCs w:val="17"/>
          <w:b w:val="1"/>
          <w:bCs w:val="1"/>
          <w:color w:val="auto"/>
        </w:rPr>
        <w:t>Abatement Event</w:t>
      </w:r>
      <w:r>
        <w:rPr>
          <w:rFonts w:ascii="Arial" w:cs="Arial" w:eastAsia="Arial" w:hAnsi="Arial"/>
          <w:sz w:val="17"/>
          <w:szCs w:val="17"/>
          <w:color w:val="auto"/>
        </w:rPr>
        <w:t>" shall be defined as an event caused by Landlord's negligence or willful misconduct that prevents Tenant from using the Premises or any portion thereof, as a result of any failure to provide essential services (i.e., utilities under Section 11(a) above) or access to the Premises, where (i) Tenant does not actually use the Premises or such portion thereof in the manner in which it was used prior to the Abatement Event, and (ii) such event is not caused by the negligence or willful misconduct of Tenant, its agents, employees or contractors. Tenant shall give Landlord notice ("</w:t>
      </w:r>
      <w:r>
        <w:rPr>
          <w:rFonts w:ascii="Arial" w:cs="Arial" w:eastAsia="Arial" w:hAnsi="Arial"/>
          <w:sz w:val="17"/>
          <w:szCs w:val="17"/>
          <w:b w:val="1"/>
          <w:bCs w:val="1"/>
          <w:color w:val="auto"/>
        </w:rPr>
        <w:t>Abatement Notice</w:t>
      </w:r>
      <w:r>
        <w:rPr>
          <w:rFonts w:ascii="Arial" w:cs="Arial" w:eastAsia="Arial" w:hAnsi="Arial"/>
          <w:sz w:val="17"/>
          <w:szCs w:val="17"/>
          <w:color w:val="auto"/>
        </w:rPr>
        <w:t>") of any such Abatement Event, and if such Abatement Event continues beyond the "Eligibility Period" (as that term is defined below), then, as Tenant's sole and exclusive remedy at law and in equity (other than in the case of Landlord's default, in which case Section 19(b) below shall apply) the Basic Rental and Tenant's Proportionate Share of Direct Costs shall be abated entirely or reduced, as the case may be, after expiration of the Eligibility Period for such time that Tenant continues to be so prevented from using, and does not use,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Basic Rental and Tenant's Proportionate Share of Direct Costs for the entire Premises shall be abated entirely for such time as Tenant continues to be so prevented from using, and does not use, the Premises. If, however, Tenant reoccupies any portion of the Premises during such period, the Basic Rental and Tenant's Proportionate Share of Direct Costs allocable to such reoccupied portion, based on the proportion that the rentable area of such reoccupied portion of the Premises bears to the total rentable area of the Premises, shall be payable by Tenant from the date Tenant reoccupies such portion of the Premises. The term "</w:t>
      </w:r>
      <w:r>
        <w:rPr>
          <w:rFonts w:ascii="Arial" w:cs="Arial" w:eastAsia="Arial" w:hAnsi="Arial"/>
          <w:sz w:val="17"/>
          <w:szCs w:val="17"/>
          <w:b w:val="1"/>
          <w:bCs w:val="1"/>
          <w:color w:val="auto"/>
        </w:rPr>
        <w:t>Eligibility Period</w:t>
      </w:r>
      <w:r>
        <w:rPr>
          <w:rFonts w:ascii="Arial" w:cs="Arial" w:eastAsia="Arial" w:hAnsi="Arial"/>
          <w:sz w:val="17"/>
          <w:szCs w:val="17"/>
          <w:color w:val="auto"/>
        </w:rPr>
        <w:t>" shall mean a period of five (5) consecutive business days after Landlord's receipt of any Abatement Notice(s). If a fire or other casualty results in Tenant's inability to use the Premises or a portion thereof, the terms and conditions of Article 16 below shall apply rather than this Section 11(b).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ENTRY RIGHTS OF LANDLORD</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Landlord and its agents shall have the right to enter the Premises at all reasonable times upon one (1) business day's prior notice (except that no notice shall be required in the case of an emergency) for the purpose of examining or inspecting the same, serving or posting and keeping posted thereon notices as provided by law, or which Landlord deems necessary for the protection of Landlord or the Project, showing the same to prospective tenants (but as to prospective tenants, only during the last nine (9) months of the Term or the Option Terms, if applicable, or at any time in which Tenant is in default under this Lease after expiration of applicable cure periods), lenders or purchasers of the Project, in the case of an emergency, and for making such alterations, repairs, improvements or additions to the Premises or to the Project as may be required under this Lease, all without being deemed guilty of or liable for any breach of any covenant of quiet enjoyment or eviction of Tenant (provided Landlord uses reasonable efforts to present any disruption to Tenant's business operations) and without abatement of rent. For each of the foregoing purposes, Tenant shall provide Landlord with a key or other device in order to provide entry to the Premises (excluding Tenant's vaults and safes), and Landlord may open said doors to the Premises in an emergency in order to obtain entry to the Premises. Landlord shall provide Tenant with an opportunity to have a representative of Tenant escort Landlord in connection with any such entry (except any such entry in the case of an emergency). Furthermore, except as expressly provided in this Lease, Landlord shall not be entitled to make alterations, additions or improvements to the Premises or to the exterior façade surrounding the Premises without Tenant's consent.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u w:val="single" w:color="auto"/>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EXEMPTION OF LANDLORD FROM LIABILITY</w:t>
      </w:r>
    </w:p>
    <w:p>
      <w:pPr>
        <w:spacing w:after="0" w:line="211" w:lineRule="exact"/>
        <w:rPr>
          <w:sz w:val="20"/>
          <w:szCs w:val="20"/>
          <w:color w:val="auto"/>
        </w:rPr>
      </w:pPr>
    </w:p>
    <w:p>
      <w:pPr>
        <w:jc w:val="both"/>
        <w:ind w:firstLine="656"/>
        <w:spacing w:after="0" w:line="268" w:lineRule="auto"/>
        <w:tabs>
          <w:tab w:leader="none" w:pos="1154"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Tenant shall indemnify, defend and hold Landlord and its members, officers, directors, employees and contractors (collectively, "</w:t>
      </w:r>
      <w:r>
        <w:rPr>
          <w:rFonts w:ascii="Arial" w:cs="Arial" w:eastAsia="Arial" w:hAnsi="Arial"/>
          <w:sz w:val="17"/>
          <w:szCs w:val="17"/>
          <w:b w:val="1"/>
          <w:bCs w:val="1"/>
          <w:color w:val="auto"/>
        </w:rPr>
        <w:t>Landlord Parties</w:t>
      </w:r>
      <w:r>
        <w:rPr>
          <w:rFonts w:ascii="Arial" w:cs="Arial" w:eastAsia="Arial" w:hAnsi="Arial"/>
          <w:sz w:val="17"/>
          <w:szCs w:val="17"/>
          <w:color w:val="auto"/>
        </w:rPr>
        <w:t>") harmless from any and all claims arising from Tenant's breach of this Lease and/or Tenant's use of the Premises or the Project or from the conduct of its business or from any activity, work or thing which may be permitted or suffered by Tenant in the Premises and shall further indemnify, defend and hold Landlord and the Landlord Parties harmless from and against any and all loss, cost, expense, damages or claims arising from the negligence or willful misconduct of Tenant or any of its agents, contractors or employees and from any and all costs, attorneys' fees and costs, expenses and liabilities incurred in the defense of any claim or any action or proceeding brought thereon, including negotiations in connection therewith. However, notwithstanding the foregoing, Tenant shall not be required to indemnify and/or hold Landlord or the Landlord Parties harmless from any loss, cost, liability, damage or expense, including, but not limited to, penalties, fines, attorneys' fees or costs (collectively, "</w:t>
      </w:r>
      <w:r>
        <w:rPr>
          <w:rFonts w:ascii="Arial" w:cs="Arial" w:eastAsia="Arial" w:hAnsi="Arial"/>
          <w:sz w:val="17"/>
          <w:szCs w:val="17"/>
          <w:b w:val="1"/>
          <w:bCs w:val="1"/>
          <w:color w:val="auto"/>
        </w:rPr>
        <w:t>Claims</w:t>
      </w:r>
      <w:r>
        <w:rPr>
          <w:rFonts w:ascii="Arial" w:cs="Arial" w:eastAsia="Arial" w:hAnsi="Arial"/>
          <w:sz w:val="17"/>
          <w:szCs w:val="17"/>
          <w:color w:val="auto"/>
        </w:rPr>
        <w:t>"), to any person, property or entity to the extent resulting from the negligence or willful misconduct of Landlord or its agents, contractors, or employees. Landlord hereby indemnifies Tenant and holds Tenant harmless from any Claims to the extent resulting from the negligence or willful misconduct of Landlord or its agents, contractors or employees and/or for Landlord's breach of the Lease, and not covered by insurance required to be carried under this Lease by Tenant or actually carried by Tenant. Further, Tenant's agreement to indemnify Landlord and Landlord's agreement to indemnify Tenant pursuant to this Section 13(a) is not intended to and shall not relieve any insurance carrier of its obligations under policies required to be carried by Landlord or Tenant pursuant to this Lease, to the extent such policies cover the matters subject to such indemnification obligations.</w:t>
      </w:r>
    </w:p>
    <w:p>
      <w:pPr>
        <w:spacing w:after="0" w:line="185" w:lineRule="exact"/>
        <w:rPr>
          <w:rFonts w:ascii="Arial" w:cs="Arial" w:eastAsia="Arial" w:hAnsi="Arial"/>
          <w:sz w:val="17"/>
          <w:szCs w:val="17"/>
          <w:color w:val="auto"/>
        </w:rPr>
      </w:pPr>
    </w:p>
    <w:p>
      <w:pPr>
        <w:jc w:val="both"/>
        <w:ind w:firstLine="656"/>
        <w:spacing w:after="0" w:line="297" w:lineRule="auto"/>
        <w:tabs>
          <w:tab w:leader="none" w:pos="111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Exemption of Landlord from Liability</w:t>
      </w:r>
      <w:r>
        <w:rPr>
          <w:rFonts w:ascii="Arial" w:cs="Arial" w:eastAsia="Arial" w:hAnsi="Arial"/>
          <w:sz w:val="16"/>
          <w:szCs w:val="16"/>
          <w:color w:val="auto"/>
        </w:rPr>
        <w:t>. Landlord and the Landlord Parties shall not be liable for injury to Tenant's business, or loss of income therefrom, however occurring (including, without limitation, from any failure or interruption of services or utilities or as a result of Landlord's negligence), or, except in connection with damage or injury resulting from the negligence or willful misconduct of Landlord or the Landlord Parties (provided that in such case Landlord's liability shall be limited to amounts not covered by insurance carried by Tenant or required to be carried by Tenant pursuant to this Lease), for damage that may be sustained by the person, goods, wares, merchandise or property of Tenant, its employees, invitees, customers, agents, or contractors.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6" w:name="page87"/>
    <w:bookmarkEnd w:id="86"/>
    <w:p>
      <w:pPr>
        <w:ind w:left="5200"/>
        <w:spacing w:after="0"/>
        <w:rPr>
          <w:sz w:val="20"/>
          <w:szCs w:val="20"/>
          <w:color w:val="auto"/>
        </w:rPr>
      </w:pPr>
      <w:r>
        <w:rPr>
          <w:rFonts w:ascii="Arial" w:cs="Arial" w:eastAsia="Arial" w:hAnsi="Arial"/>
          <w:sz w:val="18"/>
          <w:szCs w:val="18"/>
          <w:b w:val="1"/>
          <w:bCs w:val="1"/>
          <w:u w:val="single" w:color="auto"/>
          <w:color w:val="auto"/>
        </w:rPr>
        <w:t>ARTICLE 14</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INSURANCE</w:t>
      </w:r>
    </w:p>
    <w:p>
      <w:pPr>
        <w:spacing w:after="0" w:line="211" w:lineRule="exact"/>
        <w:rPr>
          <w:sz w:val="20"/>
          <w:szCs w:val="20"/>
          <w:color w:val="auto"/>
        </w:rPr>
      </w:pPr>
    </w:p>
    <w:p>
      <w:pPr>
        <w:jc w:val="both"/>
        <w:ind w:firstLine="656"/>
        <w:spacing w:after="0" w:line="286" w:lineRule="auto"/>
        <w:tabs>
          <w:tab w:leader="none" w:pos="110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Tenant's Insurance</w:t>
      </w:r>
      <w:r>
        <w:rPr>
          <w:rFonts w:ascii="Arial" w:cs="Arial" w:eastAsia="Arial" w:hAnsi="Arial"/>
          <w:sz w:val="16"/>
          <w:szCs w:val="16"/>
          <w:color w:val="auto"/>
        </w:rPr>
        <w:t>. Tenant, shall at all times during the Term of this Lease, and at its own cost and expense, procure and continue in force the following insurance coverage: (i) Commercial General Liability Insurance (which may include umbrella insurance) insuring both Landlord and Tenant against all claims, demands or actions for bodily injury, property damage, personal and advertising injury, and medical payments arising out of or in connection with Tenant's use or occupancy of the Premises, or by the condition of the Premises, written on an occurrence basis, with a combined single limit for bodily injury and property damages of not less than Two Million Dollars ($2,000,000) per occurrence and Three Million Dollars ($3,000,000) in the annual aggregate (and no offset for occurrences on property other than the Premises), including products liability coverage if applicable, owners and contractors protective coverage (when Tenant performs Alterations), blanket contractual coverage, and personal injury coverage; (ii) a policy of standard fire, extended coverage and special extended coverage insurance (all risks), including a vandalism and malicious mischief endorsement, sprinkler leakage coverage where sprinklers are provided in an amount equal to the full replacement value new without deduction for depreciation of all (A) Tenant Improvements and Alterations, and (B) trade fixtures, furniture, equipment and other personal property installed by or at the expense of Tenant; and (iii) Worker's Compensation and Employers liability coverage as required by Law. Tenant shall carry and maintain during the entire Term (including any Option Terms, if applicable), at Tenant's sole cost and expense, increased amounts of the insurance required to be carried by Tenant pursuant to this Article 14 and such other reasonable types of insurance coverage and in such reasonable amounts covering the Premises and Tenant's operations therein, as may be reasonably required by Landlord, but Landlord shall only be entitled to require such increased amounts and/or other coverages if they are then generally required by owners of comparable buildings in the San Diego County, California area.</w:t>
      </w:r>
    </w:p>
    <w:p>
      <w:pPr>
        <w:spacing w:after="0" w:line="168" w:lineRule="exact"/>
        <w:rPr>
          <w:rFonts w:ascii="Arial" w:cs="Arial" w:eastAsia="Arial" w:hAnsi="Arial"/>
          <w:sz w:val="16"/>
          <w:szCs w:val="16"/>
          <w:color w:val="auto"/>
        </w:rPr>
      </w:pPr>
    </w:p>
    <w:p>
      <w:pPr>
        <w:jc w:val="both"/>
        <w:ind w:firstLine="656"/>
        <w:spacing w:after="0" w:line="270" w:lineRule="auto"/>
        <w:tabs>
          <w:tab w:leader="none" w:pos="113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Form of Policies</w:t>
      </w:r>
      <w:r>
        <w:rPr>
          <w:rFonts w:ascii="Arial" w:cs="Arial" w:eastAsia="Arial" w:hAnsi="Arial"/>
          <w:sz w:val="17"/>
          <w:szCs w:val="17"/>
          <w:color w:val="auto"/>
        </w:rPr>
        <w:t>. The aforementioned minimum limits of policies and Tenant's procurement and maintenance thereof shall in no event limit the liability of Tenant hereunder. The Commercial General Liability Insurance policy shall name Landlord, Landlord's property manager, if any, Landlord's lender(s) and such other persons or firms as Landlord specifies in writing to Tenant from time to time, as additional insureds. All such insurance policies carried by Tenant shall be with companies having a rating of not less than A-VII in Best's Insurance Guide. Tenant shall furnish to Landlord certificates of coverage. Tenant shall, prior to the expiration of such policies, furnish Landlord with renewals or binders. Tenant agrees that if Tenant does not take out and maintain such insurance or furnish Landlord with renewals or binders in a timely manner, upon notice to Tenant and expiration of a reasonable cure period, Landlord may (but shall not be required to) procure said insurance on Tenant's behalf and charge Tenant the cost thereof, which amount shall be payable by Tenant upon demand with interest (at the Interest Rate set forth in Section 20(e) below) from the date such sums are expended. Tenant shall have the right to provide such insurance coverage pursuant to blanket or umbrella policies obtained by Tenant, provided such blanket or umbrella policies afford coverage to the Premises and to Tenant as required by this Lease.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jc w:val="both"/>
        <w:ind w:firstLine="656"/>
        <w:spacing w:after="0" w:line="285"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Landlord's Insurance</w:t>
      </w:r>
      <w:r>
        <w:rPr>
          <w:rFonts w:ascii="Arial" w:cs="Arial" w:eastAsia="Arial" w:hAnsi="Arial"/>
          <w:sz w:val="16"/>
          <w:szCs w:val="16"/>
          <w:color w:val="auto"/>
        </w:rPr>
        <w:t>. Landlord shall, as a cost to be included in Operating Costs, procure and maintain at all times during the Term of this Lease, a policy or policies of insurance covering loss or damage to the Project in the amount of the full replacement cost without deduction for depreciation thereof, providing protection against all perils included within the classification of fire and extended coverage, vandalism coverage and malicious mischief, sprinkler leakage, water damage, and special extended coverage on the building. Additionally, Landlord may carry: (i) Bodily Injury and Property Damage Liability Insurance and/or Excess Liability Coverage Insurance; and (ii) Earthquake and/or Flood Damage Insurance; and (iii) Rental Income Insurance; and</w:t>
      </w:r>
    </w:p>
    <w:p>
      <w:pPr>
        <w:spacing w:after="0" w:line="2" w:lineRule="exact"/>
        <w:rPr>
          <w:rFonts w:ascii="Arial" w:cs="Arial" w:eastAsia="Arial" w:hAnsi="Arial"/>
          <w:sz w:val="16"/>
          <w:szCs w:val="16"/>
          <w:color w:val="auto"/>
        </w:rPr>
      </w:pPr>
    </w:p>
    <w:p>
      <w:pPr>
        <w:ind w:right="20" w:firstLine="8"/>
        <w:spacing w:after="0" w:line="261" w:lineRule="auto"/>
        <w:tabs>
          <w:tab w:leader="none" w:pos="3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forms of insurance Landlord may deem appropriate or any lender may require. The costs of all insurance carried by Landlord shall be included in Operating Costs.</w:t>
      </w:r>
    </w:p>
    <w:p>
      <w:pPr>
        <w:spacing w:after="0" w:line="183" w:lineRule="exact"/>
        <w:rPr>
          <w:rFonts w:ascii="Arial" w:cs="Arial" w:eastAsia="Arial" w:hAnsi="Arial"/>
          <w:sz w:val="18"/>
          <w:szCs w:val="18"/>
          <w:color w:val="auto"/>
        </w:rPr>
      </w:pPr>
    </w:p>
    <w:p>
      <w:pPr>
        <w:jc w:val="both"/>
        <w:ind w:firstLine="656"/>
        <w:spacing w:after="0" w:line="302" w:lineRule="auto"/>
        <w:tabs>
          <w:tab w:leader="none" w:pos="1083"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Waiver of Subrogation</w:t>
      </w:r>
      <w:r>
        <w:rPr>
          <w:rFonts w:ascii="Arial" w:cs="Arial" w:eastAsia="Arial" w:hAnsi="Arial"/>
          <w:sz w:val="16"/>
          <w:szCs w:val="16"/>
          <w:color w:val="auto"/>
        </w:rPr>
        <w:t>. Landlord and Tenant each agree to require their respective insurers issuing the insurance described in Sections 14(a)(ii) and the first sentence of Section 14(c), to waive any rights of subrogation that such companies may have against the other party. Tenant hereby waives any right that Tenant may have against Landlord and Landlord hereby waives any right that Landlord may have against Tenant as a result of any loss or damage to the extent such loss or damage is insurable under such policies and such waiver shall also apply to deductible and self-insured retention amounts.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SUBLETTING</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Except as expressly provided in this Article 15, Tenant shall have no power to, either voluntarily, involuntarily, by operation of law or otherwise, sell, assign, mortgage, pledge, transfer or hypothecate this Lease, or sublet the Premises or any part thereof, without the prior written consent of Landlord, which consent shall not be unreasonably withheld. Landlord shall grant or deny consent to a proposed Transfer by written notice to Tenant within ten (10) business days after Landlord's receipt of an executed duplicate original of the proposed Transfer document together with financial information reasonably requested by Landlord. If Landlord fails to so respond in writing to Tenant within said ten (10) business day period, Tenant may send a second written notice ("</w:t>
      </w:r>
      <w:r>
        <w:rPr>
          <w:rFonts w:ascii="Arial" w:cs="Arial" w:eastAsia="Arial" w:hAnsi="Arial"/>
          <w:sz w:val="16"/>
          <w:szCs w:val="16"/>
          <w:b w:val="1"/>
          <w:bCs w:val="1"/>
          <w:color w:val="auto"/>
        </w:rPr>
        <w:t>Deemed Response Notice</w:t>
      </w:r>
      <w:r>
        <w:rPr>
          <w:rFonts w:ascii="Arial" w:cs="Arial" w:eastAsia="Arial" w:hAnsi="Arial"/>
          <w:sz w:val="16"/>
          <w:szCs w:val="16"/>
          <w:color w:val="auto"/>
        </w:rPr>
        <w:t>") to Landlord with such information and indicating that such Deemed Response Notice is being delivered pursuant to Article 15 of this Lease. Landlord's failure to withhold its consent by written notice to Tenant within five (5) business days after Landlord's receipt of a properly delivered Deemed Response Notice shall be deemed to constitute Landlord's consent to such Transfer. Tenant may transfer its interest pursuant to this Lease only upon the following express conditions, which conditions are agreed by Landlord and Tenant to be reasonable:</w:t>
      </w:r>
    </w:p>
    <w:p>
      <w:pPr>
        <w:spacing w:after="0" w:line="167" w:lineRule="exact"/>
        <w:rPr>
          <w:sz w:val="20"/>
          <w:szCs w:val="20"/>
          <w:color w:val="auto"/>
        </w:rPr>
      </w:pPr>
    </w:p>
    <w:p>
      <w:pPr>
        <w:ind w:firstLine="656"/>
        <w:spacing w:after="0" w:line="277" w:lineRule="auto"/>
        <w:tabs>
          <w:tab w:leader="none" w:pos="11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the proposed Transferee (as hereafter defined) shall be subject to the prior written consent of Landlord, which consent will not be unreasonably withheld.</w:t>
      </w:r>
    </w:p>
    <w:p>
      <w:pPr>
        <w:spacing w:after="0" w:line="170" w:lineRule="exact"/>
        <w:rPr>
          <w:rFonts w:ascii="Arial" w:cs="Arial" w:eastAsia="Arial" w:hAnsi="Arial"/>
          <w:sz w:val="18"/>
          <w:szCs w:val="18"/>
          <w:color w:val="auto"/>
        </w:rPr>
      </w:pPr>
    </w:p>
    <w:p>
      <w:pPr>
        <w:ind w:firstLine="656"/>
        <w:spacing w:after="0" w:line="277"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Tenant shall pay to Landlord Landlord's reasonable attorneys' fees and costs incurred in connection with the proposed Transfer, not to exceed a total of $1,500.00 per proposed Transfer.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p>
      <w:pPr>
        <w:ind w:firstLine="656"/>
        <w:spacing w:after="0" w:line="277" w:lineRule="auto"/>
        <w:tabs>
          <w:tab w:leader="none" w:pos="107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the proposed Transferee shall execute an agreement pursuant to which it shall agree to perform faithfully and be bound by all of the terms, covenants, conditions, provisions and agreements of this Lease applicable to that portion of the Premises so transferred.</w:t>
      </w:r>
    </w:p>
    <w:p>
      <w:pPr>
        <w:spacing w:after="0" w:line="170" w:lineRule="exact"/>
        <w:rPr>
          <w:rFonts w:ascii="Arial" w:cs="Arial" w:eastAsia="Arial" w:hAnsi="Arial"/>
          <w:sz w:val="18"/>
          <w:szCs w:val="18"/>
          <w:color w:val="auto"/>
        </w:rPr>
      </w:pPr>
    </w:p>
    <w:p>
      <w:pPr>
        <w:jc w:val="both"/>
        <w:ind w:firstLine="656"/>
        <w:spacing w:after="0" w:line="283" w:lineRule="auto"/>
        <w:tabs>
          <w:tab w:leader="none" w:pos="1221"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That an executed duplicate original of said assignment and assumption agreement or other Transfer on a form reasonably approved by Landlord, shall be delivered to Landlord within five (5) days after the execution thereof, and that such Transfer shall not be binding upon Landlord until the delivery thereof to Landlord and the execution and delivery of Landlord's consent thereto. It shall be a condition to Landlord's consent to any subleasing, assignment or other transfer of part or all of Tenant's interest in the Premises ("</w:t>
      </w:r>
      <w:r>
        <w:rPr>
          <w:rFonts w:ascii="Arial" w:cs="Arial" w:eastAsia="Arial" w:hAnsi="Arial"/>
          <w:sz w:val="16"/>
          <w:szCs w:val="16"/>
          <w:b w:val="1"/>
          <w:bCs w:val="1"/>
          <w:color w:val="auto"/>
        </w:rPr>
        <w:t>Transfer</w:t>
      </w:r>
      <w:r>
        <w:rPr>
          <w:rFonts w:ascii="Arial" w:cs="Arial" w:eastAsia="Arial" w:hAnsi="Arial"/>
          <w:sz w:val="16"/>
          <w:szCs w:val="16"/>
          <w:color w:val="auto"/>
        </w:rPr>
        <w:t>") that (i) upon Landlord's consent to any Transfer, Tenant shall pay and continue to pay Landlord fifty percent (50%) of any "Transfer Premium" (defined below), received by Tenant from the Transferee; (ii) any sublessee of part or all of Tenant's interest in the Premises shall agree that in the event Landlord gives such sublessee notice that Tenant is in default under this Lease, such sublessee shall thereafter make all sublease or other payments directly to Landlord, which will be received by Landlord without any liability whether to honor the sublease or otherwise (except to credit such payments against sums due under this Lease), and any sublessee shall agree to attorn to Landlord or its successors and assigns at their request should this Lease be terminated for any reason, except that in no event shall Landlord or its successors or assigns be obligated to accept such attornment; (iii) Landlord may require that Tenant not then be in default hereunder after expiration of any applicable cure period; and</w:t>
      </w:r>
    </w:p>
    <w:p>
      <w:pPr>
        <w:spacing w:after="0" w:line="5" w:lineRule="exact"/>
        <w:rPr>
          <w:rFonts w:ascii="Arial" w:cs="Arial" w:eastAsia="Arial" w:hAnsi="Arial"/>
          <w:sz w:val="16"/>
          <w:szCs w:val="16"/>
          <w:color w:val="auto"/>
        </w:rPr>
      </w:pPr>
    </w:p>
    <w:p>
      <w:pPr>
        <w:jc w:val="both"/>
        <w:ind w:firstLine="8"/>
        <w:spacing w:after="0" w:line="281" w:lineRule="auto"/>
        <w:tabs>
          <w:tab w:leader="none" w:pos="30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Tenant or the proposed subtenant or assignee (collectively, "</w:t>
      </w:r>
      <w:r>
        <w:rPr>
          <w:rFonts w:ascii="Arial" w:cs="Arial" w:eastAsia="Arial" w:hAnsi="Arial"/>
          <w:sz w:val="16"/>
          <w:szCs w:val="16"/>
          <w:b w:val="1"/>
          <w:bCs w:val="1"/>
          <w:color w:val="auto"/>
        </w:rPr>
        <w:t>Transferee</w:t>
      </w:r>
      <w:r>
        <w:rPr>
          <w:rFonts w:ascii="Arial" w:cs="Arial" w:eastAsia="Arial" w:hAnsi="Arial"/>
          <w:sz w:val="16"/>
          <w:szCs w:val="16"/>
          <w:color w:val="auto"/>
        </w:rPr>
        <w:t>") shall agree to pay Landlord, upon demand, as Additional Rent, a sum equal to the additional costs, if any, incurred by Landlord for maintenance and repair as a result of any change in the nature of occupancy caused by such subletting or assignment. "</w:t>
      </w:r>
      <w:r>
        <w:rPr>
          <w:rFonts w:ascii="Arial" w:cs="Arial" w:eastAsia="Arial" w:hAnsi="Arial"/>
          <w:sz w:val="16"/>
          <w:szCs w:val="16"/>
          <w:b w:val="1"/>
          <w:bCs w:val="1"/>
          <w:color w:val="auto"/>
        </w:rPr>
        <w:t>Transfer Premium</w:t>
      </w:r>
      <w:r>
        <w:rPr>
          <w:rFonts w:ascii="Arial" w:cs="Arial" w:eastAsia="Arial" w:hAnsi="Arial"/>
          <w:sz w:val="16"/>
          <w:szCs w:val="16"/>
          <w:color w:val="auto"/>
        </w:rPr>
        <w:t>" shall mean all rent, Additional Rent or other consideration payable by a Transferee in connection with a Transfer in excess of the Basic Rental and Direct Costs payable by Tenant under this Lease during the term of the Transfer and if such Transfer is for less than all of the Premises, the Transfer Premium shall be calculated on a rentable square foot basis. In any event, the Transfer Premium shall be calculated after deducting the reasonable expenses incurred by Tenant for (1) any changes, alterations and improvements to the Premises paid for by Tenant in connection with the Transfer,</w:t>
      </w:r>
    </w:p>
    <w:p>
      <w:pPr>
        <w:spacing w:after="0" w:line="4" w:lineRule="exact"/>
        <w:rPr>
          <w:rFonts w:ascii="Arial" w:cs="Arial" w:eastAsia="Arial" w:hAnsi="Arial"/>
          <w:sz w:val="16"/>
          <w:szCs w:val="16"/>
          <w:color w:val="auto"/>
        </w:rPr>
      </w:pPr>
    </w:p>
    <w:p>
      <w:pPr>
        <w:jc w:val="both"/>
        <w:spacing w:after="0" w:line="292" w:lineRule="auto"/>
        <w:rPr>
          <w:rFonts w:ascii="Arial" w:cs="Arial" w:eastAsia="Arial" w:hAnsi="Arial"/>
          <w:sz w:val="16"/>
          <w:szCs w:val="16"/>
          <w:color w:val="auto"/>
        </w:rPr>
      </w:pPr>
      <w:r>
        <w:rPr>
          <w:rFonts w:ascii="Arial" w:cs="Arial" w:eastAsia="Arial" w:hAnsi="Arial"/>
          <w:sz w:val="16"/>
          <w:szCs w:val="16"/>
          <w:color w:val="auto"/>
        </w:rPr>
        <w:t>(2) any other out-of-pocket monetary concessions provided by Tenant to the Transferee, and (3) any brokerage commissions and attorneys' fees paid for by Tenant in connection with the Transfer. In no event shall the consent by Landlord to any Transfer be construed as relieving Tenant or any Transferee from obtaining the express written consent of Landlord to any further Transfer, or as releasing Tenant from any liability or obligation hereunder whether or not then accrued and Tenant shall continue to be fully liable therefor. No collection or acceptance of rent by Landlord from any person other than Tenant shall be deemed a waiver of any provision of this Article 15 or the acceptance of any Transferee hereunder, or a release of Tenant (or of any Transferee of Tenant).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jc w:val="both"/>
        <w:ind w:firstLine="648"/>
        <w:spacing w:after="0" w:line="270"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Affiliate</w:t>
      </w:r>
      <w:r>
        <w:rPr>
          <w:rFonts w:ascii="Arial" w:cs="Arial" w:eastAsia="Arial" w:hAnsi="Arial"/>
          <w:sz w:val="17"/>
          <w:szCs w:val="17"/>
          <w:color w:val="auto"/>
        </w:rPr>
        <w:t>" shall mean (i) any entity that is controlled by, controls or is under common control with, Tenant or (ii) any entity that merges with, is acquired by, or acquires Tenant through the purchase of stock or assets so long as the resulting entity has the same or greater net worth than that of Tenant as of the date of the Transfer. Notwithstanding anything to the contrary contained in this Article 15, an assignment or subletting of all or a portion of the Premises to an Affiliate of Tenant, shall not be deemed a Transfer under this Article 15 (and shall not require Landlord's consent nor result in an obligation to share Transfer Premium), provided that Tenant notifies Landlord of any such assignment or sublease and promptly supplies Landlord with any documents or information requested by Landlord regarding such assignment or sublease or such Affiliate, and further provided that such assignment or sublease is not a subterfuge by Tenant to avoid its obligations under this Lease. An assignee of Tenant's entire interest in this Lease pursuant to the immediately preceding sentence may be referred to herein as an "</w:t>
      </w:r>
      <w:r>
        <w:rPr>
          <w:rFonts w:ascii="Arial" w:cs="Arial" w:eastAsia="Arial" w:hAnsi="Arial"/>
          <w:sz w:val="17"/>
          <w:szCs w:val="17"/>
          <w:b w:val="1"/>
          <w:bCs w:val="1"/>
          <w:color w:val="auto"/>
        </w:rPr>
        <w:t>Affiliated Assignee</w:t>
      </w:r>
      <w:r>
        <w:rPr>
          <w:rFonts w:ascii="Arial" w:cs="Arial" w:eastAsia="Arial" w:hAnsi="Arial"/>
          <w:sz w:val="17"/>
          <w:szCs w:val="17"/>
          <w:color w:val="auto"/>
        </w:rPr>
        <w:t>." "</w:t>
      </w:r>
      <w:r>
        <w:rPr>
          <w:rFonts w:ascii="Arial" w:cs="Arial" w:eastAsia="Arial" w:hAnsi="Arial"/>
          <w:sz w:val="17"/>
          <w:szCs w:val="17"/>
          <w:b w:val="1"/>
          <w:bCs w:val="1"/>
          <w:color w:val="auto"/>
        </w:rPr>
        <w:t>Control</w:t>
      </w:r>
      <w:r>
        <w:rPr>
          <w:rFonts w:ascii="Arial" w:cs="Arial" w:eastAsia="Arial" w:hAnsi="Arial"/>
          <w:sz w:val="17"/>
          <w:szCs w:val="17"/>
          <w:color w:val="auto"/>
        </w:rPr>
        <w:t>," as used in this Article 15, shall mean the ownership, directly or indirectly, of greater than fifty percent (50%) of the voting securities of, or possession of the right to vote, in the ordinary direction of its affairs, of greater than fifty percent (50%) of the voting interest in, an entity.</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Notwithstanding anything contained herein to the contrary and without limiting the generality of the foregoing provisions of this Article 15, Tenant shall not: (a) sublet all or part of the Premises or assign this Lease on any basis such that the rental or other amounts to be paid by the subtenant or assignee thereunder would be based, in whole or in part, on the income or profits derived by the business activities of the subtenant or assignee; (b) sublet all or part of the Premises or assign this Lease to any person or entity in which, under Section 856(d)(2)(B) of the Internal Revenue Code (the "</w:t>
      </w:r>
      <w:r>
        <w:rPr>
          <w:rFonts w:ascii="Arial" w:cs="Arial" w:eastAsia="Arial" w:hAnsi="Arial"/>
          <w:sz w:val="16"/>
          <w:szCs w:val="16"/>
          <w:b w:val="1"/>
          <w:bCs w:val="1"/>
          <w:color w:val="auto"/>
        </w:rPr>
        <w:t>Code</w:t>
      </w:r>
      <w:r>
        <w:rPr>
          <w:rFonts w:ascii="Arial" w:cs="Arial" w:eastAsia="Arial" w:hAnsi="Arial"/>
          <w:sz w:val="16"/>
          <w:szCs w:val="16"/>
          <w:color w:val="auto"/>
        </w:rPr>
        <w:t>"), the Company (defined in Section 30(s) below) or any affiliate of the Company owns, directly or indirectly (by applying constructive ownership rules set forth in Section 856(d) (5) of the Code), a ten percent (10%) or greater interest (it being agreed that Tenant may request Landlord to confirm that an assignee or sublessee will not violate such provision); or (c) sublet all or part of the Premises or assign this Lease in any other manner or otherwise derive any income which could cause any portion of the amounts received by Landlord pursuant hereto or any sublease to fail to qualify as "rents from real property" within the meaning of Section 856(d) of the Code, or which could cause any other income received by Landlord to fail to qualify as income described in Section 856(c) (2) of the Code (provided that any Transfer Premium paid shall not constitute a violation of this provision and Tenant may request Landlord to confirm that there is no violation of this provision). The requirements of this Article 15 shall likewise apply to any further subleasing by any subtenant. All references herein to Section 856 of the Code (or any subsection thereof) also shall refer to any amendments thereof or successor provisions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u w:val="single" w:color="auto"/>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DAMAGE OR DESTRUCTION</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Tenant shall give immediate written notice to Landlord upon Tenant's knowledge of any damage caused to the Premises by fire or other casualty. If the Project is damaged by fire or other insured casualty and the insurance proceeds have been made available therefor by the holder or holders of any mortgages or deeds of trust covering the Project (as further addressed in Article 17 below) and Landlord does not elect to terminate this Lease as hereinafter provided, the damage shall be repaired by Landlord provided such repairs can, as reflected in the Damage Repair Estimate (as defined below), be completed within two hundred seventy (270) days after the necessity for repairs as a result of such damage becomes known to Landlord and until such repairs are completed Basic Rental and Additional Rent shall be abated in proportion to the part of the Premises which is unusable by Tenant in the conduct of its business (but there shall be no abatement of rent by reason of any portion of the Premises being unusable for a period equal to one (1) day or less). Within sixty (60) days after the date Landlord learns of the necessity for repairs as a result of damage, Landlord shall notify Tenant (the "</w:t>
      </w:r>
      <w:r>
        <w:rPr>
          <w:rFonts w:ascii="Arial" w:cs="Arial" w:eastAsia="Arial" w:hAnsi="Arial"/>
          <w:sz w:val="16"/>
          <w:szCs w:val="16"/>
          <w:b w:val="1"/>
          <w:bCs w:val="1"/>
          <w:color w:val="auto"/>
        </w:rPr>
        <w:t>Damage Repair Estimate</w:t>
      </w:r>
      <w:r>
        <w:rPr>
          <w:rFonts w:ascii="Arial" w:cs="Arial" w:eastAsia="Arial" w:hAnsi="Arial"/>
          <w:sz w:val="16"/>
          <w:szCs w:val="16"/>
          <w:color w:val="auto"/>
        </w:rPr>
        <w:t>") of Landlord's reasonable estimate of the period of time in which the repairs will be completed, based upon an estimate from a contractor experienced in comparable repairs. Upon the occurrence of any damage to the Premises, Tenant shall assign to Landlord (or to any party designated by Landlord) all insurance proceeds payable to Tenant under Section 14(a)(ii)(A) above. If repairs cannot, as reflected in the Damage Repair Estimate, be completed within two hundred seventy (270) days after the necessity for repairs as a result of such damage becomes known to Landlord without the payment of overtime or other premiums, Landlord may, at its option, either (i) make such repairs in a reasonable time and in such event this Lease shall continue in effect and the Basic Rental and Additional Rent shall be abated, if at all, in the manner provided in this Article 16, or (ii) elect not to effect such repairs and instead terminate this Lease, by notifying Tenant in writing of such termination within sixty (60) days after Landlord learns of the necessity for repairs as a result of damage, such notice to include a termination date giving Tenant sixty (60) days to vacate the Premises. However, if the Damage Repair Estimate indicates that repairs cannot be completed within two hundred seventy (270) days after being commenced, Tenant may elect, not later than thirty (30) days after Tenant's receipt of the Damage Repair Estimate, to terminate this Lease by written notice to Landlord effective as of the date specified in Tenant's notice. In addition, Landlord may elect to terminate this Lease if the Project shall be damaged by fire or other casualty or cause, whether or not the Premises are affected, if the damage is material and is not fully covered, except for deductible amounts, by Landlord's insurance policies, unless Tenant agrees to fund the insurance shortfall. Finally, if the Premises or the Project is damaged to any substantial extent during the last twelve (12) months of the Term, then notwithstanding anything contained in this Article 16 to the contrary, Landlord and Tenant shall each have the option to terminate this Lease by giving written notice to the other party of the exercise of such option within sixty (60) days after such party learns of the necessity for repairs as the result of such damage; provided, however, that Tenant may nullify any such termination by Landlord if Tenant properly exercises an available extension Option under Article 31 below (but otherwise subject to the provisions set forth above). Except as provided in this Article 16, there shall be no abatement of rent and no liability of Landlord by reason of any injury to or interference with Tenant's business or property arising from such damage or destruction or the making of any repairs, alterations or improvements in or to any portion of the Project or the Premises or in or to fixtures, appurtenances and equipment therein. Tenant understands that Landlord will not carry insurance of any kind on Tenant's furniture, furnishings, trade fixtures or equipment, and that Landlord shall not be obligated to repair any damage thereto or replace the same. With respect to any damage which Landlord is obligated to repair or elects to repair, Tenant, as a material inducement to Landlord entering into this Lease, irrevocably waives and releases its rights under the provisions of Sections 1932 and 1933 of the California Civil Code, except as expressly provided in this Article 16 above.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This Lease is subject and subordinate to all mortgages and deeds of trust which affect the Real Property, including all renewals, modifications, consolidations, replacements and extensions thereof. Tenant agrees that any mortgagee or ground lessor shall have no duty, liability or obligation to perform any of the obligations of Landlord under this Lease and shall have the right at any time to subordinate its mortgage, deed of trust, ground lease or other lien to this Lease; provided, however, notwithstanding that this Lease may be (or may become) superior to a mortgage, deed of trust, ground lease or other lien, the mortgagee shall not be liable for prepaid rentals, security deposits (unless delivered to such mortgagee, deed of trust beneficiary or ground lessor) and claims accruing during Landlord's ownership (unless the circumstances giving rise to such claims continue after such entity succeeds to Landlord's interest); and further provided that the provisions of a mortgage, deed of trust, ground lease or other lien relative to the rights of the mortgagee with respect to proceeds arising from an eminent domain taking (including a voluntary conveyance by Landlord) and provisions relative to proceeds arising from insurance payable by reason of damage to or destruction of the Premises shall be prior and superior to any contrary provisions contained in this Lease with respect to the payment or usage thereof (but if such proceeds are not allocated for repairs as otherwise provided in this Lease, and Landlord does not otherwise fund the cost of such repairs, Tenant may terminate this Lease). Landlord is hereby irrevocably vested with full power and authority to subordinate this Lease to any mortgage, deed of trust, ground lease or other lien hereafter placed upon the Premises; provided, however, that (i) within ten (10) business days' written request of Landlord to Tenant, Tenant agrees to promptly execute, acknowledge and deliver any and all commercially reasonable documents or instruments which Landlord or such holder or holders deem necessary or desirable for purposes thereof; and (ii) a condition precedent to such subordination shall be that Landlord obtains from the lender or other party in question a commercially reasonable non-disturbance agreement in favor of Tenant. Subject to the foregoing, (a) Landlord shall have the right to cause this Lease to be and become and remain subject and subordinate to any and all mortgages or deeds of trust which may hereafter be executed covering the Premises, the Project or the property or any renewals, modifications, consolidations, replacements or extensions thereof, for the full amount of all advances made or to be made thereunder and without regard to the time or character of such advances, together with interest thereon and subject to all the terms and provisions thereof and (b) Tenant agrees, within ten (10) business days after Landlord's written request therefor, to execute, acknowledge and deliver upon request any and all commercially reasonable documents or instruments requested by Landlord or necessary or proper to assure the subordination of this Lease to any such mortgages, deed of trust, or leasehold estates. Tenant agrees that in the event any proceedings are brought for the foreclosure of any mortgage or deed of trust or any deed in lieu thereof, to attorn to the purchaser or any successors thereto upon any such foreclosure sale or deed in lieu thereof as so requested to do so by such purchaser and to recognize such purchaser as the lessor under this Lease; Tenant shall, within ten (10) business days after request execute such further instruments or assurances as such purchaser may reasonably deem necessary to evidence or confirm such attornment. Tenant agrees to provide copies of any notices of Landlord's default under this Lease to any mortgagee or deed of trust beneficiary whose address has been provided to Tenant.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Concurrently with their execution and delivery this Lease, Landlord, Tenant and any lender under a mortgage or deed of trust which may affect the Real Property as of the Commencement Date shall execute and deliver a subordination, non-disturbance and attornment agreement as a condition to the subordination of this Lease to any such mortgage or deed of trust.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u w:val="single" w:color="auto"/>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EMINENT DOMAIN</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whole of the Premises or the Project or so much thereof as to render the balance unusable by Tenant shall be taken under power of eminent domain, or is sold, transferred or conveyed in lieu thereof, this Lease shall automatically terminate as of the date possession is taken by the condemning authority. No award for any partial or entire taking shall be apportioned, and Tenant hereby assigns to Landlord any award which may be made in such taking or condemnation, together with any and all rights of Tenant now or hereafter arising in or to the same or any part thereof; provided, however, that nothing contained herein shall be deemed to give Landlord any interest in or to require Tenant to assign to Landlord any award made to Tenant for the taking of personal property and trade fixtures belonging to Tenant and removable by Tenant at the expiration of the Term hereof as provided hereunder or for the interruption of, or damage to, Tenant's business or for Tenant's moving costs (as long as such separate award does not reduce the amount of the award that would otherwise be awarded to Landlord). In the event of a partial taking described in this Article 18, or a sale, transfer or conveyance in lieu thereof, which does not result in a termination of this Lease, the rent shall be apportioned according to the ratio that the part of the Premises remaining useable by Tenant bears to the total area of the Premises. Tenant hereby waives any and all rights it might otherwise have pursuant to Section 1265.130 of the California Code of Civil Procedure.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DEFAULT</w:t>
      </w:r>
    </w:p>
    <w:p>
      <w:pPr>
        <w:spacing w:after="0" w:line="207"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Tenant's Default</w:t>
      </w:r>
      <w:r>
        <w:rPr>
          <w:rFonts w:ascii="Arial" w:cs="Arial" w:eastAsia="Arial" w:hAnsi="Arial"/>
          <w:sz w:val="18"/>
          <w:szCs w:val="18"/>
          <w:color w:val="auto"/>
        </w:rPr>
        <w:t>. Each of the following acts or omissions of Tenant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305"/>
        <w:spacing w:after="0" w:line="277" w:lineRule="auto"/>
        <w:tabs>
          <w:tab w:leader="none" w:pos="16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Failure or refusal to pay Basic Rental, Additional Rent or any other amount to be paid by Tenant to Landlord hereunder within five (5) days after notice that the same is due or payable hereunder;</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17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Except as set forth in items (i) above and (iii) and (iv) below, failure to perform or observe any other covenant or condition of this Lease to be performed or observed within thirty (30) days following written notice to Tenant of such failure; provided, however, if the nature of such default is such that the same cannot be reasonably cured within a thirty (30) day period, Tenant shall not be deemed to be in default if Tenant diligently commences such cure within such period and thereafter diligently proceeds to rectify and cure said default for a period not to exceed ninety (90) days. Such thirty (30) day notice shall be in lieu of, and not in addition to, any required under Section 1161 of the California Code of Civil Procedure or any similar or successor law;</w:t>
      </w:r>
    </w:p>
    <w:p>
      <w:pPr>
        <w:spacing w:after="0" w:line="158" w:lineRule="exact"/>
        <w:rPr>
          <w:rFonts w:ascii="Arial" w:cs="Arial" w:eastAsia="Arial" w:hAnsi="Arial"/>
          <w:sz w:val="16"/>
          <w:szCs w:val="16"/>
          <w:color w:val="auto"/>
        </w:rPr>
      </w:pPr>
    </w:p>
    <w:p>
      <w:pPr>
        <w:ind w:left="1800" w:hanging="495"/>
        <w:spacing w:after="0"/>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taking in execution or by similar process or law (other than by eminent domain) of the estate hereby created; 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jc w:val="both"/>
        <w:ind w:firstLine="1305"/>
        <w:spacing w:after="0" w:line="271" w:lineRule="auto"/>
        <w:tabs>
          <w:tab w:leader="none" w:pos="1807"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filing by Tenant or any guarantor hereunder in any court pursuant to any statute of a petition in bankruptcy or insolvency or for reorganization or arrangement for the appointment of a receiver of all or a portion of Tenant's property; the filing against Tenant or any guarantor hereunder of any such petition, or the commencement of a proceeding for the appointment of a trustee, receiver or liquidator for Tenant, or for any guarantor hereunder, or of any of the property of either, or a proceeding by any governmental authority for the dissolution or liquidation of Tenant or any guarantor hereunder, if such proceeding shall not be dismissed or trusteeship discontinued within thirty (30) days after commencement of such proceeding or the appointment of such trustee or receiver; or the making by Tenant or any guarantor hereunder of an assignment for the benefit of creditors. Tenant hereby stipulates to the lifting of the automatic stay in effect and relief from such stay for Landlord in the event Tenant files a petition under the United States Bankruptcy laws, for the purpose of Landlord pursuing its rights and remedies against Tenant and/or a guarantor of this Lease.</w:t>
      </w:r>
    </w:p>
    <w:p>
      <w:pPr>
        <w:spacing w:after="0" w:line="178" w:lineRule="exact"/>
        <w:rPr>
          <w:rFonts w:ascii="Arial" w:cs="Arial" w:eastAsia="Arial" w:hAnsi="Arial"/>
          <w:sz w:val="17"/>
          <w:szCs w:val="17"/>
          <w:color w:val="auto"/>
        </w:rPr>
      </w:pPr>
    </w:p>
    <w:p>
      <w:pPr>
        <w:jc w:val="both"/>
        <w:ind w:firstLine="656"/>
        <w:spacing w:after="0" w:line="253" w:lineRule="auto"/>
        <w:tabs>
          <w:tab w:leader="none" w:pos="121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Landlord's Default</w:t>
      </w:r>
      <w:r>
        <w:rPr>
          <w:rFonts w:ascii="Arial" w:cs="Arial" w:eastAsia="Arial" w:hAnsi="Arial"/>
          <w:sz w:val="18"/>
          <w:szCs w:val="18"/>
          <w:color w:val="auto"/>
        </w:rPr>
        <w:t>. In the event Landlord should default in any of its obligations hereunder, Tenant shall give Landlord written notice specifying such default and Landlord shall thereupon have thirty (30) days (plus an additional reasonable period as may be required in the exercise by Landlord of due diligence) in which to cure any such default provided that if the default is not reasonably capable of being cured in thirty (30) days, Landlord shall be deemed to be in compliance with this Lease if Landlord commences to cure the default within such thirty (30) day period and diligently and continuously prosecutes such cure to completion for a period not to exceed ninety (90) days; provided however, if Landlord's default is of a nature which if not cured immediately, poses an imminent risk of harm to persons or property and/or will have an immediate, material, adverse effect on the conduct of Tenant's business operations at the Premises, Tenant shall have the right to cure such default immediately, with only such prior notice (if any) to Landlord as is reasonable under the circumstances. Furthermore, upon any such default by Landlord under this Lease, Tenant may, except as otherwise specifically provided in this Lease to the contrary, exercise any of its rights provided at law or in equity; provided that in no event may Tenant terminate the Lease without first obtaining a judgment.</w:t>
      </w: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ARTICLE 20</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REMEDIES</w:t>
      </w:r>
    </w:p>
    <w:p>
      <w:pPr>
        <w:spacing w:after="0" w:line="211" w:lineRule="exact"/>
        <w:rPr>
          <w:sz w:val="20"/>
          <w:szCs w:val="20"/>
          <w:color w:val="auto"/>
        </w:rPr>
      </w:pPr>
    </w:p>
    <w:p>
      <w:pPr>
        <w:jc w:val="both"/>
        <w:ind w:firstLine="656"/>
        <w:spacing w:after="0" w:line="285" w:lineRule="auto"/>
        <w:tabs>
          <w:tab w:leader="none" w:pos="10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Upon the occurrence of an Event of Default under this Lease as provided in Article 19 hereof, Landlord may exercise all of its remedies as may be permitted by law, including but not limited to the remedy provided by Section 1951.4 of the California Civil Code and any successor statute or similar Law, and including without limitation, terminating this Lease, reentering the Premises and removing all persons and property therefrom, which property may be stored by Landlord at a warehouse or elsewhere at the risk, expense and for the account of Tenant. If Landlord elects to terminate this Lease, Landlord shall be entitled to recover from Tenant the aggregate of all amounts permitted by law, including but not limited to (i) the worth at the time of award of the amount of any unpaid rent which had been earned at the time of such termination; plus (ii) the worth at the time of award of the amount by which the unpaid rent which would have been earned after termination until the time of award exceeds the amount of such rental loss that Tenant proves could have been reasonably avoided; plus (iii) the worth at the time of award of the amount by which the unpaid rent for the balance of the Term after the time of award exceeds the amount of such rental loss that Tenant proves could have been reasonably avoided; plus (iv) any other amount necessary to compensate Landlord for all the detriment proximately caused by Tenant's failure to perform its obligations under this Lease or which in the ordinary course of things would be likely to result therefrom; and (v) at Landlord's election, such other amounts in addition to or in lieu of the foregoing as may be permitted from time to time by applicable law. The term "rent" as used in this Section 20(a) shall be deemed to be and to mean all sums of every nature required to be paid by Tenant pursuant to the terms of this Lease, whether to Landlord or to others. As used in items (i) and (ii), above, the "worth at the time of award" shall be computed by allowing interest at the rate set forth in item (e), below, but in no case greater than the maximum amount of such interest permitted by law. As used in item (iii), above, the "worth at the time of award" shall be computed by discounting such amount at the discount rate of the Federal Reserve Bank of San Francisco at the time of award plus one percent (1%). Tenant hereby waives for Tenant and all those claiming under Tenant all right now or hereafter existing including, without limitation, any rights under California Code of Civil Procedure Sections 1174 and 1179 and Civil Code Section 1950.7 to redeem by order or judgment of any court or by any legal process or writ, Tenant's right of occupancy of the Premises after any termination of this Lease.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4" w:name="page95"/>
    <w:bookmarkEnd w:id="94"/>
    <w:p>
      <w:pPr>
        <w:ind w:right="20" w:firstLine="656"/>
        <w:spacing w:after="0" w:line="277" w:lineRule="auto"/>
        <w:tabs>
          <w:tab w:leader="none" w:pos="10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Nothing in this Article 20 shall be deemed to affect Landlord's right to indemnification for liability or liabilities arising prior to the termination of this Lease for personal injuries or property damage under the indemnification clause or clauses contained in this Lease.</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233"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Landlord's re-entry to perform acts of maintenance or preservation of or in connection with efforts to relet the Premises or any portion thereof, or the appointment of a receiver upon Landlord's initiative to protect Landlord's interest under this Lease shall not terminate Tenant's right to possession of the Premises or any portion thereof and, until Landlord does elect to terminate this Lease, this Lease shall continue in full force and effect and Landlord may enforce all of Landlord's rights and remedies hereunder including, without limitation,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rights, powers and remedies of Landlord hereunder and under any other agreement now or hereafter in force between Landlord and Tenant shall be cumulative and not alternative and shall be in addition to all rights, powers and remedies given to Landlord by law, and the exercise of one or more rights or remedies shall not impair Landlord's right to exercise any other right or remedy.</w:t>
      </w:r>
    </w:p>
    <w:p>
      <w:pPr>
        <w:spacing w:after="0" w:line="177" w:lineRule="exact"/>
        <w:rPr>
          <w:rFonts w:ascii="Arial" w:cs="Arial" w:eastAsia="Arial" w:hAnsi="Arial"/>
          <w:sz w:val="18"/>
          <w:szCs w:val="18"/>
          <w:color w:val="auto"/>
        </w:rPr>
      </w:pPr>
    </w:p>
    <w:p>
      <w:pPr>
        <w:jc w:val="both"/>
        <w:ind w:firstLine="656"/>
        <w:spacing w:after="0" w:line="252" w:lineRule="auto"/>
        <w:tabs>
          <w:tab w:leader="none" w:pos="1098"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amount due from one (1) party to another hereunder which is not paid when due shall bear interest at the rate ("</w:t>
      </w:r>
      <w:r>
        <w:rPr>
          <w:rFonts w:ascii="Arial" w:cs="Arial" w:eastAsia="Arial" w:hAnsi="Arial"/>
          <w:sz w:val="17"/>
          <w:szCs w:val="17"/>
          <w:b w:val="1"/>
          <w:bCs w:val="1"/>
          <w:color w:val="auto"/>
        </w:rPr>
        <w:t>Interest Rate</w:t>
      </w:r>
      <w:r>
        <w:rPr>
          <w:rFonts w:ascii="Arial" w:cs="Arial" w:eastAsia="Arial" w:hAnsi="Arial"/>
          <w:sz w:val="17"/>
          <w:szCs w:val="17"/>
          <w:color w:val="auto"/>
        </w:rPr>
        <w:t>") equal to the lower of ten percent (10%) per annum or the maximum lawful rate of interest from the due date until paid, unless otherwise specifically provided herein, but the payment of such interest shall not excuse or cure any default by Tenant under this Lease. In addition to such interest, if Basic Rental is not paid on or before the fifth (5</w:t>
      </w:r>
      <w:r>
        <w:rPr>
          <w:rFonts w:ascii="Arial" w:cs="Arial" w:eastAsia="Arial" w:hAnsi="Arial"/>
          <w:sz w:val="28"/>
          <w:szCs w:val="28"/>
          <w:color w:val="auto"/>
          <w:vertAlign w:val="superscript"/>
        </w:rPr>
        <w:t>th</w:t>
      </w:r>
      <w:r>
        <w:rPr>
          <w:rFonts w:ascii="Arial" w:cs="Arial" w:eastAsia="Arial" w:hAnsi="Arial"/>
          <w:sz w:val="17"/>
          <w:szCs w:val="17"/>
          <w:color w:val="auto"/>
        </w:rPr>
        <w:t>) day of the calendar month for which the same is due, a late charge equal to three percent (3%) of the amount overdue shall be immediately due and owing, which late charge Tenant hereby agrees is a reasonable estimate of the damages Landlord shall suffer as a result of Tenant's late payment. Such charges for interest and late payments are separate and cumulative and are in addition to and shall not diminish or represent a substitute for any or all of Landlord's rights or remedies under any other provision of this Lease. Notwithstanding the foregoing, Tenant shall be entitled to notice and the expiration of a five (5) day cure period prior to an imposition of any late charge or interest charge under this Section 20(e) one (1) time per calendar year; after such written notice has been provided to Tenant in a calendar year, Tenant shall not be entitled to any further notice prior to imposition of a late charge or interest under this Section 20(e) in such calendar year.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jc w:val="both"/>
        <w:ind w:firstLine="656"/>
        <w:spacing w:after="0" w:line="273" w:lineRule="auto"/>
        <w:tabs>
          <w:tab w:leader="none" w:pos="1091"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Lease, Landlord shall be in default in the performance of any obligation required to be performed by Landlord pursuant to this Lease if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w:t>
      </w:r>
    </w:p>
    <w:p>
      <w:pPr>
        <w:spacing w:after="0" w:line="178" w:lineRule="exact"/>
        <w:rPr>
          <w:rFonts w:ascii="Arial" w:cs="Arial" w:eastAsia="Arial" w:hAnsi="Arial"/>
          <w:sz w:val="17"/>
          <w:szCs w:val="17"/>
          <w:color w:val="auto"/>
        </w:rPr>
      </w:pPr>
    </w:p>
    <w:p>
      <w:pPr>
        <w:jc w:val="both"/>
        <w:ind w:firstLine="656"/>
        <w:spacing w:after="0" w:line="257" w:lineRule="auto"/>
        <w:tabs>
          <w:tab w:leader="none" w:pos="12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 this Lease requires service of a notice, that notice shall replace rather than supplement any equivalent or similar statutory notice, including any notice required by California Code of Civil Procedure Section 1161 or any similar or successor statute. When a statute requires service of a notice in a particular manner, service of that notice (or a similar notice required by this Lease) in the manner required by this Article 20 shall replace and satisfy the statutory service-of-notice procedures, including those required by California Code of Civil Procedure Section 1162 or any similar or successor statute.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 OF LANDLORD'S INTEREST</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event of any transfer or termination of Landlord's interest in the Premises or the Project by sale, assignment, transfer, foreclosure, deed-in-lieu of foreclosure or otherwise whether voluntary or involuntary, Landlord shall be automatically relieved of any and all obligations and liabilities on the part of Landlord from and after the date of such transfer or termination, including furthermore without limitation, the obligation of Landlord under Article 4 and California Civil Code 1950.7 above to return the security deposit, provided said security deposit is transferred to said transferee. Tenant agrees to attorn to the transferee upon any such transfer and to recognize such transferee as the lessor under this Lease and Tenant shall, within five (5) days after request, execute such further commercially reasonable instruments or assurances as such transferee may reasonably deem necessary to evidence or confirm such attornment.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u w:val="single" w:color="auto"/>
          <w:color w:val="auto"/>
        </w:rPr>
        <w:t>ARTICLE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BROKER</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this Lease, Landlord and Tenant warrant and represent that they have had dealings only with the firm set forth in Article 1.G. of the Basic Lease Provisions and that they know of no other person or entity who is or might be entitled to a commission, finder's fee or other like payment in connection herewith. Each party does hereby indemnify and agree to hold the other and their agents, members, partners, representatives, officers, affiliates, shareholders, employees, successors and assigns harmless from and against any and all loss, liability and expenses that the other may incur should such warranty and representation prove incorrect, inaccurate or false.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PARKING</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Tenant shall be entitled to use, commencing on the Commencement Date, the number of parking spaces set forth in Article 1.H. of the Basic Lease Provisions. Those parking spaces designated on Exhibit "D" shall be for the exclusive use of Tenant and may be designated by Tenant as reserved for Tenant and the remaining parking spaces shall be available on an unreserved basis. Tenant shall not be required to pay to Landlord any fee for parking spaces during the initial Term or any applicable Option Term. Tenant shall abide by all reasonable and non-discriminatory rules and regulations which are prescribed from time to time for the orderly operation and use of the parking areas of the Project and Tenant shall cooperate in seeing that Tenant's employees and visitors also comply with such rules and regulations. Subject to Tenant's parking rights hereunder,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temporarily close-off or restrict access to areas of the Project parking facility for purposes of permitting or facilitating any such construction, alteration or improvements. Landlord may delegate its responsibilities hereunder to a parking operator or a lessee of the parking facility in which case such parking operator or lessee shall have all the rights of control attributed hereby to the Landlord. In the event that parking capacity problems arise for the Project, Landlord shall implement such parking programs as reasonably determined by Landlord to alleviate such capacity problem, which programs may include, without limitation, valet programs, security programs and parking decals (collectively, the "</w:t>
      </w:r>
      <w:r>
        <w:rPr>
          <w:rFonts w:ascii="Arial" w:cs="Arial" w:eastAsia="Arial" w:hAnsi="Arial"/>
          <w:sz w:val="16"/>
          <w:szCs w:val="16"/>
          <w:b w:val="1"/>
          <w:bCs w:val="1"/>
          <w:color w:val="auto"/>
        </w:rPr>
        <w:t>Parking Programs</w:t>
      </w:r>
      <w:r>
        <w:rPr>
          <w:rFonts w:ascii="Arial" w:cs="Arial" w:eastAsia="Arial" w:hAnsi="Arial"/>
          <w:sz w:val="16"/>
          <w:szCs w:val="16"/>
          <w:color w:val="auto"/>
        </w:rPr>
        <w:t>"). The cost of such Parking Programs shall be included in Operating Costs; provided that if a parking problem is caused solely by Tenant or any other tenants of the Project as determined by Landlord in its commercially reasonable discretion, then the cost of the particular Parking Program shall be borne solely by the party or parties causing the problem.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u w:val="single" w:color="auto"/>
          <w:color w:val="auto"/>
        </w:rPr>
        <w:t>ARTICLE 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waiver by Landlord or Tenant of any provision of this Lease shall be deemed to be a waiver of any other provision hereof or of any subsequent breach of the same or any other provision. No provision of this Lease may be waived by Landlord or Tenant, except by an instrument in writing executed by the waiving party. Landlord's consent to or approval of any act by Tenant requiring Landlord's consent or approval shall not be deemed to render unnecessary the obtaining of Landlord's consent to or approval of any subsequent act of Tenant, whether or not similar to the act so consented to or approved. No act or thing done by Landlord or Landlord's agents during the Term of this Lease shall be deemed an acceptance of a surrender of the Premises, and no agreement to accept such surrender shall be valid unless in writing and signed by Landlord.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Any payment by Tenant or receipt by Landlord of an amount less than the total amount then due hereunder shall be deemed to be in partial payment only thereof and not a waiver of the balance due or an accord and satisfaction, notwithstanding any statement or endorsement to the contrary on any check or any other instrument delivered concurrently therewith or in reference thereto. Accordingly, Landlord may accept any such amount and negotiate any such check without prejudice to Landlord's right to recover all balances due and owing and to pursue its other rights against Tenant under this Lease, regardless of whether Landlord makes any notation on such instrument of payment or otherwise notifies Tenant that such acceptance or negotiation is without prejudice to Landlord's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ESTOPPEL CERTIFICATE</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Tenant shall, at any time and from time to time, upon not less than fifteen (15) days' prior written notice from Landlord, execute, acknowledge and deliver to Landlord a statement in writing certifying the following information, (but not limited to the following information in the event further information regarding this Lease is requested by Landlord): (i) that this Lease is unmodified and in full force and effect (or, if modified, stating the nature of such modification and certifying that this Lease, as modified, is in full force and effect); (ii) the dates to which the rental and other charges are paid in advance, if any; (iii) the amount of Tenant's security deposit, if any; and (iv) acknowledging that there are not, to Tenant's knowledge, any uncured defaults on the part of Landlord hereunder, and no events or conditions then in existence which, with the passage of time or notice or both, would constitute a default on the part of Landlord hereunder, or specifying such defaults, events or conditions, if any are claimed. It is expressly understood and agreed that any such statement may be relied upon by any prospective purchaser or encumbrancer of all or any portion of the Real Property.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u w:val="single" w:color="auto"/>
          <w:color w:val="auto"/>
        </w:rPr>
        <w:t>ARTICLE 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LIABILITY OF LANDLORD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anything in this Lease to the contrary, any remedy of Tenant for the collection of a judgment (or other judicial process) requiring the payment of money by Landlord in the event of any default by Landlord hereunder or any claim, cause of action or obligation, contractual, statutory or otherwise by Tenant against Landlord or the Landlord Parties concerning, arising out of or relating to any matter relating to this Lease and all of the covenants and conditions or any obligations, contractual, statutory, or otherwise set forth herein, shall be limited solely and exclusively to an amount which is equal to the sum of (a) the rents, issues and profits of the Project (which shall be deemed to include the net proceeds of any sale of the Project by Landlord, provided that any claim is made by Tenant within one (1) year following the date of any such sale, as well as any insurance or condemnation proceeds not applied to the restoration of the Project and subject to the prior rights of any mortgagee or ground or underlying lessor of Landlord), plus (b) the interest of Landlord in and to the Project. No other property or assets of Landlord or any Landlord Party shall be subject to levy, execution or other enforcement procedure for the satisfaction of Tenant's remedies under or with respect to this Lease, Landlord's obligations to Tenant, whether contractual, statutory or otherwise, the relationship of Landlord and Tenant hereunder, or Tenant's use or occupancy of the Premises.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INABILITY TO PERFORM</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Lease and the obligations of both parties hereunder shall not be affected or impaired because a party obligated to perform is unable to fulfill any of its obligations hereunder or is delayed in doing so, if such inability or delay is caused by reason of any prevention, delay or stoppage due to strikes, lockouts, acts of God, terrorism, evacuation or any other cause previously, or at such time, beyond the reasonable control or anticipation of such party (collectively, a "</w:t>
      </w:r>
      <w:r>
        <w:rPr>
          <w:rFonts w:ascii="Arial" w:cs="Arial" w:eastAsia="Arial" w:hAnsi="Arial"/>
          <w:sz w:val="18"/>
          <w:szCs w:val="18"/>
          <w:b w:val="1"/>
          <w:bCs w:val="1"/>
          <w:color w:val="auto"/>
        </w:rPr>
        <w:t>Force Majeure</w:t>
      </w:r>
      <w:r>
        <w:rPr>
          <w:rFonts w:ascii="Arial" w:cs="Arial" w:eastAsia="Arial" w:hAnsi="Arial"/>
          <w:sz w:val="18"/>
          <w:szCs w:val="18"/>
          <w:color w:val="auto"/>
        </w:rPr>
        <w:t>") and such party's obligations under this Lease shall be forgiven and suspended by any such Force Majeure; provided, however, that this Article 27 is not intended to, and shall not, extend the time period for the payment of any monetary amounts due (including, without limitation, rent payments from Tenant) from either party to the other under this Lease nor relieve either party from their monetary obligations to the other under this 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HAZARDOUS WASTE</w:t>
      </w:r>
    </w:p>
    <w:p>
      <w:pPr>
        <w:spacing w:after="0" w:line="211" w:lineRule="exact"/>
        <w:rPr>
          <w:sz w:val="20"/>
          <w:szCs w:val="20"/>
          <w:color w:val="auto"/>
        </w:rPr>
      </w:pPr>
    </w:p>
    <w:p>
      <w:pPr>
        <w:jc w:val="both"/>
        <w:ind w:firstLine="656"/>
        <w:spacing w:after="0" w:line="255" w:lineRule="auto"/>
        <w:tabs>
          <w:tab w:leader="none" w:pos="107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Tenant shall not cause or permit any Hazardous Material (as defined in Section 28(b) below) to be brought, kept or used in or about the Project by Tenant, its agents, employees or contractors, except for products that are incidental to Tenant's use of the Premises and general office supplies typically used in the ordinary course of business (e.g., copier toner, glue, ink, and cleaning solvents), which shall be in commercially reasonable amounts and in accordance with all applicable Environmental Laws. Tenant indemnifies Landlord and the Landlord Parties from and against any breach by Tenant of the obligations stated in the preceding sentence, and agrees to indemnify, defend and hold Landlord and the Landlord Parties harmless from and against any and all Claims as a result of the release of Hazardous Materials by Tenant or Tenant's agents, employees, contractors and subcontractors. Such obligations shall survive the expiration or termination of this Lease.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9" w:name="page100"/>
    <w:bookmarkEnd w:id="99"/>
    <w:p>
      <w:pPr>
        <w:jc w:val="both"/>
        <w:ind w:firstLine="656"/>
        <w:spacing w:after="0" w:line="287" w:lineRule="auto"/>
        <w:tabs>
          <w:tab w:leader="none" w:pos="108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As used herein, the term "</w:t>
      </w:r>
      <w:r>
        <w:rPr>
          <w:rFonts w:ascii="Arial" w:cs="Arial" w:eastAsia="Arial" w:hAnsi="Arial"/>
          <w:sz w:val="16"/>
          <w:szCs w:val="16"/>
          <w:b w:val="1"/>
          <w:bCs w:val="1"/>
          <w:color w:val="auto"/>
        </w:rPr>
        <w:t>Hazardous Material</w:t>
      </w:r>
      <w:r>
        <w:rPr>
          <w:rFonts w:ascii="Arial" w:cs="Arial" w:eastAsia="Arial" w:hAnsi="Arial"/>
          <w:sz w:val="16"/>
          <w:szCs w:val="16"/>
          <w:color w:val="auto"/>
        </w:rPr>
        <w:t>" means any hazardous or toxic substance, material, or waste which is or becomes regulated by any local governmental authority, the State of California or the United States Government. The term "Hazardous Material" includes, without limitation, any material or substance which is (i) defined as "Hazardous Waste," "Extremely Hazardous Waste," or "Restricted Hazardous Waste" under Sections 25115, 25117 or 25122.7, or listed pursuant to Section 25140, of the California Health and Safety Code, Division 20, Chapter 6.5 (Hazardous Waste Control Law),</w:t>
      </w:r>
    </w:p>
    <w:p>
      <w:pPr>
        <w:spacing w:after="0" w:line="2" w:lineRule="exact"/>
        <w:rPr>
          <w:rFonts w:ascii="Arial" w:cs="Arial" w:eastAsia="Arial" w:hAnsi="Arial"/>
          <w:sz w:val="16"/>
          <w:szCs w:val="16"/>
          <w:color w:val="auto"/>
        </w:rPr>
      </w:pPr>
    </w:p>
    <w:p>
      <w:pPr>
        <w:jc w:val="both"/>
        <w:ind w:firstLine="8"/>
        <w:spacing w:after="0" w:line="281" w:lineRule="auto"/>
        <w:tabs>
          <w:tab w:leader="none" w:pos="2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defined as a "Hazardous Substance" under Section 25316 of the California Health and Safety Code, Division 20, Chapter 6.8 (Carpenter-Presley-Tanner Hazardous Substance Account Act), (iii) defined as a "Hazardous Material," "Hazardous Substance," or "Hazardous Waste" under Section 25501 of the California Health and Safety Code, Division 20, Chapter 6.95 (Hazardous Materials Release Response Plans and Inventory), (iv) defined as a "Hazardous Substance" under Section 25281 of the California Health and Safety Code, Division 20, Chapter 6.7 (Underground Storage of Hazardous Substances),</w:t>
      </w:r>
    </w:p>
    <w:p>
      <w:pPr>
        <w:spacing w:after="0" w:line="2" w:lineRule="exact"/>
        <w:rPr>
          <w:rFonts w:ascii="Arial" w:cs="Arial" w:eastAsia="Arial" w:hAnsi="Arial"/>
          <w:sz w:val="16"/>
          <w:szCs w:val="16"/>
          <w:color w:val="auto"/>
        </w:rPr>
      </w:pPr>
    </w:p>
    <w:p>
      <w:pPr>
        <w:jc w:val="both"/>
        <w:ind w:firstLine="8"/>
        <w:spacing w:after="0" w:line="253" w:lineRule="auto"/>
        <w:tabs>
          <w:tab w:leader="none" w:pos="2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petroleum, (vi) asbestos, (vii) listed under Article 9 or defined as Hazardous or extremely hazardous pursuant to Article 11 of Title 22 of the California Administrative Code, Division 4, Chapter 20, (viii) designated as a "Hazardous Substance" pursuant to Section 311 of the Federal Water Pollution Control Act (33 U.S.C. § 1317), (ix) defined as a "Hazardous Waste" pursuant to Section 1004 of the Federal Resource Conservation and Recovery Act, 42 U.S.C. § 6901 et seq. (42 U.S.C. § 6903), or (x) defined as a "Hazardous Substance" pursuant to Section 101 of the Comprehensive Environmental Response, Compensation and Liability Act, 42 U.S.C. § 9601 et seq. (42 U.S.C. § 9601).</w:t>
      </w:r>
    </w:p>
    <w:p>
      <w:pPr>
        <w:spacing w:after="0" w:line="187" w:lineRule="exact"/>
        <w:rPr>
          <w:rFonts w:ascii="Arial" w:cs="Arial" w:eastAsia="Arial" w:hAnsi="Arial"/>
          <w:sz w:val="18"/>
          <w:szCs w:val="18"/>
          <w:color w:val="auto"/>
        </w:rPr>
      </w:pPr>
    </w:p>
    <w:p>
      <w:pPr>
        <w:ind w:firstLine="656"/>
        <w:spacing w:after="0" w:line="313" w:lineRule="auto"/>
        <w:tabs>
          <w:tab w:leader="none" w:pos="1151" w:val="left"/>
        </w:tabs>
        <w:numPr>
          <w:ilvl w:val="1"/>
          <w:numId w:val="61"/>
        </w:numPr>
        <w:rPr>
          <w:rFonts w:ascii="Arial" w:cs="Arial" w:eastAsia="Arial" w:hAnsi="Arial"/>
          <w:sz w:val="17"/>
          <w:szCs w:val="17"/>
          <w:color w:val="auto"/>
        </w:rPr>
      </w:pPr>
      <w:r>
        <w:rPr>
          <w:rFonts w:ascii="Arial" w:cs="Arial" w:eastAsia="Arial" w:hAnsi="Arial"/>
          <w:sz w:val="17"/>
          <w:szCs w:val="17"/>
          <w:color w:val="auto"/>
        </w:rPr>
        <w:t>As used herein, the term "</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applicable federal, state or local law, ordinance, or regulation relating to any Hazardous Material affecting the Project, including, without limitation, the laws, ordinances, and regulations referred to in Section 28(b) above.</w:t>
      </w:r>
    </w:p>
    <w:p>
      <w:pPr>
        <w:spacing w:after="0" w:line="142" w:lineRule="exact"/>
        <w:rPr>
          <w:rFonts w:ascii="Arial" w:cs="Arial" w:eastAsia="Arial" w:hAnsi="Arial"/>
          <w:sz w:val="17"/>
          <w:szCs w:val="17"/>
          <w:color w:val="auto"/>
        </w:rPr>
      </w:pPr>
    </w:p>
    <w:p>
      <w:pPr>
        <w:jc w:val="both"/>
        <w:ind w:firstLine="656"/>
        <w:spacing w:after="0" w:line="259" w:lineRule="auto"/>
        <w:tabs>
          <w:tab w:leader="none" w:pos="11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Landlord shall, at no cost to Tenant (and not as an Operating Cost), remove or remediate any Hazardous Material in the Project to the extent required under applicable Environmental Laws, except where such removal or remediation is Tenant's responsibility pursuant to Section 28(a) above and except that the cost of any abatement, clean-up or remediation of Hazardous Materials which exist at the Project as of the date of this Lease and required by Environmental Laws may be passed through to Tenant as an Operating Cost.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SURRENDER OF PREMISES; REMOVAL OF PROPERTY</w:t>
      </w:r>
    </w:p>
    <w:p>
      <w:pPr>
        <w:spacing w:after="0" w:line="211" w:lineRule="exact"/>
        <w:rPr>
          <w:sz w:val="20"/>
          <w:szCs w:val="20"/>
          <w:color w:val="auto"/>
        </w:rPr>
      </w:pPr>
    </w:p>
    <w:p>
      <w:pPr>
        <w:ind w:firstLine="656"/>
        <w:spacing w:after="0" w:line="277" w:lineRule="auto"/>
        <w:tabs>
          <w:tab w:leader="none" w:pos="10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voluntary or other surrender of this Lease by Tenant to Landlord, or a mutual termination hereof, shall not work a merger, and shall at the option of Landlord, operate as an assignment to it of any or all subleases or subtenancies affecting the Premises.</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109"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the expiration of the Term of this Lease, or upon any earlier termination of this Lease, Tenant shall quit and surrender possession of the Premises to Landlord in the same condition as on the Commencement Date, reasonable wear and tear and repairs which are Landlord's obligation excepted, and shall, without expense to Landlord, remove or cause to be removed from the Premises all debris and rubbish, all furniture, equipment, business and trade fixtures, free-standing cabinet work, moveable partitioning, and other articles of personal property in the Premises. Tenant shall be responsible for the cost to repair all damage to the Premises resulting from the removal of any of such items from the Premises.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0" w:name="page101"/>
    <w:bookmarkEnd w:id="100"/>
    <w:p>
      <w:pPr>
        <w:jc w:val="both"/>
        <w:ind w:firstLine="656"/>
        <w:spacing w:after="0" w:line="270" w:lineRule="auto"/>
        <w:tabs>
          <w:tab w:leader="none" w:pos="10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Whenever Landlord shall reenter the Premises as provided in Article 20 hereof, or as otherwise provided in this Lease, any property of Tenant not removed by Tenant upon the expiration of the Term of this Lease, as provided in this Lease, shall be considered abandoned and Landlord may remove any or all of such items and dispose of the same in any manner or store the same in a public warehouse or elsewhere for the account and at the expense and risk of Tenant, and if Tenant shall fail to pay the cost of storing any such property after it has been stored for a period of thirty (30) days or more, Landlord may sell any or all of such property at public or private sale, in such manner and at such times and places as Landlord, in its sole discretion, may deem proper, without notice to or demand upon Tenant, for the payment of all or any part of such charges or the removal of any such property, and shall apply the proceeds of such sale as follows: first, to the cost and expense of such sale, including reasonable attorneys' fees and costs for services rendered; second, to the payment of the cost of or charges for storing any such property; third, to the payment of any other sums of money which may then or thereafter be due to Landlord from Tenant under any of the terms hereof; and fourth, the balance, if any, to Tenant.</w:t>
      </w:r>
    </w:p>
    <w:p>
      <w:pPr>
        <w:spacing w:after="0" w:line="181" w:lineRule="exact"/>
        <w:rPr>
          <w:rFonts w:ascii="Arial" w:cs="Arial" w:eastAsia="Arial" w:hAnsi="Arial"/>
          <w:sz w:val="17"/>
          <w:szCs w:val="17"/>
          <w:color w:val="auto"/>
        </w:rPr>
      </w:pPr>
    </w:p>
    <w:p>
      <w:pPr>
        <w:jc w:val="both"/>
        <w:ind w:firstLine="656"/>
        <w:spacing w:after="0" w:line="297" w:lineRule="auto"/>
        <w:tabs>
          <w:tab w:leader="none" w:pos="10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Tenant Improvements and Alterations attached to or built into the Premises prior to or during the Term shall be and remain part of the Premises and shall not be removed by Tenant at the end of the Term unless otherwise expressly provided in Section 9(f) above. However, notwithstanding the foregoing, (i) Tenant shall be required to remove any specialized chillers, chilled water lines, compressors and liquid nitrogen tanks in accordance with all applicable Laws upon the expiration or earlier termination of this Lease, and (ii) Tenant may, but shall not be obligated to, remove the items listed on Exhibit "C" attached hereto and made a part hereof, in which case Tenant shall repair any damage to the Premises resulting from such removal.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jc w:val="both"/>
        <w:ind w:firstLine="656"/>
        <w:spacing w:after="0" w:line="253" w:lineRule="auto"/>
        <w:tabs>
          <w:tab w:leader="none" w:pos="12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ENTIRE AGREEMENT</w:t>
      </w:r>
      <w:r>
        <w:rPr>
          <w:rFonts w:ascii="Arial" w:cs="Arial" w:eastAsia="Arial" w:hAnsi="Arial"/>
          <w:sz w:val="18"/>
          <w:szCs w:val="18"/>
          <w:b w:val="1"/>
          <w:bCs w:val="1"/>
          <w:color w:val="auto"/>
        </w:rPr>
        <w:t>. ANY PROVISION OF THIS LEASE WHICH SHALL PROVE TO BE INVALID, VOID, OR ILLEGAL SHALL IN NO WAY AFFECT, IMPAIR OR INVALIDATE ANY OTHER PROVISION HEREOF AND SUCH OTHER PROVISIONS SHALL REMAIN IN FULL FORCE AND EFFECT. THIS LEASE AND THE EXHIBITS ATTACHED HERETO CONSTITUTE THE ENTIRE AGREEMENT BETWEEN THE PARTIES HERETO WITH REGARD TO TENANT'S OCCUPANCY OR USE OF ALL OR ANY PORTION OF THE PROJECT, AND NO PRIOR AGREEMENT OR UNDERSTANDING PERTAINING TO ANY SUCH MATTER SHALL BE EFFECTIVE FOR ANY PURPOSE. NO PROVISION OF THIS LEASE MAY BE AMENDED OR SUPPLEMENTED EXCEPT BY AN AGREEMENT IN WRITING SIGNED BY THE PARTIES HERETO OR THEIR SUCCESSOR IN INTEREST. THE PARTIES AGREE THAT ANY DELETION OF LANGUAGE FROM THIS LEASE PRIOR TO ITS MUTUAL EXECUTION BY LANDLORD AND TENANT SHALL NOT BE CONSTRUED TO HAVE ANY PARTICULAR MEANING OR TO RAISE ANY PRESUMPTION, CANON OF CONSTRUCTION OR IMPLICATION INCLUDING, WITHOUT LIMITATION, ANY IMPLICATION THAT THE PARTIES INTENDED THEREBY TO STATE THE CONVERSE, OBVERSE OR OPPOSITE OF THE DELETED LANGUAGE.</w:t>
      </w:r>
    </w:p>
    <w:p>
      <w:pPr>
        <w:spacing w:after="0" w:line="196" w:lineRule="exact"/>
        <w:rPr>
          <w:rFonts w:ascii="Arial" w:cs="Arial" w:eastAsia="Arial" w:hAnsi="Arial"/>
          <w:sz w:val="18"/>
          <w:szCs w:val="18"/>
          <w:b w:val="1"/>
          <w:bCs w:val="1"/>
          <w:color w:val="auto"/>
        </w:rPr>
      </w:pPr>
    </w:p>
    <w:p>
      <w:pPr>
        <w:ind w:left="1100" w:hanging="444"/>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Attorneys' Fees;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708"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 any action to enforce the terms of this Lease, including any suit by Landlord for the recovery of rent or possession of the Premises, the losing party shall pay the successful party a reasonable sum for attorneys' fees and costs in such suit and such attorneys' fees and costs shall be deemed to have accrued prior to the commencement of such action and shall be paid whether or not such action is prosecuted to judgment.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1" w:name="page102"/>
    <w:bookmarkEnd w:id="101"/>
    <w:p>
      <w:pPr>
        <w:jc w:val="both"/>
        <w:ind w:firstLine="1305"/>
        <w:spacing w:after="0" w:line="266" w:lineRule="auto"/>
        <w:tabs>
          <w:tab w:leader="none" w:pos="1803"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TO THE EXTENT PERMITTED BY LAW, EACH PARTY HEREBY WAIVES ANY RIGHT TO A TRIAL BY JURY IN ANY ACTION SEEKING SPECIFIC PERFORMANCE OF ANY PROVISION OF THIS LEASE, FOR DAMAGES FOR ANY BREACH UNDER THIS LEASE, OR OTHERWISE FOR ENFORCEMENT OF ANY RIGHT OR REMEDY HEREUNDER.</w:t>
      </w:r>
    </w:p>
    <w:p>
      <w:pPr>
        <w:spacing w:after="0" w:line="180" w:lineRule="exact"/>
        <w:rPr>
          <w:rFonts w:ascii="Arial" w:cs="Arial" w:eastAsia="Arial" w:hAnsi="Arial"/>
          <w:sz w:val="18"/>
          <w:szCs w:val="18"/>
          <w:b w:val="1"/>
          <w:bCs w:val="1"/>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Time of Essence</w:t>
      </w:r>
      <w:r>
        <w:rPr>
          <w:rFonts w:ascii="Arial" w:cs="Arial" w:eastAsia="Arial" w:hAnsi="Arial"/>
          <w:sz w:val="18"/>
          <w:szCs w:val="18"/>
          <w:color w:val="auto"/>
        </w:rPr>
        <w:t>. Time is of the essence with respect to the performance of every provision of this Lease.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9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article headings contained in this Lease are for convenience only and do not in any way limit or amplify any term or provision hereof. The terms "Landlord" and "Tenant" as used herein shall include the plural as well as the singular, and the neuter shall include the masculine and feminine genders.</w:t>
      </w:r>
    </w:p>
    <w:p>
      <w:pPr>
        <w:spacing w:after="0" w:line="177" w:lineRule="exact"/>
        <w:rPr>
          <w:rFonts w:ascii="Arial" w:cs="Arial" w:eastAsia="Arial" w:hAnsi="Arial"/>
          <w:sz w:val="18"/>
          <w:szCs w:val="18"/>
          <w:color w:val="auto"/>
        </w:rPr>
      </w:pPr>
    </w:p>
    <w:p>
      <w:pPr>
        <w:jc w:val="both"/>
        <w:ind w:firstLine="656"/>
        <w:spacing w:after="0" w:line="261" w:lineRule="auto"/>
        <w:tabs>
          <w:tab w:leader="none" w:pos="112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shall observe the reasonable and non-discriminatory rules and regulations ("</w:t>
      </w:r>
      <w:r>
        <w:rPr>
          <w:rFonts w:ascii="Arial" w:cs="Arial" w:eastAsia="Arial" w:hAnsi="Arial"/>
          <w:sz w:val="18"/>
          <w:szCs w:val="18"/>
          <w:b w:val="1"/>
          <w:bCs w:val="1"/>
          <w:color w:val="auto"/>
        </w:rPr>
        <w:t>Rules and Regulations</w:t>
      </w:r>
      <w:r>
        <w:rPr>
          <w:rFonts w:ascii="Arial" w:cs="Arial" w:eastAsia="Arial" w:hAnsi="Arial"/>
          <w:sz w:val="18"/>
          <w:szCs w:val="18"/>
          <w:color w:val="auto"/>
        </w:rPr>
        <w:t>") which Landlord may from time to time reasonably adopt by notice to Tenant for the safety, care and cleanliness of the Project, the facilities thereof, or the preservation of good order therein. Any such Rules and Regulations shall be consistent with the terms of this Lease and in the event of any inconsistency between this Lease and the Rules and Regulations, this Lease shall prevail.</w:t>
      </w:r>
    </w:p>
    <w:p>
      <w:pPr>
        <w:spacing w:after="0" w:line="184" w:lineRule="exact"/>
        <w:rPr>
          <w:rFonts w:ascii="Arial" w:cs="Arial" w:eastAsia="Arial" w:hAnsi="Arial"/>
          <w:sz w:val="18"/>
          <w:szCs w:val="18"/>
          <w:color w:val="auto"/>
        </w:rPr>
      </w:pPr>
    </w:p>
    <w:p>
      <w:pPr>
        <w:jc w:val="both"/>
        <w:ind w:firstLine="656"/>
        <w:spacing w:after="0" w:line="264" w:lineRule="auto"/>
        <w:tabs>
          <w:tab w:leader="none" w:pos="109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Quiet Possession</w:t>
      </w:r>
      <w:r>
        <w:rPr>
          <w:rFonts w:ascii="Arial" w:cs="Arial" w:eastAsia="Arial" w:hAnsi="Arial"/>
          <w:sz w:val="18"/>
          <w:szCs w:val="18"/>
          <w:color w:val="auto"/>
        </w:rPr>
        <w:t>. Upon Tenant's paying the Basic Rental, Additional Rent and other sums provided hereunder and observing and performing all of the covenants, conditions and provisions on Tenant's part to be observed and performed hereunder, Tenant shall have quiet possession of the Premises for the entire Term hereof, subject to all of the provisions of this Lease.</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All payments required to be made hereunder to Landlord shall be deemed to be rent, whether or not described as such.</w:t>
      </w:r>
    </w:p>
    <w:p>
      <w:pPr>
        <w:spacing w:after="0" w:line="225" w:lineRule="exact"/>
        <w:rPr>
          <w:rFonts w:ascii="Arial" w:cs="Arial" w:eastAsia="Arial" w:hAnsi="Arial"/>
          <w:sz w:val="18"/>
          <w:szCs w:val="18"/>
          <w:color w:val="auto"/>
        </w:rPr>
      </w:pPr>
    </w:p>
    <w:p>
      <w:pPr>
        <w:ind w:firstLine="656"/>
        <w:spacing w:after="0" w:line="308" w:lineRule="auto"/>
        <w:tabs>
          <w:tab w:leader="none" w:pos="112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Subject to the provisions of Article 15 hereof, all of the covenants, conditions and provisions of this Lease shall be binding upon and shall inure to the benefit of the parties hereto and their respective heirs, personal representatives, successors and assigns.</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04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hereunder shall be in writing and may be given by personal service evidenced by a signed receipt (or refusal to accept delivery) or sent by registered or certified mail, return receipt requested, or via overnight courier, and shall be effective upon proof of delivery (or refusal to accept delivery), addressed to Tenant at the Premises, Attn: Chief Financial Officer, or to Landlord at 65 Enterprise, Aliso Viejo, CA 92656. Either party may by notice to the other specify a different address for notice purposes.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ind w:firstLine="656"/>
        <w:spacing w:after="0" w:line="277" w:lineRule="auto"/>
        <w:tabs>
          <w:tab w:leader="none" w:pos="113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Survival of Obligations</w:t>
      </w:r>
      <w:r>
        <w:rPr>
          <w:rFonts w:ascii="Arial" w:cs="Arial" w:eastAsia="Arial" w:hAnsi="Arial"/>
          <w:sz w:val="18"/>
          <w:szCs w:val="18"/>
          <w:color w:val="auto"/>
        </w:rPr>
        <w:t>. Any obligations of Landlord or Tenant occurring prior to the expiration or earlier termination of this Lease shall survive such expiration or earlier termination.</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13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Lease shall be governed by and construed in accordance with the laws of the State of California. No conflicts of law rules of any state or country (including, without limitation, California conflicts of law rules) shall be applied to result in the application of any substantive or procedural laws of any state or country other than California. All controversies, claims, actions or causes of action arising between the parties hereto and/or their respective successors and assigns, shall be brought, heard and adjudicated by the courts of the State of California, with venue in the County in which the Project is located. Each of the parties hereto hereby consents to personal jurisdiction by the courts of the State of California in connection with any such controversy, claim, action or cause of action, and each of the parties hereto consents to service of process by any means authorized by California law and consent to the enforcement of any judgment so obtained in the courts of the State of California on the same terms and conditions as if such controversy, claim, action or cause of action had been originally heard and adjudicated to a final judgment in such courts. Each of the parties hereto further acknowledges that the laws and courts of California were freely and voluntarily chosen to govern this Lease and to adjudicate any claims or disputes hereunder.</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08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Each party certifies to the other that (i) they are not entering into this Lease, nor acting, for or on behalf of any person or entity named as a terrorist or other banned or blocked person or entity pursuant to any law, order, rule or regulation of the United States Treasury Department or the Office of Foreign Assets Control, and (ii) they shall not assign their interest in this Lease or, in the case of Tenant, sublease to any such person or entity or anyone acting on behalf of any such person or entity.</w:t>
      </w:r>
    </w:p>
    <w:p>
      <w:pPr>
        <w:spacing w:after="0" w:line="186" w:lineRule="exact"/>
        <w:rPr>
          <w:rFonts w:ascii="Arial" w:cs="Arial" w:eastAsia="Arial" w:hAnsi="Arial"/>
          <w:sz w:val="18"/>
          <w:szCs w:val="18"/>
          <w:color w:val="auto"/>
        </w:rPr>
      </w:pPr>
    </w:p>
    <w:p>
      <w:pPr>
        <w:ind w:firstLine="656"/>
        <w:spacing w:after="0" w:line="277" w:lineRule="auto"/>
        <w:tabs>
          <w:tab w:leader="none" w:pos="1133"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California Certified Access Specialist Inspection</w:t>
      </w:r>
      <w:r>
        <w:rPr>
          <w:rFonts w:ascii="Arial" w:cs="Arial" w:eastAsia="Arial" w:hAnsi="Arial"/>
          <w:sz w:val="18"/>
          <w:szCs w:val="18"/>
          <w:color w:val="auto"/>
        </w:rPr>
        <w:t>. Landlord hereby informs Tenant that the Project has not undergone inspection by a Certified Access Specialist (as defined in the California Code of Regulations).</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20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Exterior Equipment</w:t>
      </w:r>
      <w:r>
        <w:rPr>
          <w:rFonts w:ascii="Arial" w:cs="Arial" w:eastAsia="Arial" w:hAnsi="Arial"/>
          <w:sz w:val="16"/>
          <w:szCs w:val="16"/>
          <w:color w:val="auto"/>
        </w:rPr>
        <w:t>. Throughout the Term of this Lease (as may be extended), Tenant shall be entitled to maintain any existing backup generators serving the Premises and, subject to Landlord's prior approval of all plans and specifications, which approval shall not be unreasonably withheld, Landlord shall permit Tenant to install and maintain, at Tenant's sole cost and expense, a new backup generator at a location reasonably approved by Landlord (collectively, "</w:t>
      </w:r>
      <w:r>
        <w:rPr>
          <w:rFonts w:ascii="Arial" w:cs="Arial" w:eastAsia="Arial" w:hAnsi="Arial"/>
          <w:sz w:val="16"/>
          <w:szCs w:val="16"/>
          <w:b w:val="1"/>
          <w:bCs w:val="1"/>
          <w:color w:val="auto"/>
        </w:rPr>
        <w:t>Backup Generators</w:t>
      </w:r>
      <w:r>
        <w:rPr>
          <w:rFonts w:ascii="Arial" w:cs="Arial" w:eastAsia="Arial" w:hAnsi="Arial"/>
          <w:sz w:val="16"/>
          <w:szCs w:val="16"/>
          <w:color w:val="auto"/>
        </w:rPr>
        <w:t>"). Such Backup Generators shall be used by Tenant during (i) testing and regular maintenance, and (ii) any period of electrical power outage in the Project. Tenant shall ensure that the Backup Generators do not result in Hazardous Materials contamination (and Section 28(a) will apply to Tenant's use of Backup Generators) and Tenant shall be responsible for ensuring that the Backup Generators do not unreasonably interfere with the use of the Project by other tenants. Furthermore, throughout the Term of this Lease (as may be extended), Tenant shall be entitled to maintain and Landlord shall not disturb any existing air compressors, air tanks, and pipes for chilled water, vacuum and liquid nitrogen inside and outside of the Premises (together with the Backup Generators, collectively, "</w:t>
      </w:r>
      <w:r>
        <w:rPr>
          <w:rFonts w:ascii="Arial" w:cs="Arial" w:eastAsia="Arial" w:hAnsi="Arial"/>
          <w:sz w:val="16"/>
          <w:szCs w:val="16"/>
          <w:b w:val="1"/>
          <w:bCs w:val="1"/>
          <w:color w:val="auto"/>
        </w:rPr>
        <w:t>Exterior Equipment</w:t>
      </w:r>
      <w:r>
        <w:rPr>
          <w:rFonts w:ascii="Arial" w:cs="Arial" w:eastAsia="Arial" w:hAnsi="Arial"/>
          <w:sz w:val="16"/>
          <w:szCs w:val="16"/>
          <w:color w:val="auto"/>
        </w:rPr>
        <w:t>"); provided that Tenant, at Tenant's cost, shall maintain all such equipment in good condition and repair and in compliance with all applicable Laws. Upon expiration or earlier termination of this Lease, except as expressly provided in Section 29(d) above, the Exterior Equipment shall not be removed by Tenant and shall be left in place.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jc w:val="both"/>
        <w:ind w:firstLine="656"/>
        <w:spacing w:after="0" w:line="268" w:lineRule="auto"/>
        <w:tabs>
          <w:tab w:leader="none" w:pos="119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Landlord Lien Waiver/Equipment Financing</w:t>
      </w:r>
      <w:r>
        <w:rPr>
          <w:rFonts w:ascii="Arial" w:cs="Arial" w:eastAsia="Arial" w:hAnsi="Arial"/>
          <w:sz w:val="17"/>
          <w:szCs w:val="17"/>
          <w:color w:val="auto"/>
        </w:rPr>
        <w:t>. Landlord acknowledges that some of Tenant's furniture, trade fixtures, equipment and other personal property (collectively "</w:t>
      </w:r>
      <w:r>
        <w:rPr>
          <w:rFonts w:ascii="Arial" w:cs="Arial" w:eastAsia="Arial" w:hAnsi="Arial"/>
          <w:sz w:val="17"/>
          <w:szCs w:val="17"/>
          <w:b w:val="1"/>
          <w:bCs w:val="1"/>
          <w:color w:val="auto"/>
        </w:rPr>
        <w:t>Tenant's Property</w:t>
      </w:r>
      <w:r>
        <w:rPr>
          <w:rFonts w:ascii="Arial" w:cs="Arial" w:eastAsia="Arial" w:hAnsi="Arial"/>
          <w:sz w:val="17"/>
          <w:szCs w:val="17"/>
          <w:color w:val="auto"/>
        </w:rPr>
        <w:t>") installed and used by Tenant on the Premises may be financed by a third-party lender or lessor (collectively, an "</w:t>
      </w:r>
      <w:r>
        <w:rPr>
          <w:rFonts w:ascii="Arial" w:cs="Arial" w:eastAsia="Arial" w:hAnsi="Arial"/>
          <w:sz w:val="17"/>
          <w:szCs w:val="17"/>
          <w:b w:val="1"/>
          <w:bCs w:val="1"/>
          <w:color w:val="auto"/>
        </w:rPr>
        <w:t>Equipment Lienor</w:t>
      </w:r>
      <w:r>
        <w:rPr>
          <w:rFonts w:ascii="Arial" w:cs="Arial" w:eastAsia="Arial" w:hAnsi="Arial"/>
          <w:sz w:val="17"/>
          <w:szCs w:val="17"/>
          <w:color w:val="auto"/>
        </w:rPr>
        <w:t>"), and Landlord hereby agrees to recognize the rights of any such Equipment Lienor to remove Tenant's Property from the Premises during the Lease Term (or any Option Term, if applicable), subject to the Lienor Requirements below. Landlord agrees that all of Tenant's Property installed or to be installed on the Premises shall be and remain personal property and not real property. Landlord waives the right of distraint and agrees that it does not have and shall not assert any right, lien or claim in or to the financed or leased Tenant's Property, and agrees that, subject to the Lienor Requirements, any Equipment Lienor may remove and dispose of such financed or leased Tenant's Property, without reference to, and free and clear of, any demand of Landlord. Upon Tenant's request, Landlord shall promptly execute and deliver to Tenant a form of Landlord's waiver reasonably acceptable to Landlord in favor of any Equipment Lienor; provided, however, that any such document must provide the following (collectively, the "</w:t>
      </w:r>
      <w:r>
        <w:rPr>
          <w:rFonts w:ascii="Arial" w:cs="Arial" w:eastAsia="Arial" w:hAnsi="Arial"/>
          <w:sz w:val="17"/>
          <w:szCs w:val="17"/>
          <w:b w:val="1"/>
          <w:bCs w:val="1"/>
          <w:color w:val="auto"/>
        </w:rPr>
        <w:t>Lienor</w:t>
      </w:r>
      <w:r>
        <w:rPr>
          <w:rFonts w:ascii="Arial" w:cs="Arial" w:eastAsia="Arial" w:hAnsi="Arial"/>
          <w:sz w:val="17"/>
          <w:szCs w:val="17"/>
          <w:color w:val="auto"/>
        </w:rPr>
        <w:t xml:space="preserve"> </w:t>
      </w:r>
      <w:r>
        <w:rPr>
          <w:rFonts w:ascii="Arial" w:cs="Arial" w:eastAsia="Arial" w:hAnsi="Arial"/>
          <w:sz w:val="17"/>
          <w:szCs w:val="17"/>
          <w:b w:val="1"/>
          <w:bCs w:val="1"/>
          <w:color w:val="auto"/>
        </w:rPr>
        <w:t>Requirements</w:t>
      </w:r>
      <w:r>
        <w:rPr>
          <w:rFonts w:ascii="Arial" w:cs="Arial" w:eastAsia="Arial" w:hAnsi="Arial"/>
          <w:sz w:val="17"/>
          <w:szCs w:val="17"/>
          <w:color w:val="auto"/>
        </w:rPr>
        <w:t>"): (i) such lender shall not have the right to place a lien on, nor remove, any Tenant Improvements, any Alterations, any item which is a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realty or any other item which has been permanently affixed to the Premises or the Project, (ii) any such Equipment Lienor must agree to repair any damage to the Premises and the Project resulting from such removal and to indemnify, defend and hold Landlord harmless from any and all loss, cost, damage, expense and liability (including without limitation court costs and reasonable attorneys' fees) incurred in connection with or arising from such Equipment Lienor's exercise of its rights under such lien and/or removal of any such items from the Premises, and (iii) no such Equipment Lienor shall be entitled to dispose of, sell or auction any such item at the Premises or the Project.</w:t>
      </w:r>
    </w:p>
    <w:p>
      <w:pPr>
        <w:spacing w:after="0" w:line="183" w:lineRule="exact"/>
        <w:rPr>
          <w:rFonts w:ascii="Arial" w:cs="Arial" w:eastAsia="Arial" w:hAnsi="Arial"/>
          <w:sz w:val="17"/>
          <w:szCs w:val="17"/>
          <w:color w:val="auto"/>
        </w:rPr>
      </w:pPr>
    </w:p>
    <w:p>
      <w:pPr>
        <w:jc w:val="both"/>
        <w:ind w:firstLine="656"/>
        <w:spacing w:after="0" w:line="290" w:lineRule="auto"/>
        <w:tabs>
          <w:tab w:leader="none" w:pos="115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Communication Equipment</w:t>
      </w:r>
      <w:r>
        <w:rPr>
          <w:rFonts w:ascii="Arial" w:cs="Arial" w:eastAsia="Arial" w:hAnsi="Arial"/>
          <w:sz w:val="16"/>
          <w:szCs w:val="16"/>
          <w:color w:val="auto"/>
        </w:rPr>
        <w:t>. Subject to Tenant's compliance with all Laws, Tenant and Tenant's contractors (which shall first be reasonably approved by Landlord) shall have the right and access to install, repair, replace, remove, operate and maintain satellite dishes or other similar devices, such as antennae (collectively, "</w:t>
      </w:r>
      <w:r>
        <w:rPr>
          <w:rFonts w:ascii="Arial" w:cs="Arial" w:eastAsia="Arial" w:hAnsi="Arial"/>
          <w:sz w:val="16"/>
          <w:szCs w:val="16"/>
          <w:b w:val="1"/>
          <w:bCs w:val="1"/>
          <w:color w:val="auto"/>
        </w:rPr>
        <w:t>Communication Equipment</w:t>
      </w:r>
      <w:r>
        <w:rPr>
          <w:rFonts w:ascii="Arial" w:cs="Arial" w:eastAsia="Arial" w:hAnsi="Arial"/>
          <w:sz w:val="16"/>
          <w:szCs w:val="16"/>
          <w:color w:val="auto"/>
        </w:rPr>
        <w:t>") and all cable, wiring, conduits and related equipment, for the purpose of receiving and sending radio, television, computer, telephone or other communication signals, at location(s) on the roof of the Project designated by Tenant and reasonably approved by Landlord; provided that (1) Tenant maintains all such equipment in good condition and repair and in a manner that will not unreasonable interfere with other tenants' operations in the Project, and (2) Tenant takes no action that will invalidate any roof warranties. If penetration of the roof cannot be avoided, Tenant shall retain Landlord's designated roofing contractor to make any necessary penetrations and associated repairs to the roof in order to preserve Landlord's roof warranty. Tenant's installation and operation of the Communication Equipment shall be governed by the following terms and conditions:</w:t>
      </w:r>
    </w:p>
    <w:p>
      <w:pPr>
        <w:spacing w:after="0" w:line="166" w:lineRule="exact"/>
        <w:rPr>
          <w:rFonts w:ascii="Arial" w:cs="Arial" w:eastAsia="Arial" w:hAnsi="Arial"/>
          <w:sz w:val="16"/>
          <w:szCs w:val="16"/>
          <w:color w:val="auto"/>
        </w:rPr>
      </w:pPr>
    </w:p>
    <w:p>
      <w:pPr>
        <w:ind w:left="1680" w:hanging="375"/>
        <w:spacing w:after="0"/>
        <w:tabs>
          <w:tab w:leader="none" w:pos="16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plans and specifications for the Communication Equipment shall be subject to Landlord's reasonable approval.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ind w:right="20" w:firstLine="1305"/>
        <w:spacing w:after="0" w:line="308" w:lineRule="auto"/>
        <w:tabs>
          <w:tab w:leader="none" w:pos="1924"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costs of installation, operation and maintenance of the Communication Equipment and any necessary related equipment (including, without limitation, costs of obtaining any necessary permits and connections to the Project's electrical system) shall be borne by Tenant.</w:t>
      </w:r>
    </w:p>
    <w:p>
      <w:pPr>
        <w:spacing w:after="0" w:line="146" w:lineRule="exact"/>
        <w:rPr>
          <w:rFonts w:ascii="Arial" w:cs="Arial" w:eastAsia="Arial" w:hAnsi="Arial"/>
          <w:sz w:val="17"/>
          <w:szCs w:val="17"/>
          <w:color w:val="auto"/>
        </w:rPr>
      </w:pPr>
    </w:p>
    <w:p>
      <w:pPr>
        <w:ind w:firstLine="1305"/>
        <w:spacing w:after="0" w:line="308" w:lineRule="auto"/>
        <w:tabs>
          <w:tab w:leader="none" w:pos="1801" w:val="left"/>
        </w:tabs>
        <w:numPr>
          <w:ilvl w:val="1"/>
          <w:numId w:val="69"/>
        </w:numPr>
        <w:rPr>
          <w:rFonts w:ascii="Arial" w:cs="Arial" w:eastAsia="Arial" w:hAnsi="Arial"/>
          <w:sz w:val="17"/>
          <w:szCs w:val="17"/>
          <w:color w:val="auto"/>
        </w:rPr>
      </w:pPr>
      <w:r>
        <w:rPr>
          <w:rFonts w:ascii="Arial" w:cs="Arial" w:eastAsia="Arial" w:hAnsi="Arial"/>
          <w:sz w:val="17"/>
          <w:szCs w:val="17"/>
          <w:color w:val="auto"/>
        </w:rPr>
        <w:t>Tenant shall use the Communication Equipment so as not to cause any interference to other tenants in the Project, and not to damage the Project or interfere with the normal operation of the Project and shall use the Communication Equipment solely for its use in the Premises.</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859" w:val="left"/>
        </w:tabs>
        <w:numPr>
          <w:ilvl w:val="1"/>
          <w:numId w:val="69"/>
        </w:numPr>
        <w:rPr>
          <w:rFonts w:ascii="Arial" w:cs="Arial" w:eastAsia="Arial" w:hAnsi="Arial"/>
          <w:sz w:val="18"/>
          <w:szCs w:val="18"/>
          <w:color w:val="auto"/>
        </w:rPr>
      </w:pPr>
      <w:r>
        <w:rPr>
          <w:rFonts w:ascii="Arial" w:cs="Arial" w:eastAsia="Arial" w:hAnsi="Arial"/>
          <w:sz w:val="18"/>
          <w:szCs w:val="18"/>
          <w:color w:val="auto"/>
        </w:rPr>
        <w:t>Tenant shall (A) promptly pay any tax, license or permit fees charged pursuant to any laws or regulations in connection with the installation, maintenance or use of the Communication Equipment, and (B) pay for all necessary repairs, replacements to or maintenance of the Communication Equipment.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Communication Equipment shall remain the sole property of Tenant. Tenant shall remove the Communication Equipment and related equipment at Tenant's sole cost and expense upon the expiration or sooner termination of this Lease, and shall repair the Project upon such removal to the extent required by such work of removal.</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Exhibits attached hereto are incorporated herein by this reference as if fully set forth herein.</w:t>
      </w:r>
    </w:p>
    <w:p>
      <w:pPr>
        <w:spacing w:after="0" w:line="225" w:lineRule="exact"/>
        <w:rPr>
          <w:rFonts w:ascii="Arial" w:cs="Arial" w:eastAsia="Arial" w:hAnsi="Arial"/>
          <w:sz w:val="18"/>
          <w:szCs w:val="18"/>
          <w:color w:val="auto"/>
        </w:rPr>
      </w:pPr>
    </w:p>
    <w:p>
      <w:pPr>
        <w:ind w:right="20" w:firstLine="656"/>
        <w:spacing w:after="0" w:line="277" w:lineRule="auto"/>
        <w:tabs>
          <w:tab w:leader="none" w:pos="114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Lease may be executed in counterparts, each of which shall be deemed an original, but such counterparts, when taken together, shall constitute one agreement.</w:t>
      </w:r>
    </w:p>
    <w:p>
      <w:pPr>
        <w:spacing w:after="0" w:line="166" w:lineRule="exact"/>
        <w:rPr>
          <w:rFonts w:ascii="Arial" w:cs="Arial" w:eastAsia="Arial" w:hAnsi="Arial"/>
          <w:sz w:val="18"/>
          <w:szCs w:val="18"/>
          <w:color w:val="auto"/>
        </w:rPr>
      </w:pPr>
    </w:p>
    <w:p>
      <w:pPr>
        <w:jc w:val="both"/>
        <w:ind w:firstLine="656"/>
        <w:spacing w:after="0" w:line="292" w:lineRule="auto"/>
        <w:tabs>
          <w:tab w:leader="none" w:pos="109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REIT Compliance</w:t>
      </w:r>
      <w:r>
        <w:rPr>
          <w:rFonts w:ascii="Arial" w:cs="Arial" w:eastAsia="Arial" w:hAnsi="Arial"/>
          <w:sz w:val="16"/>
          <w:szCs w:val="16"/>
          <w:color w:val="auto"/>
        </w:rPr>
        <w:t>. Tenant acknowledges that it has been informed that Atlantic CT REIT,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 affiliate of Landlord, elects to be taxed as a real estate investment trust (a "</w:t>
      </w:r>
      <w:r>
        <w:rPr>
          <w:rFonts w:ascii="Arial" w:cs="Arial" w:eastAsia="Arial" w:hAnsi="Arial"/>
          <w:sz w:val="16"/>
          <w:szCs w:val="16"/>
          <w:b w:val="1"/>
          <w:bCs w:val="1"/>
          <w:color w:val="auto"/>
        </w:rPr>
        <w:t>REIT</w:t>
      </w:r>
      <w:r>
        <w:rPr>
          <w:rFonts w:ascii="Arial" w:cs="Arial" w:eastAsia="Arial" w:hAnsi="Arial"/>
          <w:sz w:val="16"/>
          <w:szCs w:val="16"/>
          <w:color w:val="auto"/>
        </w:rPr>
        <w:t>") under the Code. Therefore, notwithstanding anything to the contrary in this Lease, Tenant shall not take any action, or permit any status to exist at the Premises, which (i) Tenant has been notified would adversely affect the Company's status as a REIT, and (ii) is not permitted under this Lease. Tenant hereby agrees to modifications of this Lease required to retain or clarify the Company's status as a REIT, provided such modifications: (a) are reasonable, (b) do not adversely affect Tenant's use of the Premises as herein permitted, and (c) do not increase the Basic Rental, Additional Rent or other sums to be paid by Tenant. Landlord may submit to Tenant an amendment to this Lease incorporating such required modifications, and Tenant shall execute, acknowledge and deliver such amendment to Landlord within thirty (30) days after Tenant's receipt thereof.</w:t>
      </w:r>
    </w:p>
    <w:p>
      <w:pPr>
        <w:spacing w:after="0" w:line="165" w:lineRule="exact"/>
        <w:rPr>
          <w:rFonts w:ascii="Arial" w:cs="Arial" w:eastAsia="Arial" w:hAnsi="Arial"/>
          <w:sz w:val="16"/>
          <w:szCs w:val="16"/>
          <w:color w:val="auto"/>
        </w:rPr>
      </w:pPr>
    </w:p>
    <w:p>
      <w:pPr>
        <w:ind w:firstLine="656"/>
        <w:spacing w:after="0" w:line="277" w:lineRule="auto"/>
        <w:tabs>
          <w:tab w:leader="none" w:pos="111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Recording</w:t>
      </w:r>
      <w:r>
        <w:rPr>
          <w:rFonts w:ascii="Arial" w:cs="Arial" w:eastAsia="Arial" w:hAnsi="Arial"/>
          <w:sz w:val="18"/>
          <w:szCs w:val="18"/>
          <w:color w:val="auto"/>
        </w:rPr>
        <w:t>. Neither this Lease nor any memorandum thereof shall be recorded by or on behalf of Tenant in any real property records or other public records without the prior written consent of Landlord, which may be withheld in Landlord's sole and absolute discretion.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u w:val="single" w:color="auto"/>
          <w:color w:val="auto"/>
        </w:rPr>
        <w:t>ARTICLE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TO EXTEND</w:t>
      </w:r>
    </w:p>
    <w:p>
      <w:pPr>
        <w:spacing w:after="0" w:line="211" w:lineRule="exact"/>
        <w:rPr>
          <w:sz w:val="20"/>
          <w:szCs w:val="20"/>
          <w:color w:val="auto"/>
        </w:rPr>
      </w:pPr>
    </w:p>
    <w:p>
      <w:pPr>
        <w:jc w:val="both"/>
        <w:ind w:firstLine="656"/>
        <w:spacing w:after="0" w:line="293" w:lineRule="auto"/>
        <w:tabs>
          <w:tab w:leader="none" w:pos="114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Option Right</w:t>
      </w:r>
      <w:r>
        <w:rPr>
          <w:rFonts w:ascii="Arial" w:cs="Arial" w:eastAsia="Arial" w:hAnsi="Arial"/>
          <w:sz w:val="16"/>
          <w:szCs w:val="16"/>
          <w:color w:val="auto"/>
        </w:rPr>
        <w:t>. Provided that Tenant is not then in material default under this Lease after expiration of any applicable cure period, Landlord hereby grants the Tenant named in this Lease (the "</w:t>
      </w:r>
      <w:r>
        <w:rPr>
          <w:rFonts w:ascii="Arial" w:cs="Arial" w:eastAsia="Arial" w:hAnsi="Arial"/>
          <w:sz w:val="16"/>
          <w:szCs w:val="16"/>
          <w:b w:val="1"/>
          <w:bCs w:val="1"/>
          <w:color w:val="auto"/>
        </w:rPr>
        <w:t>Original Tenant</w:t>
      </w:r>
      <w:r>
        <w:rPr>
          <w:rFonts w:ascii="Arial" w:cs="Arial" w:eastAsia="Arial" w:hAnsi="Arial"/>
          <w:sz w:val="16"/>
          <w:szCs w:val="16"/>
          <w:color w:val="auto"/>
        </w:rPr>
        <w:t>") or any Affiliated Assignee two (2) options ("</w:t>
      </w:r>
      <w:r>
        <w:rPr>
          <w:rFonts w:ascii="Arial" w:cs="Arial" w:eastAsia="Arial" w:hAnsi="Arial"/>
          <w:sz w:val="16"/>
          <w:szCs w:val="16"/>
          <w:b w:val="1"/>
          <w:bCs w:val="1"/>
          <w:color w:val="auto"/>
        </w:rPr>
        <w:t>Options</w:t>
      </w:r>
      <w:r>
        <w:rPr>
          <w:rFonts w:ascii="Arial" w:cs="Arial" w:eastAsia="Arial" w:hAnsi="Arial"/>
          <w:sz w:val="16"/>
          <w:szCs w:val="16"/>
          <w:color w:val="auto"/>
        </w:rPr>
        <w:t>") to extend the Term (or first Option Term, as applicable) for the entire Premises for a period of five (5) years each ("</w:t>
      </w:r>
      <w:r>
        <w:rPr>
          <w:rFonts w:ascii="Arial" w:cs="Arial" w:eastAsia="Arial" w:hAnsi="Arial"/>
          <w:sz w:val="16"/>
          <w:szCs w:val="16"/>
          <w:b w:val="1"/>
          <w:bCs w:val="1"/>
          <w:color w:val="auto"/>
        </w:rPr>
        <w:t>Option Terms</w:t>
      </w:r>
      <w:r>
        <w:rPr>
          <w:rFonts w:ascii="Arial" w:cs="Arial" w:eastAsia="Arial" w:hAnsi="Arial"/>
          <w:sz w:val="16"/>
          <w:szCs w:val="16"/>
          <w:color w:val="auto"/>
        </w:rPr>
        <w:t>"), which Options shall be exercisable only by written notice delivered by Tenant to Landlord as set forth below. The rights contained in this Article 31 shall be personal to the Original Tenant and any Affiliated Assignee and may only be exercised by the Original Tenant or any Affiliated Assignee (and not any other transferee) if the Premises is not subject to a sublease to other than Affiliate of greater than twenty percent (20%) of the Premises as of the date of Tenant's Acceptance (as defined in Section 31(c) below).</w:t>
      </w:r>
    </w:p>
    <w:p>
      <w:pPr>
        <w:spacing w:after="0" w:line="160" w:lineRule="exact"/>
        <w:rPr>
          <w:rFonts w:ascii="Arial" w:cs="Arial" w:eastAsia="Arial" w:hAnsi="Arial"/>
          <w:sz w:val="16"/>
          <w:szCs w:val="16"/>
          <w:color w:val="auto"/>
        </w:rPr>
      </w:pPr>
    </w:p>
    <w:p>
      <w:pPr>
        <w:jc w:val="both"/>
        <w:ind w:firstLine="656"/>
        <w:spacing w:after="0" w:line="274" w:lineRule="auto"/>
        <w:tabs>
          <w:tab w:leader="none" w:pos="1178"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Option Rent</w:t>
      </w:r>
      <w:r>
        <w:rPr>
          <w:rFonts w:ascii="Arial" w:cs="Arial" w:eastAsia="Arial" w:hAnsi="Arial"/>
          <w:sz w:val="17"/>
          <w:szCs w:val="17"/>
          <w:color w:val="auto"/>
        </w:rPr>
        <w:t>. The rent payable by Tenant during the Option Term ("</w:t>
      </w:r>
      <w:r>
        <w:rPr>
          <w:rFonts w:ascii="Arial" w:cs="Arial" w:eastAsia="Arial" w:hAnsi="Arial"/>
          <w:sz w:val="17"/>
          <w:szCs w:val="17"/>
          <w:b w:val="1"/>
          <w:bCs w:val="1"/>
          <w:color w:val="auto"/>
        </w:rPr>
        <w:t>Option Rent</w:t>
      </w:r>
      <w:r>
        <w:rPr>
          <w:rFonts w:ascii="Arial" w:cs="Arial" w:eastAsia="Arial" w:hAnsi="Arial"/>
          <w:sz w:val="17"/>
          <w:szCs w:val="17"/>
          <w:color w:val="auto"/>
        </w:rPr>
        <w:t>") shall be equal to the "Market Rent" (defined below). "</w:t>
      </w:r>
      <w:r>
        <w:rPr>
          <w:rFonts w:ascii="Arial" w:cs="Arial" w:eastAsia="Arial" w:hAnsi="Arial"/>
          <w:sz w:val="17"/>
          <w:szCs w:val="17"/>
          <w:b w:val="1"/>
          <w:bCs w:val="1"/>
          <w:color w:val="auto"/>
        </w:rPr>
        <w:t>Market Rent</w:t>
      </w:r>
      <w:r>
        <w:rPr>
          <w:rFonts w:ascii="Arial" w:cs="Arial" w:eastAsia="Arial" w:hAnsi="Arial"/>
          <w:sz w:val="17"/>
          <w:szCs w:val="17"/>
          <w:color w:val="auto"/>
        </w:rPr>
        <w:t>" shall mean the applicable Monthly Basic Rental at which tenants, as of the commencement of the Option Term, are entering into leases for non-sublease space which is comparable in size, location and quality to the Premises in new and renewal transactions, for a term comparable to the Option Term, which comparable space is located in buildings comparable to the Project in Poway, California, taking into consideration any applicable concessions including, without limitation, free rent, improvements and improvement allowances, and also taking into consideration the value of the existing improvements in the Premises as compared to the value of the existing improvements in such comparable space.</w:t>
      </w:r>
    </w:p>
    <w:p>
      <w:pPr>
        <w:spacing w:after="0" w:line="173" w:lineRule="exact"/>
        <w:rPr>
          <w:rFonts w:ascii="Arial" w:cs="Arial" w:eastAsia="Arial" w:hAnsi="Arial"/>
          <w:sz w:val="17"/>
          <w:szCs w:val="17"/>
          <w:color w:val="auto"/>
        </w:rPr>
      </w:pPr>
    </w:p>
    <w:p>
      <w:pPr>
        <w:jc w:val="both"/>
        <w:ind w:firstLine="656"/>
        <w:spacing w:after="0" w:line="270" w:lineRule="auto"/>
        <w:tabs>
          <w:tab w:leader="none" w:pos="114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Exercise of Options</w:t>
      </w:r>
      <w:r>
        <w:rPr>
          <w:rFonts w:ascii="Arial" w:cs="Arial" w:eastAsia="Arial" w:hAnsi="Arial"/>
          <w:sz w:val="17"/>
          <w:szCs w:val="17"/>
          <w:color w:val="auto"/>
        </w:rPr>
        <w:t>. The Options shall be exercised by Tenant by delivering written notice ("</w:t>
      </w:r>
      <w:r>
        <w:rPr>
          <w:rFonts w:ascii="Arial" w:cs="Arial" w:eastAsia="Arial" w:hAnsi="Arial"/>
          <w:sz w:val="17"/>
          <w:szCs w:val="17"/>
          <w:b w:val="1"/>
          <w:bCs w:val="1"/>
          <w:color w:val="auto"/>
        </w:rPr>
        <w:t>Tenant's Acceptance</w:t>
      </w:r>
      <w:r>
        <w:rPr>
          <w:rFonts w:ascii="Arial" w:cs="Arial" w:eastAsia="Arial" w:hAnsi="Arial"/>
          <w:sz w:val="17"/>
          <w:szCs w:val="17"/>
          <w:color w:val="auto"/>
        </w:rPr>
        <w:t>") to Landlord not more than twelve (12) months nor less than nine (9) months prior to the expiration of the Term (or first Option Term, as applicable). Within fifteen (15) business days of Landlord's receipt of Tenant's written notice, Landlord shall deliver notice ("</w:t>
      </w:r>
      <w:r>
        <w:rPr>
          <w:rFonts w:ascii="Arial" w:cs="Arial" w:eastAsia="Arial" w:hAnsi="Arial"/>
          <w:sz w:val="17"/>
          <w:szCs w:val="17"/>
          <w:b w:val="1"/>
          <w:bCs w:val="1"/>
          <w:color w:val="auto"/>
        </w:rPr>
        <w:t>Option Rent Notice</w:t>
      </w:r>
      <w:r>
        <w:rPr>
          <w:rFonts w:ascii="Arial" w:cs="Arial" w:eastAsia="Arial" w:hAnsi="Arial"/>
          <w:sz w:val="17"/>
          <w:szCs w:val="17"/>
          <w:color w:val="auto"/>
        </w:rPr>
        <w:t>") to Tenant setting forth Landlord's determination of the Option Rent. Tenant may, at its option, within fifteen (15) business days of receiving Landlord's Option Rent Notice, object to Landlord's determination of the Option Rent contained in the Option Rent Notice by written notice ("</w:t>
      </w:r>
      <w:r>
        <w:rPr>
          <w:rFonts w:ascii="Arial" w:cs="Arial" w:eastAsia="Arial" w:hAnsi="Arial"/>
          <w:sz w:val="17"/>
          <w:szCs w:val="17"/>
          <w:b w:val="1"/>
          <w:bCs w:val="1"/>
          <w:color w:val="auto"/>
        </w:rPr>
        <w:t>Objection Notice</w:t>
      </w:r>
      <w:r>
        <w:rPr>
          <w:rFonts w:ascii="Arial" w:cs="Arial" w:eastAsia="Arial" w:hAnsi="Arial"/>
          <w:sz w:val="17"/>
          <w:szCs w:val="17"/>
          <w:color w:val="auto"/>
        </w:rPr>
        <w:t>") to Landlord. Tenant's failure to deliver the Tenant's Obligation Notice on or before the date specified above shall be deemed to constitute Tenant's approval of the terms set forth in the Option Rent Notice. If Tenant timely and properly exercises its Option, the Term (or first Option Term, as applicable) shall be extended for the Option Term upon all of the terms and conditions set forth in this Lease, except that the rent for the Option Term shall be as indicated in the Option Rent Notice unless Tenant objects to the Option Rent contained in the Option Rent Notice within the timeframe set forth above, in which case the parties shall follow the procedure and the Option Rent shall be determined, as set forth in Section 31(d) below.</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08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Determination of Market Rent</w:t>
      </w:r>
      <w:r>
        <w:rPr>
          <w:rFonts w:ascii="Arial" w:cs="Arial" w:eastAsia="Arial" w:hAnsi="Arial"/>
          <w:sz w:val="18"/>
          <w:szCs w:val="18"/>
          <w:color w:val="auto"/>
        </w:rPr>
        <w:t>. If Tenant timely objects to the Market Rent as provided above, Landlord and Tenant shall attempt to agree upon the Market Rent using their best good-faith efforts. If Landlord and Tenant fail to reach agreement within thirty (30) days following Tenant's Acceptance ("</w:t>
      </w:r>
      <w:r>
        <w:rPr>
          <w:rFonts w:ascii="Arial" w:cs="Arial" w:eastAsia="Arial" w:hAnsi="Arial"/>
          <w:sz w:val="18"/>
          <w:szCs w:val="18"/>
          <w:b w:val="1"/>
          <w:bCs w:val="1"/>
          <w:color w:val="auto"/>
        </w:rPr>
        <w:t>Outside Agreement Date</w:t>
      </w:r>
      <w:r>
        <w:rPr>
          <w:rFonts w:ascii="Arial" w:cs="Arial" w:eastAsia="Arial" w:hAnsi="Arial"/>
          <w:sz w:val="18"/>
          <w:szCs w:val="18"/>
          <w:color w:val="auto"/>
        </w:rPr>
        <w:t>"), then Tenant shall make a separate determination of the Market Rent which shall be submitted to Landlord, and Tenant's determination of Market Rent and Landlord's determination of Market Rent as set forth in the Option Rent Notice shall be submitted to arbitration in accordance with the following items (i) through (vii):</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6" w:name="page107"/>
    <w:bookmarkEnd w:id="106"/>
    <w:p>
      <w:pPr>
        <w:jc w:val="both"/>
        <w:ind w:firstLine="1305"/>
        <w:spacing w:after="0" w:line="276" w:lineRule="auto"/>
        <w:tabs>
          <w:tab w:leader="none" w:pos="1691" w:val="left"/>
        </w:tabs>
        <w:numPr>
          <w:ilvl w:val="0"/>
          <w:numId w:val="72"/>
        </w:numPr>
        <w:rPr>
          <w:rFonts w:ascii="Arial" w:cs="Arial" w:eastAsia="Arial" w:hAnsi="Arial"/>
          <w:sz w:val="17"/>
          <w:szCs w:val="17"/>
          <w:color w:val="auto"/>
        </w:rPr>
      </w:pPr>
      <w:r>
        <w:rPr>
          <w:rFonts w:ascii="Arial" w:cs="Arial" w:eastAsia="Arial" w:hAnsi="Arial"/>
          <w:sz w:val="17"/>
          <w:szCs w:val="17"/>
          <w:color w:val="auto"/>
        </w:rPr>
        <w:t>Landlord and Tenant shall each appoint, within ten (10) days of the Outside Agreement Date, one arbitrator who shall by profession be a current real estate broker or appraiser of comparable commercial properties in the immediate vicinity of the Project, and who has been active in such field over the last ten (10) years. The determination of the arbitrators shall be limited solely to the issue of whether Landlord's or Tenant's submitted Market Rent is the closest to the actual Market Rent as determined by the arbitrators, taking into account the requirements of item (b), above (i.e., the arbitrators may only select Landlord's or Tenant's determination of Market Rent and shall not be entitled to make a compromise determination).</w:t>
      </w:r>
    </w:p>
    <w:p>
      <w:pPr>
        <w:spacing w:after="0" w:line="172" w:lineRule="exact"/>
        <w:rPr>
          <w:rFonts w:ascii="Arial" w:cs="Arial" w:eastAsia="Arial" w:hAnsi="Arial"/>
          <w:sz w:val="17"/>
          <w:szCs w:val="17"/>
          <w:color w:val="auto"/>
        </w:rPr>
      </w:pPr>
    </w:p>
    <w:p>
      <w:pPr>
        <w:ind w:right="20" w:firstLine="1305"/>
        <w:spacing w:after="0" w:line="342" w:lineRule="auto"/>
        <w:tabs>
          <w:tab w:leader="none" w:pos="17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two (2) arbitrators so appointed shall within five (5) business days of the date of the appointment of the last appointed arbitrator agree upon and appoint a third arbitrator who shall be qualified under the same criteria set forth hereinabove for qualification of the initial two (2) arbitrators.</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9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three (3) arbitrators shall within fifteen (15) days of the appointment of the third arbitrator reach a decision based on the concurrence of no less than two (2) of such arbitrators as to whether the parties shall use Landlord's or Tenant's submitted Market Rent, and shall notify Landlord and Tenant thereof.</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decision of the majority of the three (3) arbitrators shall be binding upon Landlord and Tenant.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either Landlord or Tenant fails to appoint an arbitrator within ten (10) days after the applicable Outside Agreement Date, the arbitrator appointed by one of them shall reach a decision, notify Landlord and Tenant thereof, and such arbitrator's decision shall be binding upon Landlord and Tenant.</w:t>
      </w:r>
    </w:p>
    <w:p>
      <w:pPr>
        <w:spacing w:after="0" w:line="157" w:lineRule="exact"/>
        <w:rPr>
          <w:rFonts w:ascii="Arial" w:cs="Arial" w:eastAsia="Arial" w:hAnsi="Arial"/>
          <w:sz w:val="18"/>
          <w:szCs w:val="18"/>
          <w:color w:val="auto"/>
        </w:rPr>
      </w:pPr>
    </w:p>
    <w:p>
      <w:pPr>
        <w:jc w:val="both"/>
        <w:ind w:firstLine="1305"/>
        <w:spacing w:after="0" w:line="216" w:lineRule="auto"/>
        <w:tabs>
          <w:tab w:leader="none" w:pos="18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two (2) arbitrators fail to agree upon and appoint a third (3</w:t>
      </w:r>
      <w:r>
        <w:rPr>
          <w:rFonts w:ascii="Arial" w:cs="Arial" w:eastAsia="Arial" w:hAnsi="Arial"/>
          <w:sz w:val="30"/>
          <w:szCs w:val="30"/>
          <w:color w:val="auto"/>
          <w:vertAlign w:val="superscript"/>
        </w:rPr>
        <w:t>rd</w:t>
      </w:r>
      <w:r>
        <w:rPr>
          <w:rFonts w:ascii="Arial" w:cs="Arial" w:eastAsia="Arial" w:hAnsi="Arial"/>
          <w:sz w:val="18"/>
          <w:szCs w:val="18"/>
          <w:color w:val="auto"/>
        </w:rPr>
        <w:t>) arbitrator, or both parties fail to appoint an arbitrator, then the appointment of the third arbitrator or any arbitrator shall be dismissed and the matter to be decided shall be forthwith submitted to arbitration under the provisions of the American Arbitration Association, but subject to the instruction set forth in this item (d).</w:t>
      </w:r>
    </w:p>
    <w:p>
      <w:pPr>
        <w:spacing w:after="0" w:line="204" w:lineRule="exact"/>
        <w:rPr>
          <w:rFonts w:ascii="Arial" w:cs="Arial" w:eastAsia="Arial" w:hAnsi="Arial"/>
          <w:sz w:val="18"/>
          <w:szCs w:val="18"/>
          <w:color w:val="auto"/>
        </w:rPr>
      </w:pPr>
    </w:p>
    <w:p>
      <w:pPr>
        <w:ind w:left="1840" w:hanging="535"/>
        <w:spacing w:after="0"/>
        <w:tabs>
          <w:tab w:leader="none" w:pos="1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 of arbitration shall be paid by Landlord and Tenant equally.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RIGHT OF FIRST OFFER</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the following terms and conditions, and provided that Tenant is not then in material default under this Lease after expiration of applicable cure periods, Landlord hereby grants to Tenant a continuing right of first offer with respect to the remainder of the Project ("</w:t>
      </w:r>
      <w:r>
        <w:rPr>
          <w:rFonts w:ascii="Arial" w:cs="Arial" w:eastAsia="Arial" w:hAnsi="Arial"/>
          <w:sz w:val="16"/>
          <w:szCs w:val="16"/>
          <w:b w:val="1"/>
          <w:bCs w:val="1"/>
          <w:color w:val="auto"/>
        </w:rPr>
        <w:t>First Offer Space</w:t>
      </w:r>
      <w:r>
        <w:rPr>
          <w:rFonts w:ascii="Arial" w:cs="Arial" w:eastAsia="Arial" w:hAnsi="Arial"/>
          <w:sz w:val="16"/>
          <w:szCs w:val="16"/>
          <w:color w:val="auto"/>
        </w:rPr>
        <w:t>"). Notwithstanding the foregoing, such first offer right of Tenant shall become effective only after the date which is three (3) years from the Commencement Date; it being agreed that Landlord shall be free to market the remainder of the Project for the first three (3) years following the Commencement Date without having to offer any space to Tenant as provided in this Article 32. Tenant's right of first offer shall be on the terms and conditions set forth in this Article 32.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jc w:val="both"/>
        <w:ind w:firstLine="656"/>
        <w:spacing w:after="0" w:line="272" w:lineRule="auto"/>
        <w:tabs>
          <w:tab w:leader="none" w:pos="112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Procedure for Offer</w:t>
      </w:r>
      <w:r>
        <w:rPr>
          <w:rFonts w:ascii="Arial" w:cs="Arial" w:eastAsia="Arial" w:hAnsi="Arial"/>
          <w:sz w:val="17"/>
          <w:szCs w:val="17"/>
          <w:color w:val="auto"/>
        </w:rPr>
        <w:t>. If, after the first three (3) years following the Commencement Date, any space is available in the Project that Landlord desires to lease to a third party, Landlord shall notify Tenant (the "</w:t>
      </w:r>
      <w:r>
        <w:rPr>
          <w:rFonts w:ascii="Arial" w:cs="Arial" w:eastAsia="Arial" w:hAnsi="Arial"/>
          <w:sz w:val="17"/>
          <w:szCs w:val="17"/>
          <w:b w:val="1"/>
          <w:bCs w:val="1"/>
          <w:color w:val="auto"/>
        </w:rPr>
        <w:t>First Offer Notice</w:t>
      </w:r>
      <w:r>
        <w:rPr>
          <w:rFonts w:ascii="Arial" w:cs="Arial" w:eastAsia="Arial" w:hAnsi="Arial"/>
          <w:sz w:val="17"/>
          <w:szCs w:val="17"/>
          <w:color w:val="auto"/>
        </w:rPr>
        <w:t>") from time to time. The First Offer Notice shall describe the space so offered to Tenant and shall set forth Landlord's proposed material economic terms and conditions applicable to Tenant's lease of such space (collectively, the "</w:t>
      </w:r>
      <w:r>
        <w:rPr>
          <w:rFonts w:ascii="Arial" w:cs="Arial" w:eastAsia="Arial" w:hAnsi="Arial"/>
          <w:sz w:val="17"/>
          <w:szCs w:val="17"/>
          <w:b w:val="1"/>
          <w:bCs w:val="1"/>
          <w:color w:val="auto"/>
        </w:rPr>
        <w:t>Economic Terms</w:t>
      </w:r>
      <w:r>
        <w:rPr>
          <w:rFonts w:ascii="Arial" w:cs="Arial" w:eastAsia="Arial" w:hAnsi="Arial"/>
          <w:sz w:val="17"/>
          <w:szCs w:val="17"/>
          <w:color w:val="auto"/>
        </w:rPr>
        <w:t>"), including the proposed rent payable for the First Offer Space; provided, however, that the term of Tenant's lease of the First Offer Space shall be for the greater of (i) five (5) years, or (ii) a period which is co-terminous with the Term of Tenant's lease of the Premises. Notwithstanding the foregoing, Landlord's obligation to deliver the First Offer Notice shall not apply during the last twelve (12) months of the Term or first Option Term unless Tenant has timely delivered Tenant's Acceptance to Landlord pursuant to Section 31(c) above.</w:t>
      </w:r>
    </w:p>
    <w:p>
      <w:pPr>
        <w:spacing w:after="0" w:line="177" w:lineRule="exact"/>
        <w:rPr>
          <w:rFonts w:ascii="Arial" w:cs="Arial" w:eastAsia="Arial" w:hAnsi="Arial"/>
          <w:sz w:val="17"/>
          <w:szCs w:val="17"/>
          <w:color w:val="auto"/>
        </w:rPr>
      </w:pPr>
    </w:p>
    <w:p>
      <w:pPr>
        <w:jc w:val="both"/>
        <w:ind w:firstLine="656"/>
        <w:spacing w:after="0" w:line="285" w:lineRule="auto"/>
        <w:tabs>
          <w:tab w:leader="none" w:pos="108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Procedure for Acceptance</w:t>
      </w:r>
      <w:r>
        <w:rPr>
          <w:rFonts w:ascii="Arial" w:cs="Arial" w:eastAsia="Arial" w:hAnsi="Arial"/>
          <w:sz w:val="16"/>
          <w:szCs w:val="16"/>
          <w:color w:val="auto"/>
        </w:rPr>
        <w:t>. If Tenant wishes to exercise Tenant's right of first offer with respect to the space described in the First Offer Notice, then within ten (10) business days after delivery of the First Offer Notice to Tenant, Tenant shall deliver notice ("</w:t>
      </w:r>
      <w:r>
        <w:rPr>
          <w:rFonts w:ascii="Arial" w:cs="Arial" w:eastAsia="Arial" w:hAnsi="Arial"/>
          <w:sz w:val="16"/>
          <w:szCs w:val="16"/>
          <w:b w:val="1"/>
          <w:bCs w:val="1"/>
          <w:color w:val="auto"/>
        </w:rPr>
        <w:t>Exercise Notice</w:t>
      </w:r>
      <w:r>
        <w:rPr>
          <w:rFonts w:ascii="Arial" w:cs="Arial" w:eastAsia="Arial" w:hAnsi="Arial"/>
          <w:sz w:val="16"/>
          <w:szCs w:val="16"/>
          <w:color w:val="auto"/>
        </w:rPr>
        <w:t>") to Landlord of Tenant's exercise of its right of first offer with respect to the entire space described in the First Offer Notice, and the Economic Terms shall be as set forth in the First Offer Notice unless Tenant objects thereto in the Exercise Notice (which objection shall include Tenant's proposed Economic Terms). If Tenant objects in Tenant's Exercise Notice to Landlord's determination of the Economic Terms and provides Tenant's proposed Economic Terms therein, then Landlord and Tenant shall negotiate, in good faith, to agree upon such Economic Terms. If Tenant does not exercise its right of first offer within the aforementioned ten (10) business day period, or if Tenant does exercise its right of first offer by timely delivery of the Exercise Notice but objects to Landlord's determination of Economic Terms (and Landlord and Tenant are unable to agree upon such Economic Terms within ten (10) business days after Tenant's delivery of the Exercise Notice), then Landlord shall be free to lease the space described in the First Offer Notice to anyone to whom Landlord desires; provided, however, that if Landlord intends to enter into a lease upon Economic Terms which are more than five percent (5%) more favorable to a third (3rd) party tenant than those Economic Terms proposed by Landlord in the First Offer Notice (blending all concessions on a straight-line basis over the applicable lease terms), Landlord shall first deliver written notice to Tenant ("</w:t>
      </w:r>
      <w:r>
        <w:rPr>
          <w:rFonts w:ascii="Arial" w:cs="Arial" w:eastAsia="Arial" w:hAnsi="Arial"/>
          <w:sz w:val="16"/>
          <w:szCs w:val="16"/>
          <w:b w:val="1"/>
          <w:bCs w:val="1"/>
          <w:color w:val="auto"/>
        </w:rPr>
        <w:t>Second Chance Notice</w:t>
      </w:r>
      <w:r>
        <w:rPr>
          <w:rFonts w:ascii="Arial" w:cs="Arial" w:eastAsia="Arial" w:hAnsi="Arial"/>
          <w:sz w:val="16"/>
          <w:szCs w:val="16"/>
          <w:color w:val="auto"/>
        </w:rPr>
        <w:t>") providing Tenant with the opportunity to lease the First Offer Space on such more favorable Economic Terms. Tenant's failure to elect to lease the First Offer Space upon such more favorable Economic Terms by written notice to Landlord within five (5) business days after Tenant's receipt of such Second Chance Notice from Landlord shall be deemed to constitute Tenant's election not to lease such space upon such more favorable Economic Terms, in which case Landlord shall be entitled to lease such space to any third (3rd) party on terms no more favorable to the third (3rd) party than those set forth in the Second Chance Notice. If Landlord does lease such First Offer Space to a third (3rd) party tenant pursuant to the terms and conditions of this Section 32(b) above, Tenant shall have no further right to lease such First Offer Space until the expiration or earlier termination of such third (3rd) party lease including any renewal or extension of such third (3rd) party lease pursuant to an extension or renewal option specified therein.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8" w:name="page109"/>
    <w:bookmarkEnd w:id="108"/>
    <w:p>
      <w:pPr>
        <w:jc w:val="both"/>
        <w:ind w:firstLine="656"/>
        <w:spacing w:after="0" w:line="264" w:lineRule="auto"/>
        <w:tabs>
          <w:tab w:leader="none" w:pos="111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Lease of First Offer Space</w:t>
      </w:r>
      <w:r>
        <w:rPr>
          <w:rFonts w:ascii="Arial" w:cs="Arial" w:eastAsia="Arial" w:hAnsi="Arial"/>
          <w:sz w:val="18"/>
          <w:szCs w:val="18"/>
          <w:color w:val="auto"/>
        </w:rPr>
        <w:t>. If Tenant timely and properly exercises Tenant's right to lease the First Offer Space as set forth herein, Landlord and Tenant shall execute an amendment to this Lease adding such First Offer Space to the Premises upon the same non-economic terms and conditions as applicable to the Premises, and the Economic Terms and conditions as provided in this Article 32.</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7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Limitation</w:t>
      </w:r>
      <w:r>
        <w:rPr>
          <w:rFonts w:ascii="Arial" w:cs="Arial" w:eastAsia="Arial" w:hAnsi="Arial"/>
          <w:sz w:val="18"/>
          <w:szCs w:val="18"/>
          <w:color w:val="auto"/>
        </w:rPr>
        <w:t>. The rights contained in this Article 32 shall be personal to the Original Tenant and any Affiliated Assignee and may only be exercised by the Original Tenant or any Affiliated Assignee (and not any other transferee) if the Premises is not subject to a sublease to other than an Affiliate of greater than twenty percent (20%) of the Premises as of the date of Tenant's receipt of the First Offer Notice.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SIGNAGE</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Tenant shall be entitled to retain the existing monument sign located closest to the Premises throughout the Term of this Lease. In addition, Tenant shall be entitled to install, at its sole cost and expense, signage on the exterior of the Project ("</w:t>
      </w:r>
      <w:r>
        <w:rPr>
          <w:rFonts w:ascii="Arial" w:cs="Arial" w:eastAsia="Arial" w:hAnsi="Arial"/>
          <w:sz w:val="17"/>
          <w:szCs w:val="17"/>
          <w:b w:val="1"/>
          <w:bCs w:val="1"/>
          <w:color w:val="auto"/>
        </w:rPr>
        <w:t>Signage</w:t>
      </w:r>
      <w:r>
        <w:rPr>
          <w:rFonts w:ascii="Arial" w:cs="Arial" w:eastAsia="Arial" w:hAnsi="Arial"/>
          <w:sz w:val="17"/>
          <w:szCs w:val="17"/>
          <w:color w:val="auto"/>
        </w:rPr>
        <w:t>"). The graphics, materials, size, color, design, lettering, lighting (if any), specifications and exact location of the Signage (collectively, the "</w:t>
      </w:r>
      <w:r>
        <w:rPr>
          <w:rFonts w:ascii="Arial" w:cs="Arial" w:eastAsia="Arial" w:hAnsi="Arial"/>
          <w:sz w:val="17"/>
          <w:szCs w:val="17"/>
          <w:b w:val="1"/>
          <w:bCs w:val="1"/>
          <w:color w:val="auto"/>
        </w:rPr>
        <w:t>Signage Specifications</w:t>
      </w:r>
      <w:r>
        <w:rPr>
          <w:rFonts w:ascii="Arial" w:cs="Arial" w:eastAsia="Arial" w:hAnsi="Arial"/>
          <w:sz w:val="17"/>
          <w:szCs w:val="17"/>
          <w:color w:val="auto"/>
        </w:rPr>
        <w:t>") shall be subject to the prior written approval of Landlord, which approval shall not be unreasonably withheld. In addition, the Signage and all Signage Specifications therefor shall be subject to Tenant's receipt of all required governmental permits and approvals and all covenants, conditions and restrictions effecting the Project. The cost of installation of Signage and all costs of design and construction of such Signage and the cost of maintenance and repair of the Signage shall be the sole responsibility of Tenant. Upon the expiration or earlier termination of this Lease, Tenant shall, at its sole cost and expense, cause the Signage to be removed from the Project and to repair any damage to the Project resulting from such removal.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ind w:right="40" w:firstLine="648"/>
        <w:spacing w:after="0" w:line="277" w:lineRule="auto"/>
        <w:rPr>
          <w:sz w:val="20"/>
          <w:szCs w:val="20"/>
          <w:color w:val="auto"/>
        </w:rPr>
      </w:pPr>
      <w:r>
        <w:rPr>
          <w:rFonts w:ascii="Arial" w:cs="Arial" w:eastAsia="Arial" w:hAnsi="Arial"/>
          <w:sz w:val="18"/>
          <w:szCs w:val="18"/>
          <w:color w:val="auto"/>
        </w:rPr>
        <w:t>IN WITNESS WHEREOF, the parties have executed this Lease, consisting of the foregoing provisions and Articles, including all exhibits referenced therein, as of the date first above written.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"LANDLORD"</w:t>
            </w:r>
          </w:p>
        </w:tc>
        <w:tc>
          <w:tcPr>
            <w:tcW w:w="5840" w:type="dxa"/>
            <w:vAlign w:val="bottom"/>
            <w:gridSpan w:val="4"/>
          </w:tcPr>
          <w:p>
            <w:pPr>
              <w:ind w:left="2060"/>
              <w:spacing w:after="0"/>
              <w:rPr>
                <w:sz w:val="20"/>
                <w:szCs w:val="20"/>
                <w:color w:val="auto"/>
              </w:rPr>
            </w:pPr>
            <w:r>
              <w:rPr>
                <w:rFonts w:ascii="Arial" w:cs="Arial" w:eastAsia="Arial" w:hAnsi="Arial"/>
                <w:sz w:val="18"/>
                <w:szCs w:val="18"/>
                <w:color w:val="auto"/>
              </w:rPr>
              <w:t>CT CROSTHWAITE I, LLC,</w:t>
            </w:r>
          </w:p>
        </w:tc>
        <w:tc>
          <w:tcPr>
            <w:tcW w:w="6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p>
        </w:tc>
        <w:tc>
          <w:tcPr>
            <w:tcW w:w="5840" w:type="dxa"/>
            <w:vAlign w:val="bottom"/>
            <w:gridSpan w:val="4"/>
          </w:tcPr>
          <w:p>
            <w:pPr>
              <w:ind w:left="2060"/>
              <w:spacing w:after="0"/>
              <w:rPr>
                <w:sz w:val="20"/>
                <w:szCs w:val="20"/>
                <w:color w:val="auto"/>
              </w:rPr>
            </w:pPr>
            <w:r>
              <w:rPr>
                <w:rFonts w:ascii="Arial" w:cs="Arial" w:eastAsia="Arial" w:hAnsi="Arial"/>
                <w:sz w:val="18"/>
                <w:szCs w:val="18"/>
                <w:color w:val="auto"/>
              </w:rPr>
              <w:t>a Delaware limited liability company</w:t>
            </w:r>
          </w:p>
        </w:tc>
        <w:tc>
          <w:tcPr>
            <w:tcW w:w="60" w:type="dxa"/>
            <w:vAlign w:val="bottom"/>
          </w:tcPr>
          <w:p>
            <w:pPr>
              <w:spacing w:after="0"/>
              <w:rPr>
                <w:sz w:val="20"/>
                <w:szCs w:val="20"/>
                <w:color w:val="auto"/>
              </w:rPr>
            </w:pPr>
          </w:p>
        </w:tc>
      </w:tr>
      <w:tr>
        <w:trPr>
          <w:trHeight w:val="392"/>
        </w:trPr>
        <w:tc>
          <w:tcPr>
            <w:tcW w:w="3180" w:type="dxa"/>
            <w:vAlign w:val="bottom"/>
          </w:tcPr>
          <w:p>
            <w:pPr>
              <w:spacing w:after="0"/>
              <w:rPr>
                <w:sz w:val="24"/>
                <w:szCs w:val="24"/>
                <w:color w:val="auto"/>
              </w:rPr>
            </w:pPr>
          </w:p>
        </w:tc>
        <w:tc>
          <w:tcPr>
            <w:tcW w:w="5840" w:type="dxa"/>
            <w:vAlign w:val="bottom"/>
            <w:gridSpan w:val="4"/>
          </w:tcPr>
          <w:p>
            <w:pPr>
              <w:ind w:left="2060"/>
              <w:spacing w:after="0"/>
              <w:rPr>
                <w:sz w:val="20"/>
                <w:szCs w:val="20"/>
                <w:color w:val="auto"/>
              </w:rPr>
            </w:pPr>
            <w:r>
              <w:rPr>
                <w:rFonts w:ascii="Arial" w:cs="Arial" w:eastAsia="Arial" w:hAnsi="Arial"/>
                <w:sz w:val="18"/>
                <w:szCs w:val="18"/>
                <w:color w:val="auto"/>
              </w:rPr>
              <w:t>By: /s/ Dominic J. Petrucci</w:t>
            </w:r>
          </w:p>
        </w:tc>
        <w:tc>
          <w:tcPr>
            <w:tcW w:w="60" w:type="dxa"/>
            <w:vAlign w:val="bottom"/>
          </w:tcPr>
          <w:p>
            <w:pPr>
              <w:spacing w:after="0"/>
              <w:rPr>
                <w:sz w:val="24"/>
                <w:szCs w:val="24"/>
                <w:color w:val="auto"/>
              </w:rPr>
            </w:pPr>
          </w:p>
        </w:tc>
      </w:tr>
      <w:tr>
        <w:trPr>
          <w:trHeight w:val="20"/>
        </w:trPr>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5840" w:type="dxa"/>
            <w:vAlign w:val="bottom"/>
            <w:gridSpan w:val="4"/>
          </w:tcPr>
          <w:p>
            <w:pPr>
              <w:ind w:left="2060"/>
              <w:spacing w:after="0" w:line="196" w:lineRule="exact"/>
              <w:rPr>
                <w:sz w:val="20"/>
                <w:szCs w:val="20"/>
                <w:color w:val="auto"/>
              </w:rPr>
            </w:pPr>
            <w:r>
              <w:rPr>
                <w:rFonts w:ascii="Arial" w:cs="Arial" w:eastAsia="Arial" w:hAnsi="Arial"/>
                <w:sz w:val="18"/>
                <w:szCs w:val="18"/>
                <w:color w:val="auto"/>
              </w:rPr>
              <w:t>Print Name: Dominic J. Petrucci</w:t>
            </w:r>
          </w:p>
        </w:tc>
        <w:tc>
          <w:tcPr>
            <w:tcW w:w="6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5840" w:type="dxa"/>
            <w:vAlign w:val="bottom"/>
            <w:gridSpan w:val="4"/>
          </w:tcPr>
          <w:p>
            <w:pPr>
              <w:ind w:left="2060"/>
              <w:spacing w:after="0" w:line="196" w:lineRule="exact"/>
              <w:rPr>
                <w:sz w:val="20"/>
                <w:szCs w:val="20"/>
                <w:color w:val="auto"/>
              </w:rPr>
            </w:pPr>
            <w:r>
              <w:rPr>
                <w:rFonts w:ascii="Arial" w:cs="Arial" w:eastAsia="Arial" w:hAnsi="Arial"/>
                <w:sz w:val="18"/>
                <w:szCs w:val="18"/>
                <w:color w:val="auto"/>
              </w:rPr>
              <w:t>Title: Treasurer</w:t>
            </w:r>
          </w:p>
        </w:tc>
        <w:tc>
          <w:tcPr>
            <w:tcW w:w="6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180" w:type="dxa"/>
            <w:vAlign w:val="bottom"/>
          </w:tcPr>
          <w:p>
            <w:pPr>
              <w:spacing w:after="0"/>
              <w:rPr>
                <w:sz w:val="24"/>
                <w:szCs w:val="24"/>
                <w:color w:val="auto"/>
              </w:rPr>
            </w:pPr>
          </w:p>
        </w:tc>
        <w:tc>
          <w:tcPr>
            <w:tcW w:w="5840" w:type="dxa"/>
            <w:vAlign w:val="bottom"/>
            <w:gridSpan w:val="4"/>
          </w:tcPr>
          <w:p>
            <w:pPr>
              <w:ind w:left="2060"/>
              <w:spacing w:after="0"/>
              <w:rPr>
                <w:sz w:val="20"/>
                <w:szCs w:val="20"/>
                <w:color w:val="auto"/>
              </w:rPr>
            </w:pPr>
            <w:r>
              <w:rPr>
                <w:rFonts w:ascii="Arial" w:cs="Arial" w:eastAsia="Arial" w:hAnsi="Arial"/>
                <w:sz w:val="18"/>
                <w:szCs w:val="18"/>
                <w:color w:val="auto"/>
              </w:rPr>
              <w:t>By: /s/ Carter Ewing</w:t>
            </w:r>
          </w:p>
        </w:tc>
        <w:tc>
          <w:tcPr>
            <w:tcW w:w="60" w:type="dxa"/>
            <w:vAlign w:val="bottom"/>
          </w:tcPr>
          <w:p>
            <w:pPr>
              <w:spacing w:after="0"/>
              <w:rPr>
                <w:sz w:val="24"/>
                <w:szCs w:val="24"/>
                <w:color w:val="auto"/>
              </w:rPr>
            </w:pPr>
          </w:p>
        </w:tc>
      </w:tr>
      <w:tr>
        <w:trPr>
          <w:trHeight w:val="20"/>
        </w:trPr>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2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5840" w:type="dxa"/>
            <w:vAlign w:val="bottom"/>
            <w:gridSpan w:val="4"/>
          </w:tcPr>
          <w:p>
            <w:pPr>
              <w:ind w:left="2060"/>
              <w:spacing w:after="0" w:line="196" w:lineRule="exact"/>
              <w:rPr>
                <w:sz w:val="20"/>
                <w:szCs w:val="20"/>
                <w:color w:val="auto"/>
              </w:rPr>
            </w:pPr>
            <w:r>
              <w:rPr>
                <w:rFonts w:ascii="Arial" w:cs="Arial" w:eastAsia="Arial" w:hAnsi="Arial"/>
                <w:sz w:val="18"/>
                <w:szCs w:val="18"/>
                <w:color w:val="auto"/>
              </w:rPr>
              <w:t>Print Name: Carter Ewing</w:t>
            </w:r>
          </w:p>
        </w:tc>
        <w:tc>
          <w:tcPr>
            <w:tcW w:w="6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5840" w:type="dxa"/>
            <w:vAlign w:val="bottom"/>
            <w:gridSpan w:val="4"/>
          </w:tcPr>
          <w:p>
            <w:pPr>
              <w:ind w:left="2060"/>
              <w:spacing w:after="0" w:line="196" w:lineRule="exact"/>
              <w:rPr>
                <w:sz w:val="20"/>
                <w:szCs w:val="20"/>
                <w:color w:val="auto"/>
              </w:rPr>
            </w:pPr>
            <w:r>
              <w:rPr>
                <w:rFonts w:ascii="Arial" w:cs="Arial" w:eastAsia="Arial" w:hAnsi="Arial"/>
                <w:sz w:val="18"/>
                <w:szCs w:val="18"/>
                <w:color w:val="auto"/>
              </w:rPr>
              <w:t>Title: Secretary</w:t>
            </w:r>
          </w:p>
        </w:tc>
        <w:tc>
          <w:tcPr>
            <w:tcW w:w="6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"TENANT"</w:t>
            </w:r>
          </w:p>
        </w:tc>
        <w:tc>
          <w:tcPr>
            <w:tcW w:w="8400" w:type="dxa"/>
            <w:vAlign w:val="bottom"/>
            <w:gridSpan w:val="8"/>
          </w:tcPr>
          <w:p>
            <w:pPr>
              <w:ind w:left="2180"/>
              <w:spacing w:after="0"/>
              <w:rPr>
                <w:sz w:val="20"/>
                <w:szCs w:val="20"/>
                <w:color w:val="auto"/>
              </w:rPr>
            </w:pPr>
            <w:r>
              <w:rPr>
                <w:rFonts w:ascii="Arial" w:cs="Arial" w:eastAsia="Arial" w:hAnsi="Arial"/>
                <w:sz w:val="18"/>
                <w:szCs w:val="18"/>
                <w:color w:val="auto"/>
              </w:rPr>
              <w:t>COHU, INC.,</w:t>
            </w:r>
          </w:p>
        </w:tc>
      </w:tr>
      <w:tr>
        <w:trPr>
          <w:trHeight w:val="230"/>
        </w:trPr>
        <w:tc>
          <w:tcPr>
            <w:tcW w:w="3060" w:type="dxa"/>
            <w:vAlign w:val="bottom"/>
          </w:tcPr>
          <w:p>
            <w:pPr>
              <w:spacing w:after="0"/>
              <w:rPr>
                <w:sz w:val="20"/>
                <w:szCs w:val="20"/>
                <w:color w:val="auto"/>
              </w:rPr>
            </w:pPr>
          </w:p>
        </w:tc>
        <w:tc>
          <w:tcPr>
            <w:tcW w:w="8400" w:type="dxa"/>
            <w:vAlign w:val="bottom"/>
            <w:gridSpan w:val="8"/>
          </w:tcPr>
          <w:p>
            <w:pPr>
              <w:ind w:left="2180"/>
              <w:spacing w:after="0"/>
              <w:rPr>
                <w:sz w:val="20"/>
                <w:szCs w:val="20"/>
                <w:color w:val="auto"/>
              </w:rPr>
            </w:pPr>
            <w:r>
              <w:rPr>
                <w:rFonts w:ascii="Arial" w:cs="Arial" w:eastAsia="Arial" w:hAnsi="Arial"/>
                <w:sz w:val="18"/>
                <w:szCs w:val="18"/>
                <w:color w:val="auto"/>
              </w:rPr>
              <w:t>a Delaware corporation</w:t>
            </w:r>
          </w:p>
        </w:tc>
      </w:tr>
      <w:tr>
        <w:trPr>
          <w:trHeight w:val="392"/>
        </w:trPr>
        <w:tc>
          <w:tcPr>
            <w:tcW w:w="3060" w:type="dxa"/>
            <w:vAlign w:val="bottom"/>
          </w:tcPr>
          <w:p>
            <w:pPr>
              <w:spacing w:after="0"/>
              <w:rPr>
                <w:sz w:val="24"/>
                <w:szCs w:val="24"/>
                <w:color w:val="auto"/>
              </w:rPr>
            </w:pPr>
          </w:p>
        </w:tc>
        <w:tc>
          <w:tcPr>
            <w:tcW w:w="8400" w:type="dxa"/>
            <w:vAlign w:val="bottom"/>
            <w:gridSpan w:val="8"/>
          </w:tcPr>
          <w:p>
            <w:pPr>
              <w:ind w:left="2180"/>
              <w:spacing w:after="0"/>
              <w:rPr>
                <w:sz w:val="20"/>
                <w:szCs w:val="20"/>
                <w:color w:val="auto"/>
              </w:rPr>
            </w:pPr>
            <w:r>
              <w:rPr>
                <w:rFonts w:ascii="Arial" w:cs="Arial" w:eastAsia="Arial" w:hAnsi="Arial"/>
                <w:sz w:val="18"/>
                <w:szCs w:val="18"/>
                <w:color w:val="auto"/>
              </w:rPr>
              <w:t>By: /s/ Jeffrey D. Jones</w:t>
            </w:r>
          </w:p>
        </w:tc>
      </w:tr>
      <w:tr>
        <w:trPr>
          <w:trHeight w:val="20"/>
        </w:trPr>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8400" w:type="dxa"/>
            <w:vAlign w:val="bottom"/>
            <w:gridSpan w:val="8"/>
          </w:tcPr>
          <w:p>
            <w:pPr>
              <w:ind w:left="2180"/>
              <w:spacing w:after="0" w:line="196" w:lineRule="exact"/>
              <w:rPr>
                <w:sz w:val="20"/>
                <w:szCs w:val="20"/>
                <w:color w:val="auto"/>
              </w:rPr>
            </w:pPr>
            <w:r>
              <w:rPr>
                <w:rFonts w:ascii="Arial" w:cs="Arial" w:eastAsia="Arial" w:hAnsi="Arial"/>
                <w:sz w:val="18"/>
                <w:szCs w:val="18"/>
                <w:color w:val="auto"/>
              </w:rPr>
              <w:t>Print Name: Jeffrey D. Jones</w:t>
            </w:r>
          </w:p>
        </w:tc>
      </w:tr>
      <w:tr>
        <w:trPr>
          <w:trHeight w:val="20"/>
        </w:trPr>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shd w:val="clear" w:color="auto" w:fill="000000"/>
          </w:tcPr>
          <w:p>
            <w:pPr>
              <w:spacing w:after="0" w:line="20" w:lineRule="exact"/>
              <w:rPr>
                <w:sz w:val="1"/>
                <w:szCs w:val="1"/>
                <w:color w:val="auto"/>
              </w:rPr>
            </w:pPr>
          </w:p>
        </w:tc>
        <w:tc>
          <w:tcPr>
            <w:tcW w:w="2460" w:type="dxa"/>
            <w:vAlign w:val="bottom"/>
            <w:tcBorders>
              <w:left w:val="single" w:sz="8" w:color="auto"/>
            </w:tcBorders>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8400" w:type="dxa"/>
            <w:vAlign w:val="bottom"/>
            <w:gridSpan w:val="8"/>
          </w:tcPr>
          <w:p>
            <w:pPr>
              <w:ind w:left="2180"/>
              <w:spacing w:after="0" w:line="196" w:lineRule="exact"/>
              <w:rPr>
                <w:sz w:val="20"/>
                <w:szCs w:val="20"/>
                <w:color w:val="auto"/>
              </w:rPr>
            </w:pPr>
            <w:r>
              <w:rPr>
                <w:rFonts w:ascii="Arial" w:cs="Arial" w:eastAsia="Arial" w:hAnsi="Arial"/>
                <w:sz w:val="18"/>
                <w:szCs w:val="18"/>
                <w:color w:val="auto"/>
              </w:rPr>
              <w:t>Title: VP of Finance and CFO</w:t>
            </w:r>
          </w:p>
        </w:tc>
      </w:tr>
      <w:tr>
        <w:trPr>
          <w:trHeight w:val="20"/>
        </w:trPr>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3060" w:type="dxa"/>
            <w:vAlign w:val="bottom"/>
          </w:tcPr>
          <w:p>
            <w:pPr>
              <w:spacing w:after="0"/>
              <w:rPr>
                <w:sz w:val="24"/>
                <w:szCs w:val="24"/>
                <w:color w:val="auto"/>
              </w:rPr>
            </w:pPr>
          </w:p>
        </w:tc>
        <w:tc>
          <w:tcPr>
            <w:tcW w:w="8400" w:type="dxa"/>
            <w:vAlign w:val="bottom"/>
            <w:gridSpan w:val="8"/>
          </w:tcPr>
          <w:p>
            <w:pPr>
              <w:ind w:left="2180"/>
              <w:spacing w:after="0"/>
              <w:rPr>
                <w:sz w:val="20"/>
                <w:szCs w:val="20"/>
                <w:color w:val="auto"/>
              </w:rPr>
            </w:pPr>
            <w:r>
              <w:rPr>
                <w:rFonts w:ascii="Arial" w:cs="Arial" w:eastAsia="Arial" w:hAnsi="Arial"/>
                <w:sz w:val="18"/>
                <w:szCs w:val="18"/>
                <w:color w:val="auto"/>
              </w:rPr>
              <w:t>By: /s/ John H. Allen</w:t>
            </w:r>
          </w:p>
        </w:tc>
      </w:tr>
      <w:tr>
        <w:trPr>
          <w:trHeight w:val="20"/>
        </w:trPr>
        <w:tc>
          <w:tcPr>
            <w:tcW w:w="3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8400" w:type="dxa"/>
            <w:vAlign w:val="bottom"/>
            <w:gridSpan w:val="8"/>
          </w:tcPr>
          <w:p>
            <w:pPr>
              <w:ind w:left="2180"/>
              <w:spacing w:after="0" w:line="196" w:lineRule="exact"/>
              <w:rPr>
                <w:sz w:val="20"/>
                <w:szCs w:val="20"/>
                <w:color w:val="auto"/>
              </w:rPr>
            </w:pPr>
            <w:r>
              <w:rPr>
                <w:rFonts w:ascii="Arial" w:cs="Arial" w:eastAsia="Arial" w:hAnsi="Arial"/>
                <w:sz w:val="18"/>
                <w:szCs w:val="18"/>
                <w:color w:val="auto"/>
              </w:rPr>
              <w:t>Print Name: John H. Allen</w:t>
            </w:r>
          </w:p>
        </w:tc>
      </w:tr>
      <w:tr>
        <w:trPr>
          <w:trHeight w:val="20"/>
        </w:trPr>
        <w:tc>
          <w:tcPr>
            <w:tcW w:w="306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2460" w:type="dxa"/>
            <w:vAlign w:val="bottom"/>
            <w:tcBorders>
              <w:left w:val="single" w:sz="8" w:color="auto"/>
            </w:tcBorders>
          </w:tcPr>
          <w:p>
            <w:pPr>
              <w:spacing w:after="0" w:line="20" w:lineRule="exact"/>
              <w:rPr>
                <w:sz w:val="1"/>
                <w:szCs w:val="1"/>
                <w:color w:val="auto"/>
              </w:rPr>
            </w:pPr>
          </w:p>
        </w:tc>
      </w:tr>
      <w:tr>
        <w:trPr>
          <w:trHeight w:val="196"/>
        </w:trPr>
        <w:tc>
          <w:tcPr>
            <w:tcW w:w="3060" w:type="dxa"/>
            <w:vAlign w:val="bottom"/>
          </w:tcPr>
          <w:p>
            <w:pPr>
              <w:spacing w:after="0"/>
              <w:rPr>
                <w:sz w:val="17"/>
                <w:szCs w:val="17"/>
                <w:color w:val="auto"/>
              </w:rPr>
            </w:pPr>
          </w:p>
        </w:tc>
        <w:tc>
          <w:tcPr>
            <w:tcW w:w="8400" w:type="dxa"/>
            <w:vAlign w:val="bottom"/>
            <w:gridSpan w:val="8"/>
          </w:tcPr>
          <w:p>
            <w:pPr>
              <w:ind w:left="2180"/>
              <w:spacing w:after="0" w:line="196" w:lineRule="exact"/>
              <w:rPr>
                <w:sz w:val="20"/>
                <w:szCs w:val="20"/>
                <w:color w:val="auto"/>
              </w:rPr>
            </w:pPr>
            <w:r>
              <w:rPr>
                <w:rFonts w:ascii="Arial" w:cs="Arial" w:eastAsia="Arial" w:hAnsi="Arial"/>
                <w:sz w:val="18"/>
                <w:szCs w:val="18"/>
                <w:color w:val="auto"/>
              </w:rPr>
              <w:t>Title: VP of Administration</w:t>
            </w:r>
          </w:p>
        </w:tc>
      </w:tr>
      <w:tr>
        <w:trPr>
          <w:trHeight w:val="20"/>
        </w:trPr>
        <w:tc>
          <w:tcPr>
            <w:tcW w:w="30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696"/>
        </w:trPr>
        <w:tc>
          <w:tcPr>
            <w:tcW w:w="3060" w:type="dxa"/>
            <w:vAlign w:val="bottom"/>
          </w:tcPr>
          <w:p>
            <w:pPr>
              <w:spacing w:after="0"/>
              <w:rPr>
                <w:sz w:val="24"/>
                <w:szCs w:val="24"/>
                <w:color w:val="auto"/>
              </w:rPr>
            </w:pPr>
          </w:p>
        </w:tc>
        <w:tc>
          <w:tcPr>
            <w:tcW w:w="3040" w:type="dxa"/>
            <w:vAlign w:val="bottom"/>
            <w:gridSpan w:val="4"/>
          </w:tcPr>
          <w:p>
            <w:pPr>
              <w:ind w:left="250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05"/>
        </w:trPr>
        <w:tc>
          <w:tcPr>
            <w:tcW w:w="30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61"/>
        </w:trPr>
        <w:tc>
          <w:tcPr>
            <w:tcW w:w="306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60" w:type="dxa"/>
            <w:vAlign w:val="bottom"/>
            <w:tcBorders>
              <w:left w:val="single" w:sz="8" w:color="808080"/>
            </w:tcBorders>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172085</wp:posOffset>
            </wp:positionV>
            <wp:extent cx="5316855" cy="65087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16855" cy="650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"A"</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71120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397510</wp:posOffset>
            </wp:positionV>
            <wp:extent cx="5008245" cy="7006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5008245" cy="700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9019"/>
          </w:cols>
          <w:pgMar w:left="1440" w:top="1440" w:right="1440" w:bottom="1440" w:gutter="0" w:footer="0" w:header="0"/>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78740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80" w:type="dxa"/>
            <w:vAlign w:val="bottom"/>
            <w:gridSpan w:val="6"/>
          </w:tcPr>
          <w:p>
            <w:pPr>
              <w:jc w:val="center"/>
              <w:ind w:right="514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20" w:type="dxa"/>
            <w:vAlign w:val="bottom"/>
            <w:gridSpan w:val="7"/>
          </w:tcPr>
          <w:p>
            <w:pPr>
              <w:jc w:val="center"/>
              <w:ind w:right="4600"/>
              <w:spacing w:after="0"/>
              <w:rPr>
                <w:sz w:val="20"/>
                <w:szCs w:val="20"/>
                <w:color w:val="auto"/>
              </w:rPr>
            </w:pPr>
            <w:r>
              <w:rPr>
                <w:rFonts w:ascii="Arial" w:cs="Arial" w:eastAsia="Arial" w:hAnsi="Arial"/>
                <w:sz w:val="18"/>
                <w:szCs w:val="18"/>
                <w:b w:val="1"/>
                <w:bCs w:val="1"/>
                <w:color w:val="auto"/>
              </w:rPr>
              <w:t>NOTICE OF TERM DATES</w:t>
            </w:r>
          </w:p>
        </w:tc>
      </w:tr>
      <w:tr>
        <w:trPr>
          <w:trHeight w:val="20"/>
        </w:trPr>
        <w:tc>
          <w:tcPr>
            <w:tcW w:w="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gridSpan w:val="5"/>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7520" w:type="dxa"/>
            <w:vAlign w:val="bottom"/>
            <w:gridSpan w:val="8"/>
          </w:tcPr>
          <w:p>
            <w:pPr>
              <w:jc w:val="center"/>
              <w:ind w:right="3900"/>
              <w:spacing w:after="0" w:line="196" w:lineRule="exact"/>
              <w:rPr>
                <w:sz w:val="20"/>
                <w:szCs w:val="20"/>
                <w:color w:val="auto"/>
              </w:rPr>
            </w:pPr>
            <w:r>
              <w:rPr>
                <w:rFonts w:ascii="Arial" w:cs="Arial" w:eastAsia="Arial" w:hAnsi="Arial"/>
                <w:sz w:val="18"/>
                <w:szCs w:val="18"/>
                <w:b w:val="1"/>
                <w:bCs w:val="1"/>
                <w:color w:val="auto"/>
                <w:w w:val="99"/>
              </w:rPr>
              <w:t>AND TENANT'S PROPORTIONATE SHARE</w:t>
            </w:r>
          </w:p>
        </w:tc>
      </w:tr>
      <w:tr>
        <w:trPr>
          <w:trHeight w:val="507"/>
        </w:trPr>
        <w:tc>
          <w:tcPr>
            <w:tcW w:w="300" w:type="dxa"/>
            <w:vAlign w:val="bottom"/>
          </w:tcPr>
          <w:p>
            <w:pPr>
              <w:spacing w:after="0"/>
              <w:rPr>
                <w:sz w:val="20"/>
                <w:szCs w:val="20"/>
                <w:color w:val="auto"/>
              </w:rPr>
            </w:pPr>
            <w:r>
              <w:rPr>
                <w:rFonts w:ascii="Arial" w:cs="Arial" w:eastAsia="Arial" w:hAnsi="Arial"/>
                <w:sz w:val="18"/>
                <w:szCs w:val="18"/>
                <w:color w:val="auto"/>
                <w:w w:val="93"/>
              </w:rPr>
              <w:t>TO:</w:t>
            </w:r>
          </w:p>
        </w:tc>
        <w:tc>
          <w:tcPr>
            <w:tcW w:w="360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w w:val="94"/>
              </w:rPr>
              <w:t>DATE:</w:t>
            </w:r>
          </w:p>
        </w:tc>
        <w:tc>
          <w:tcPr>
            <w:tcW w:w="960" w:type="dxa"/>
            <w:vAlign w:val="bottom"/>
            <w:tcBorders>
              <w:top w:val="single" w:sz="8" w:color="auto"/>
              <w:bottom w:val="single" w:sz="8" w:color="auto"/>
            </w:tcBorders>
            <w:gridSpan w:val="2"/>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210"/>
        </w:trPr>
        <w:tc>
          <w:tcPr>
            <w:tcW w:w="3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10"/>
        </w:trPr>
        <w:tc>
          <w:tcPr>
            <w:tcW w:w="3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407"/>
        </w:trPr>
        <w:tc>
          <w:tcPr>
            <w:tcW w:w="300" w:type="dxa"/>
            <w:vAlign w:val="bottom"/>
          </w:tcPr>
          <w:p>
            <w:pPr>
              <w:spacing w:after="0"/>
              <w:rPr>
                <w:sz w:val="20"/>
                <w:szCs w:val="20"/>
                <w:color w:val="auto"/>
              </w:rPr>
            </w:pPr>
            <w:r>
              <w:rPr>
                <w:rFonts w:ascii="Arial" w:cs="Arial" w:eastAsia="Arial" w:hAnsi="Arial"/>
                <w:sz w:val="18"/>
                <w:szCs w:val="18"/>
                <w:color w:val="auto"/>
                <w:w w:val="93"/>
              </w:rPr>
              <w:t>RE:</w:t>
            </w:r>
          </w:p>
        </w:tc>
        <w:tc>
          <w:tcPr>
            <w:tcW w:w="11120" w:type="dxa"/>
            <w:vAlign w:val="bottom"/>
            <w:gridSpan w:val="9"/>
          </w:tcPr>
          <w:p>
            <w:pPr>
              <w:ind w:left="360"/>
              <w:spacing w:after="0"/>
              <w:rPr>
                <w:sz w:val="20"/>
                <w:szCs w:val="20"/>
                <w:color w:val="auto"/>
              </w:rPr>
            </w:pPr>
            <w:r>
              <w:rPr>
                <w:rFonts w:ascii="Arial" w:cs="Arial" w:eastAsia="Arial" w:hAnsi="Arial"/>
                <w:sz w:val="18"/>
                <w:szCs w:val="18"/>
                <w:color w:val="auto"/>
                <w:w w:val="91"/>
              </w:rPr>
              <w:t>Lease dated ________________, 20__, between ________________________________ ______________________________ ("</w:t>
            </w:r>
            <w:r>
              <w:rPr>
                <w:rFonts w:ascii="Arial" w:cs="Arial" w:eastAsia="Arial" w:hAnsi="Arial"/>
                <w:sz w:val="18"/>
                <w:szCs w:val="18"/>
                <w:b w:val="1"/>
                <w:bCs w:val="1"/>
                <w:color w:val="auto"/>
                <w:w w:val="91"/>
              </w:rPr>
              <w:t>Landlord</w:t>
            </w:r>
            <w:r>
              <w:rPr>
                <w:rFonts w:ascii="Arial" w:cs="Arial" w:eastAsia="Arial" w:hAnsi="Arial"/>
                <w:sz w:val="18"/>
                <w:szCs w:val="18"/>
                <w:color w:val="auto"/>
                <w:w w:val="91"/>
              </w:rPr>
              <w:t>"), and</w:t>
            </w:r>
          </w:p>
        </w:tc>
      </w:tr>
      <w:tr>
        <w:trPr>
          <w:trHeight w:val="220"/>
        </w:trPr>
        <w:tc>
          <w:tcPr>
            <w:tcW w:w="300" w:type="dxa"/>
            <w:vAlign w:val="bottom"/>
          </w:tcPr>
          <w:p>
            <w:pPr>
              <w:spacing w:after="0"/>
              <w:rPr>
                <w:sz w:val="19"/>
                <w:szCs w:val="19"/>
                <w:color w:val="auto"/>
              </w:rPr>
            </w:pPr>
          </w:p>
        </w:tc>
        <w:tc>
          <w:tcPr>
            <w:tcW w:w="11120" w:type="dxa"/>
            <w:vAlign w:val="bottom"/>
            <w:gridSpan w:val="9"/>
          </w:tcPr>
          <w:p>
            <w:pPr>
              <w:ind w:left="360"/>
              <w:spacing w:after="0"/>
              <w:rPr>
                <w:sz w:val="20"/>
                <w:szCs w:val="20"/>
                <w:color w:val="auto"/>
              </w:rPr>
            </w:pPr>
            <w:r>
              <w:rPr>
                <w:rFonts w:ascii="Arial" w:cs="Arial" w:eastAsia="Arial" w:hAnsi="Arial"/>
                <w:sz w:val="18"/>
                <w:szCs w:val="18"/>
                <w:color w:val="auto"/>
              </w:rPr>
              <w:t>_________________________ ______________________________ ("</w:t>
            </w:r>
            <w:r>
              <w:rPr>
                <w:rFonts w:ascii="Arial" w:cs="Arial" w:eastAsia="Arial" w:hAnsi="Arial"/>
                <w:sz w:val="18"/>
                <w:szCs w:val="18"/>
                <w:b w:val="1"/>
                <w:bCs w:val="1"/>
                <w:color w:val="auto"/>
              </w:rPr>
              <w:t>Tenant</w:t>
            </w:r>
            <w:r>
              <w:rPr>
                <w:rFonts w:ascii="Arial" w:cs="Arial" w:eastAsia="Arial" w:hAnsi="Arial"/>
                <w:sz w:val="18"/>
                <w:szCs w:val="18"/>
                <w:color w:val="auto"/>
              </w:rPr>
              <w:t>"), concerning Suite ________, located at</w:t>
            </w:r>
          </w:p>
        </w:tc>
      </w:tr>
      <w:tr>
        <w:trPr>
          <w:trHeight w:val="230"/>
        </w:trPr>
        <w:tc>
          <w:tcPr>
            <w:tcW w:w="300" w:type="dxa"/>
            <w:vAlign w:val="bottom"/>
          </w:tcPr>
          <w:p>
            <w:pPr>
              <w:spacing w:after="0"/>
              <w:rPr>
                <w:sz w:val="20"/>
                <w:szCs w:val="20"/>
                <w:color w:val="auto"/>
              </w:rPr>
            </w:pPr>
          </w:p>
        </w:tc>
        <w:tc>
          <w:tcPr>
            <w:tcW w:w="4300" w:type="dxa"/>
            <w:vAlign w:val="bottom"/>
            <w:gridSpan w:val="2"/>
          </w:tcPr>
          <w:p>
            <w:pPr>
              <w:ind w:left="360"/>
              <w:spacing w:after="0"/>
              <w:rPr>
                <w:sz w:val="20"/>
                <w:szCs w:val="20"/>
                <w:color w:val="auto"/>
              </w:rPr>
            </w:pPr>
            <w:r>
              <w:rPr>
                <w:rFonts w:ascii="Arial" w:cs="Arial" w:eastAsia="Arial" w:hAnsi="Arial"/>
                <w:sz w:val="18"/>
                <w:szCs w:val="18"/>
                <w:color w:val="auto"/>
                <w:w w:val="92"/>
              </w:rPr>
              <w:t>__________________________________________.</w:t>
            </w: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Lease, Landlord wishes to advise and/or confirm the following:</w:t>
      </w:r>
    </w:p>
    <w:p>
      <w:pPr>
        <w:spacing w:after="0" w:line="225" w:lineRule="exact"/>
        <w:rPr>
          <w:sz w:val="20"/>
          <w:szCs w:val="20"/>
          <w:color w:val="auto"/>
        </w:rPr>
      </w:pPr>
    </w:p>
    <w:p>
      <w:pPr>
        <w:ind w:left="1020" w:hanging="36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the Premises have been accepted herewith by Tenant.</w:t>
      </w:r>
    </w:p>
    <w:p>
      <w:pPr>
        <w:spacing w:after="0" w:line="225" w:lineRule="exact"/>
        <w:rPr>
          <w:rFonts w:ascii="Arial" w:cs="Arial" w:eastAsia="Arial" w:hAnsi="Arial"/>
          <w:sz w:val="18"/>
          <w:szCs w:val="18"/>
          <w:color w:val="auto"/>
        </w:rPr>
      </w:pPr>
    </w:p>
    <w:p>
      <w:pPr>
        <w:ind w:firstLine="656"/>
        <w:spacing w:after="0" w:line="277" w:lineRule="auto"/>
        <w:tabs>
          <w:tab w:leader="none" w:pos="10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the Tenant has taken possession of the Premises and acknowledges that under the provisions of the Lease the Term of said Lease shall commence as of ____________ for a Term of ________________________ ending on ________________________.</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in accordance with the Lease, Basic Rental commenced to accrue on ________________________.</w:t>
      </w:r>
    </w:p>
    <w:p>
      <w:pPr>
        <w:spacing w:after="0" w:line="225" w:lineRule="exact"/>
        <w:rPr>
          <w:rFonts w:ascii="Arial" w:cs="Arial" w:eastAsia="Arial" w:hAnsi="Arial"/>
          <w:sz w:val="18"/>
          <w:szCs w:val="18"/>
          <w:color w:val="auto"/>
        </w:rPr>
      </w:pPr>
    </w:p>
    <w:p>
      <w:pPr>
        <w:ind w:firstLine="656"/>
        <w:spacing w:after="0" w:line="277" w:lineRule="auto"/>
        <w:tabs>
          <w:tab w:leader="none" w:pos="10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Commencement Date of the Lease is other than the first day of the month, the first billing will contain a pro rata adjustment. Each billing thereafter shall be for the full amount of the monthly installment as provided for in said Lease.</w:t>
      </w:r>
    </w:p>
    <w:p>
      <w:pPr>
        <w:spacing w:after="0" w:line="170" w:lineRule="exact"/>
        <w:rPr>
          <w:rFonts w:ascii="Arial" w:cs="Arial" w:eastAsia="Arial" w:hAnsi="Arial"/>
          <w:sz w:val="18"/>
          <w:szCs w:val="18"/>
          <w:color w:val="auto"/>
        </w:rPr>
      </w:pPr>
    </w:p>
    <w:p>
      <w:pPr>
        <w:ind w:firstLine="656"/>
        <w:spacing w:after="0" w:line="277" w:lineRule="auto"/>
        <w:tabs>
          <w:tab w:leader="none" w:pos="10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Rent is due and payable in advance on the first day of each and every month during the Term of said Lease. Your rent checks should be made payable to ________________________ at ________________________________________________.</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exact number of rentable square feet within the Premises is __________ square feet (which includes Tenant's share of the Shared Space).</w:t>
      </w:r>
    </w:p>
    <w:p>
      <w:pPr>
        <w:spacing w:after="0" w:line="302" w:lineRule="exact"/>
        <w:rPr>
          <w:rFonts w:ascii="Arial" w:cs="Arial" w:eastAsia="Arial" w:hAnsi="Arial"/>
          <w:sz w:val="16"/>
          <w:szCs w:val="16"/>
          <w:color w:val="auto"/>
        </w:rPr>
      </w:pPr>
    </w:p>
    <w:p>
      <w:pPr>
        <w:ind w:firstLine="656"/>
        <w:spacing w:after="0" w:line="277" w:lineRule="auto"/>
        <w:tabs>
          <w:tab w:leader="none" w:pos="10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Tenant's Proportionate Share, as adjusted based upon the exact number of rentable square feet within the Premises (and Tenant's share of the Shared Space) is 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 NOT SIGN***</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"B"</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5146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-19050</wp:posOffset>
            </wp:positionV>
            <wp:extent cx="24288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2887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23431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-19050</wp:posOffset>
            </wp:positionV>
            <wp:extent cx="2143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ONLY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 NOT SIGN***</w:t>
      </w: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EXHIBIT "B"</w:t>
      </w:r>
    </w:p>
    <w:p>
      <w:pPr>
        <w:spacing w:after="0" w:line="1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REMOVABLE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154940</wp:posOffset>
            </wp:positionV>
            <wp:extent cx="5454015" cy="3559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54015"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71120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EXCLUSIVE 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189230</wp:posOffset>
            </wp:positionV>
            <wp:extent cx="4596765" cy="65601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96765" cy="656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EXHIBIT "D"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71120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1126490</wp:posOffset>
            </wp:positionH>
            <wp:positionV relativeFrom="page">
              <wp:posOffset>517525</wp:posOffset>
            </wp:positionV>
            <wp:extent cx="5316855" cy="6757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5316855" cy="675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"D"</w:t>
      </w:r>
    </w:p>
    <w:p>
      <w:pPr>
        <w:sectPr>
          <w:pgSz w:w="11900" w:h="16838" w:orient="portrait"/>
          <w:cols w:equalWidth="0" w:num="1">
            <w:col w:w="9019"/>
          </w:cols>
          <w:pgMar w:left="1440" w:top="1440" w:right="1440" w:bottom="1440" w:gutter="0" w:footer="0" w:header="0"/>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78740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PRE-APPROVED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367665</wp:posOffset>
            </wp:positionV>
            <wp:extent cx="6114415" cy="15862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1441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580"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b w:val="1"/>
                <w:bCs w:val="1"/>
                <w:color w:val="auto"/>
              </w:rPr>
              <w:t>SUBSIDIARIES OF COHU, INC.</w:t>
            </w:r>
          </w:p>
        </w:tc>
      </w:tr>
      <w:tr>
        <w:trPr>
          <w:trHeight w:val="64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ENTITY NAME</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INCORPORATION</w:t>
            </w:r>
          </w:p>
        </w:tc>
      </w:tr>
      <w:tr>
        <w:trPr>
          <w:trHeight w:val="411"/>
        </w:trPr>
        <w:tc>
          <w:tcPr>
            <w:tcW w:w="4220" w:type="dxa"/>
            <w:vAlign w:val="bottom"/>
            <w:gridSpan w:val="3"/>
          </w:tcPr>
          <w:p>
            <w:pPr>
              <w:spacing w:after="0"/>
              <w:rPr>
                <w:sz w:val="20"/>
                <w:szCs w:val="20"/>
                <w:color w:val="auto"/>
              </w:rPr>
            </w:pPr>
            <w:r>
              <w:rPr>
                <w:rFonts w:ascii="Arial" w:cs="Arial" w:eastAsia="Arial" w:hAnsi="Arial"/>
                <w:sz w:val="18"/>
                <w:szCs w:val="18"/>
                <w:color w:val="auto"/>
              </w:rPr>
              <w:t>Delta Design, Inc. (1)</w:t>
            </w:r>
          </w:p>
        </w:tc>
        <w:tc>
          <w:tcPr>
            <w:tcW w:w="15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FRL, Incorporated</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Delta Design (Littleton), Inc.</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Cohu Foreign Sales Ltd.</w:t>
            </w:r>
          </w:p>
        </w:tc>
        <w:tc>
          <w:tcPr>
            <w:tcW w:w="15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Barbados</w:t>
            </w:r>
          </w:p>
        </w:tc>
      </w:tr>
      <w:tr>
        <w:trPr>
          <w:trHeight w:val="216"/>
        </w:trPr>
        <w:tc>
          <w:tcPr>
            <w:tcW w:w="1160" w:type="dxa"/>
            <w:vAlign w:val="bottom"/>
            <w:tcBorders>
              <w:bottom w:val="single" w:sz="8" w:color="auto"/>
            </w:tcBorders>
          </w:tcPr>
          <w:p>
            <w:pPr>
              <w:spacing w:after="0"/>
              <w:rPr>
                <w:sz w:val="18"/>
                <w:szCs w:val="18"/>
                <w:color w:val="auto"/>
              </w:rPr>
            </w:pPr>
          </w:p>
        </w:tc>
        <w:tc>
          <w:tcPr>
            <w:tcW w:w="306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426"/>
        </w:trPr>
        <w:tc>
          <w:tcPr>
            <w:tcW w:w="4220" w:type="dxa"/>
            <w:vAlign w:val="bottom"/>
            <w:gridSpan w:val="3"/>
          </w:tcPr>
          <w:p>
            <w:pPr>
              <w:spacing w:after="0"/>
              <w:rPr>
                <w:sz w:val="20"/>
                <w:szCs w:val="20"/>
                <w:color w:val="auto"/>
              </w:rPr>
            </w:pPr>
            <w:r>
              <w:rPr>
                <w:rFonts w:ascii="Arial" w:cs="Arial" w:eastAsia="Arial" w:hAnsi="Arial"/>
                <w:sz w:val="18"/>
                <w:szCs w:val="18"/>
                <w:color w:val="auto"/>
                <w:w w:val="97"/>
              </w:rPr>
              <w:t>(1)  Delta Design, Inc. owns the following subsidiaries:</w:t>
            </w: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8"/>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Delta Design Luxembourg S.à r.l</w:t>
            </w:r>
          </w:p>
        </w:tc>
        <w:tc>
          <w:tcPr>
            <w:tcW w:w="15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Delta Design Singapore PTE LTD</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Delta Design Philippines LLC</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Cohu S.A.</w:t>
            </w:r>
          </w:p>
        </w:tc>
        <w:tc>
          <w:tcPr>
            <w:tcW w:w="15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Delta Design Europe GmbH</w:t>
            </w:r>
          </w:p>
        </w:tc>
        <w:tc>
          <w:tcPr>
            <w:tcW w:w="15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Rasco GmbH</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Rosenheim Automation Systems Corporation</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Ismeca Semiconductor Holding SA (2)</w:t>
            </w:r>
          </w:p>
        </w:tc>
        <w:tc>
          <w:tcPr>
            <w:tcW w:w="15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432"/>
        </w:trPr>
        <w:tc>
          <w:tcPr>
            <w:tcW w:w="8580" w:type="dxa"/>
            <w:vAlign w:val="bottom"/>
            <w:gridSpan w:val="5"/>
          </w:tcPr>
          <w:p>
            <w:pPr>
              <w:spacing w:after="0"/>
              <w:rPr>
                <w:sz w:val="20"/>
                <w:szCs w:val="20"/>
                <w:color w:val="auto"/>
              </w:rPr>
            </w:pPr>
            <w:r>
              <w:rPr>
                <w:rFonts w:ascii="Arial" w:cs="Arial" w:eastAsia="Arial" w:hAnsi="Arial"/>
                <w:sz w:val="18"/>
                <w:szCs w:val="18"/>
                <w:color w:val="auto"/>
              </w:rPr>
              <w:t>(2)  Ismeca Semiconductor Holding SA owns the following subsidiaries:</w:t>
            </w:r>
          </w:p>
        </w:tc>
      </w:tr>
      <w:tr>
        <w:trPr>
          <w:trHeight w:val="418"/>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Ismeca Europe Semiconductor SA</w:t>
            </w:r>
          </w:p>
        </w:tc>
        <w:tc>
          <w:tcPr>
            <w:tcW w:w="15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CDF Holding USA</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Ismeca USA, Inc.</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Cohu Malaysia Sdn. Bhd.</w:t>
            </w:r>
          </w:p>
        </w:tc>
        <w:tc>
          <w:tcPr>
            <w:tcW w:w="15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Malaysia</w:t>
            </w:r>
          </w:p>
        </w:tc>
      </w:tr>
      <w:tr>
        <w:trPr>
          <w:trHeight w:val="230"/>
        </w:trPr>
        <w:tc>
          <w:tcPr>
            <w:tcW w:w="4220" w:type="dxa"/>
            <w:vAlign w:val="bottom"/>
            <w:gridSpan w:val="3"/>
          </w:tcPr>
          <w:p>
            <w:pPr>
              <w:ind w:left="500"/>
              <w:spacing w:after="0"/>
              <w:rPr>
                <w:sz w:val="20"/>
                <w:szCs w:val="20"/>
                <w:color w:val="auto"/>
              </w:rPr>
            </w:pPr>
            <w:r>
              <w:rPr>
                <w:rFonts w:ascii="Arial" w:cs="Arial" w:eastAsia="Arial" w:hAnsi="Arial"/>
                <w:sz w:val="18"/>
                <w:szCs w:val="18"/>
                <w:color w:val="auto"/>
              </w:rPr>
              <w:t>Ismeca Semiconductor (Suzhou) Co Ltd</w:t>
            </w:r>
          </w:p>
        </w:tc>
        <w:tc>
          <w:tcPr>
            <w:tcW w:w="15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(Form S-8 Nos. 333-207016, 333-62803, 333-27663, 333-40610, 333-66466, 333-97449, 333-117554, 333-132605, 333-142579, 333-160760, 333-177453 and 333-186973) pertaining to the Cohu, Inc. 1996 and 1998 Stock Option Plans, 1996 Outside Directors Stock Option Plan, 1997 Employee Stock Purchase Plan and 2005 Equity Incentive Plan of Cohu, Inc. of our reports dated February 23, 2016, with respect to the consolidated financial statements and schedule of Cohu, Inc., and the effectiveness of internal control over financial reporting of Cohu, Inc., included in this Annual Report (Form 10-K) of Cohu, Inc. for the year ended December 26, 2015.</w:t>
      </w:r>
    </w:p>
    <w:p>
      <w:pPr>
        <w:spacing w:after="0" w:line="15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Luis A. Müller, certify that:</w:t>
      </w:r>
    </w:p>
    <w:p>
      <w:pPr>
        <w:spacing w:after="0" w:line="225" w:lineRule="exact"/>
        <w:rPr>
          <w:sz w:val="20"/>
          <w:szCs w:val="20"/>
          <w:color w:val="auto"/>
        </w:rPr>
      </w:pPr>
    </w:p>
    <w:p>
      <w:pPr>
        <w:ind w:left="460" w:hanging="18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440" w:firstLine="278"/>
        <w:spacing w:after="0" w:line="342" w:lineRule="auto"/>
        <w:tabs>
          <w:tab w:leader="none" w:pos="45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78"/>
        <w:spacing w:after="0" w:line="277" w:lineRule="auto"/>
        <w:tabs>
          <w:tab w:leader="none" w:pos="4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hanging="182"/>
        <w:spacing w:after="0"/>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right="260"/>
        <w:spacing w:after="0" w:line="261"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7"/>
          <w:szCs w:val="17"/>
          <w:color w:val="auto"/>
        </w:rPr>
      </w:pPr>
    </w:p>
    <w:p>
      <w:pPr>
        <w:ind w:left="660" w:right="20" w:hanging="328"/>
        <w:spacing w:after="0" w:line="264" w:lineRule="auto"/>
        <w:tabs>
          <w:tab w:leader="none" w:pos="7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6"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701"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6"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0" w:firstLine="278"/>
        <w:spacing w:after="0" w:line="308" w:lineRule="auto"/>
        <w:tabs>
          <w:tab w:leader="none" w:pos="45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701"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6"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25" w:lineRule="exact"/>
        <w:rPr>
          <w:sz w:val="20"/>
          <w:szCs w:val="20"/>
          <w:color w:val="auto"/>
        </w:rPr>
      </w:pPr>
    </w:p>
    <w:p>
      <w:pPr>
        <w:ind w:left="460" w:hanging="18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5" w:lineRule="exact"/>
        <w:rPr>
          <w:rFonts w:ascii="Arial" w:cs="Arial" w:eastAsia="Arial" w:hAnsi="Arial"/>
          <w:sz w:val="18"/>
          <w:szCs w:val="18"/>
          <w:color w:val="auto"/>
        </w:rPr>
      </w:pPr>
    </w:p>
    <w:p>
      <w:pPr>
        <w:jc w:val="both"/>
        <w:ind w:right="440" w:firstLine="278"/>
        <w:spacing w:after="0" w:line="342" w:lineRule="auto"/>
        <w:tabs>
          <w:tab w:leader="none" w:pos="45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78"/>
        <w:spacing w:after="0" w:line="277" w:lineRule="auto"/>
        <w:tabs>
          <w:tab w:leader="none" w:pos="4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hanging="18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34" w:lineRule="exact"/>
        <w:rPr>
          <w:rFonts w:ascii="Arial" w:cs="Arial" w:eastAsia="Arial" w:hAnsi="Arial"/>
          <w:sz w:val="17"/>
          <w:szCs w:val="17"/>
          <w:color w:val="auto"/>
        </w:rPr>
      </w:pPr>
    </w:p>
    <w:p>
      <w:pPr>
        <w:ind w:right="260"/>
        <w:spacing w:after="0" w:line="261"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7"/>
          <w:szCs w:val="17"/>
          <w:color w:val="auto"/>
        </w:rPr>
      </w:pPr>
    </w:p>
    <w:p>
      <w:pPr>
        <w:ind w:left="660" w:right="40" w:hanging="328"/>
        <w:spacing w:after="0" w:line="264" w:lineRule="auto"/>
        <w:tabs>
          <w:tab w:leader="none" w:pos="656"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701"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0" w:firstLine="278"/>
        <w:spacing w:after="0" w:line="308" w:lineRule="auto"/>
        <w:tabs>
          <w:tab w:leader="none" w:pos="45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70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6"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400" w:firstLine="270"/>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26, 2015 (the "Report"), I, Luis A. Müller, President and Chief Executive Officer of the Company, certify, pursuant to 18 U.S.C. Section 1350, as adopted pursuant to Section 906 of the Sarbanes-Oxley Act of 2002, that, based on my knowledge:</w:t>
      </w:r>
    </w:p>
    <w:p>
      <w:pPr>
        <w:spacing w:after="0" w:line="181"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23, 2016</w:t>
      </w:r>
    </w:p>
    <w:p>
      <w:pPr>
        <w:spacing w:after="0"/>
        <w:rPr>
          <w:sz w:val="20"/>
          <w:szCs w:val="20"/>
          <w:color w:val="auto"/>
        </w:rPr>
      </w:pPr>
      <w:r>
        <w:rPr>
          <w:rFonts w:ascii="Arial" w:cs="Arial" w:eastAsia="Arial" w:hAnsi="Arial"/>
          <w:sz w:val="18"/>
          <w:szCs w:val="18"/>
          <w:color w:val="auto"/>
        </w:rPr>
        <w:t>/s/ 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300" w:firstLine="270"/>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26, 2015 (the "Report"), I, Jeffrey D. Jones, Vice President Finance and Chief Financial Officer of the Company, certify, pursuant to 18 U.S.C. Section 1350, as adopted pursuant to Section 906 of the Sarbanes-Oxley Act of 2002, that, based on my knowledge:</w:t>
      </w:r>
    </w:p>
    <w:p>
      <w:pPr>
        <w:spacing w:after="0" w:line="181"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23, 2016</w:t>
      </w:r>
    </w:p>
    <w:p>
      <w:pPr>
        <w:spacing w:after="0"/>
        <w:rPr>
          <w:sz w:val="20"/>
          <w:szCs w:val="20"/>
          <w:color w:val="auto"/>
        </w:rPr>
      </w:pPr>
      <w:r>
        <w:rPr>
          <w:rFonts w:ascii="Arial" w:cs="Arial" w:eastAsia="Arial" w:hAnsi="Arial"/>
          <w:sz w:val="18"/>
          <w:szCs w:val="18"/>
          <w:color w:val="auto"/>
        </w:rPr>
        <w:t>/s/ Jeffrey D.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lowerLetter"/>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1)"/>
      <w:numFmt w:val="lowerLetter"/>
      <w:start w:val="1"/>
    </w:lvl>
    <w:lvl w:ilvl="1">
      <w:lvlJc w:val="left"/>
      <w:lvlText w:val="(%2)"/>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2"/>
    </w:lvl>
  </w:abstractNum>
  <w:abstractNum w:abstractNumId="14">
    <w:nsid w:val="6DE91B18"/>
    <w:multiLevelType w:val="hybridMultilevel"/>
    <w:lvl w:ilvl="0">
      <w:lvlJc w:val="left"/>
      <w:lvlText w:val="%1."/>
      <w:numFmt w:val="decimal"/>
      <w:start w:val="3"/>
    </w:lvl>
  </w:abstractNum>
  <w:abstractNum w:abstractNumId="15">
    <w:nsid w:val="38437FDB"/>
    <w:multiLevelType w:val="hybridMultilevel"/>
    <w:lvl w:ilvl="0">
      <w:lvlJc w:val="left"/>
      <w:lvlText w:val="%1."/>
      <w:numFmt w:val="decimal"/>
      <w:start w:val="4"/>
    </w:lvl>
  </w:abstractNum>
  <w:abstractNum w:abstractNumId="16">
    <w:nsid w:val="7644A45C"/>
    <w:multiLevelType w:val="hybridMultilevel"/>
    <w:lvl w:ilvl="0">
      <w:lvlJc w:val="left"/>
      <w:lvlText w:val="%1."/>
      <w:numFmt w:val="decimal"/>
      <w:start w:val="5"/>
    </w:lvl>
  </w:abstractNum>
  <w:abstractNum w:abstractNumId="17">
    <w:nsid w:val="32FFF902"/>
    <w:multiLevelType w:val="hybridMultilevel"/>
    <w:lvl w:ilvl="0">
      <w:lvlJc w:val="left"/>
      <w:lvlText w:val="%1."/>
      <w:numFmt w:val="decimal"/>
      <w:start w:val="6"/>
    </w:lvl>
  </w:abstractNum>
  <w:abstractNum w:abstractNumId="18">
    <w:nsid w:val="684A481A"/>
    <w:multiLevelType w:val="hybridMultilevel"/>
    <w:lvl w:ilvl="0">
      <w:lvlJc w:val="left"/>
      <w:lvlText w:val="%1."/>
      <w:numFmt w:val="decimal"/>
      <w:start w:val="7"/>
    </w:lvl>
  </w:abstractNum>
  <w:abstractNum w:abstractNumId="19">
    <w:nsid w:val="579478FE"/>
    <w:multiLevelType w:val="hybridMultilevel"/>
    <w:lvl w:ilvl="0">
      <w:lvlJc w:val="left"/>
      <w:lvlText w:val="%1."/>
      <w:numFmt w:val="decimal"/>
      <w:start w:val="8"/>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9"/>
    </w:lvl>
  </w:abstractNum>
  <w:abstractNum w:abstractNumId="22">
    <w:nsid w:val="1BA026FA"/>
    <w:multiLevelType w:val="hybridMultilevel"/>
    <w:lvl w:ilvl="0">
      <w:lvlJc w:val="left"/>
      <w:lvlText w:val="%1."/>
      <w:numFmt w:val="decimal"/>
      <w:start w:val="10"/>
    </w:lvl>
  </w:abstractNum>
  <w:abstractNum w:abstractNumId="23">
    <w:nsid w:val="79A1DEAA"/>
    <w:multiLevelType w:val="hybridMultilevel"/>
    <w:lvl w:ilvl="0">
      <w:lvlJc w:val="left"/>
      <w:lvlText w:val="%1."/>
      <w:numFmt w:val="decimal"/>
      <w:start w:val="11"/>
    </w:lvl>
  </w:abstractNum>
  <w:abstractNum w:abstractNumId="24">
    <w:nsid w:val="75C6C33A"/>
    <w:multiLevelType w:val="hybridMultilevel"/>
    <w:lvl w:ilvl="0">
      <w:lvlJc w:val="left"/>
      <w:lvlText w:val="(%1)"/>
      <w:numFmt w:val="lowerLetter"/>
      <w:start w:val="1"/>
    </w:lvl>
  </w:abstractNum>
  <w:abstractNum w:abstractNumId="25">
    <w:nsid w:val="12E685FB"/>
    <w:multiLevelType w:val="hybridMultilevel"/>
    <w:lvl w:ilvl="0">
      <w:lvlJc w:val="left"/>
      <w:lvlText w:val="(%1)"/>
      <w:numFmt w:val="lowerLetter"/>
      <w:start w:val="2"/>
    </w:lvl>
    <w:lvl w:ilvl="1">
      <w:lvlJc w:val="left"/>
      <w:lvlText w:val="(%2)"/>
      <w:numFmt w:val="lowerLetter"/>
      <w:start w:val="9"/>
    </w:lvl>
  </w:abstractNum>
  <w:abstractNum w:abstractNumId="26">
    <w:nsid w:val="70C6A529"/>
    <w:multiLevelType w:val="hybridMultilevel"/>
    <w:lvl w:ilvl="0">
      <w:lvlJc w:val="left"/>
      <w:lvlText w:val="(%1)"/>
      <w:numFmt w:val="lowerRoman"/>
      <w:start w:val="2"/>
    </w:lvl>
  </w:abstractNum>
  <w:abstractNum w:abstractNumId="27">
    <w:nsid w:val="520EEDD1"/>
    <w:multiLevelType w:val="hybridMultilevel"/>
    <w:lvl w:ilvl="0">
      <w:lvlJc w:val="left"/>
      <w:lvlText w:val="(%1)"/>
      <w:numFmt w:val="decimal"/>
      <w:start w:val="5"/>
    </w:lvl>
  </w:abstractNum>
  <w:abstractNum w:abstractNumId="28">
    <w:nsid w:val="374A3FE6"/>
    <w:multiLevelType w:val="hybridMultilevel"/>
    <w:lvl w:ilvl="0">
      <w:lvlJc w:val="left"/>
      <w:lvlText w:val="(%1)"/>
      <w:numFmt w:val="decimal"/>
      <w:start w:val="9"/>
    </w:lvl>
  </w:abstractNum>
  <w:abstractNum w:abstractNumId="29">
    <w:nsid w:val="4F4EF005"/>
    <w:multiLevelType w:val="hybridMultilevel"/>
    <w:lvl w:ilvl="0">
      <w:lvlJc w:val="left"/>
      <w:lvlText w:val="(%1)"/>
      <w:numFmt w:val="lowerLetter"/>
      <w:start w:val="4"/>
    </w:lvl>
    <w:lvl w:ilvl="1">
      <w:lvlJc w:val="left"/>
      <w:lvlText w:val="(%2)"/>
      <w:numFmt w:val="lowerRoman"/>
      <w:start w:val="1"/>
    </w:lvl>
  </w:abstractNum>
  <w:abstractNum w:abstractNumId="30">
    <w:nsid w:val="23F9C13C"/>
    <w:multiLevelType w:val="hybridMultilevel"/>
    <w:lvl w:ilvl="0">
      <w:lvlJc w:val="left"/>
      <w:lvlText w:val="(%1)"/>
      <w:numFmt w:val="lowerLetter"/>
      <w:start w:val="5"/>
    </w:lvl>
    <w:lvl w:ilvl="1">
      <w:lvlJc w:val="left"/>
      <w:lvlText w:val="(%2)"/>
      <w:numFmt w:val="lowerRoman"/>
      <w:start w:val="1"/>
    </w:lvl>
  </w:abstractNum>
  <w:abstractNum w:abstractNumId="31">
    <w:nsid w:val="649BB77C"/>
    <w:multiLevelType w:val="hybridMultilevel"/>
    <w:lvl w:ilvl="0">
      <w:lvlJc w:val="left"/>
      <w:lvlText w:val="(%1)"/>
      <w:numFmt w:val="lowerLetter"/>
      <w:start w:val="1"/>
    </w:lvl>
  </w:abstractNum>
  <w:abstractNum w:abstractNumId="32">
    <w:nsid w:val="275AC794"/>
    <w:multiLevelType w:val="hybridMultilevel"/>
    <w:lvl w:ilvl="0">
      <w:lvlJc w:val="left"/>
      <w:lvlText w:val="%1"/>
      <w:numFmt w:val="lowerLetter"/>
      <w:start w:val="1"/>
    </w:lvl>
    <w:lvl w:ilvl="1">
      <w:lvlJc w:val="left"/>
      <w:lvlText w:val="(%2)"/>
      <w:numFmt w:val="lowerLetter"/>
      <w:start w:val="4"/>
    </w:lvl>
  </w:abstractNum>
  <w:abstractNum w:abstractNumId="33">
    <w:nsid w:val="39386575"/>
    <w:multiLevelType w:val="hybridMultilevel"/>
    <w:lvl w:ilvl="0">
      <w:lvlJc w:val="left"/>
      <w:lvlText w:val="(%1)"/>
      <w:numFmt w:val="lowerLetter"/>
      <w:start w:val="61"/>
    </w:lvl>
    <w:lvl w:ilvl="1">
      <w:lvlJc w:val="left"/>
      <w:lvlText w:val="%2"/>
      <w:numFmt w:val="lowerLetter"/>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Letter"/>
      <w:start w:val="3"/>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Letter"/>
      <w:start w:val="2"/>
    </w:lvl>
    <w:lvl w:ilvl="1">
      <w:lvlJc w:val="left"/>
      <w:lvlText w:val="(%2)"/>
      <w:numFmt w:val="lowerRoman"/>
      <w:start w:val="1"/>
    </w:lvl>
  </w:abstractNum>
  <w:abstractNum w:abstractNumId="38">
    <w:nsid w:val="354FE9F9"/>
    <w:multiLevelType w:val="hybridMultilevel"/>
    <w:lvl w:ilvl="0">
      <w:lvlJc w:val="left"/>
      <w:lvlText w:val="%1"/>
      <w:numFmt w:val="lowerLetter"/>
      <w:start w:val="1"/>
    </w:lvl>
    <w:lvl w:ilvl="1">
      <w:lvlJc w:val="left"/>
      <w:lvlText w:val="(%2)"/>
      <w:numFmt w:val="lowerLetter"/>
      <w:start w:val="61"/>
    </w:lvl>
  </w:abstractNum>
  <w:abstractNum w:abstractNumId="39">
    <w:nsid w:val="15B5AF5C"/>
    <w:multiLevelType w:val="hybridMultilevel"/>
    <w:lvl w:ilvl="0">
      <w:lvlJc w:val="left"/>
      <w:lvlText w:val="(%1)"/>
      <w:numFmt w:val="lowerLetter"/>
      <w:start w:val="3"/>
    </w:lvl>
    <w:lvl w:ilvl="1">
      <w:lvlJc w:val="left"/>
      <w:lvlText w:val="%2"/>
      <w:numFmt w:val="lowerLetter"/>
      <w:start w:val="1"/>
    </w:lvl>
  </w:abstractNum>
  <w:abstractNum w:abstractNumId="40">
    <w:nsid w:val="741226BB"/>
    <w:multiLevelType w:val="hybridMultilevel"/>
    <w:lvl w:ilvl="0">
      <w:lvlJc w:val="left"/>
      <w:lvlText w:val="(%1)"/>
      <w:numFmt w:val="lowerLetter"/>
      <w:start w:val="4"/>
    </w:lvl>
  </w:abstractNum>
  <w:abstractNum w:abstractNumId="41">
    <w:nsid w:val="D34B6A8"/>
    <w:multiLevelType w:val="hybridMultilevel"/>
    <w:lvl w:ilvl="0">
      <w:lvlJc w:val="left"/>
      <w:lvlText w:val="(%1)"/>
      <w:numFmt w:val="lowerLetter"/>
      <w:start w:val="6"/>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2"/>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Roman"/>
      <w:start w:val="1"/>
    </w:lvl>
    <w:lvl w:ilvl="1">
      <w:lvlJc w:val="left"/>
      <w:lvlText w:val="(%2)"/>
      <w:numFmt w:val="lowerLetter"/>
      <w:start w:val="3"/>
    </w:lvl>
  </w:abstractNum>
  <w:abstractNum w:abstractNumId="47">
    <w:nsid w:val="579BE4F1"/>
    <w:multiLevelType w:val="hybridMultilevel"/>
    <w:lvl w:ilvl="0">
      <w:lvlJc w:val="left"/>
      <w:lvlText w:val="(%1)"/>
      <w:numFmt w:val="lowerRoman"/>
      <w:start w:val="4"/>
    </w:lvl>
    <w:lvl w:ilvl="1">
      <w:lvlJc w:val="left"/>
      <w:lvlText w:val="(%2)"/>
      <w:numFmt w:val="lowerLetter"/>
      <w:start w:val="4"/>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Roman"/>
      <w:start w:val="1"/>
    </w:lvl>
    <w:lvl w:ilvl="1">
      <w:lvlJc w:val="left"/>
      <w:lvlText w:val="(%2)"/>
      <w:numFmt w:val="lowerLetter"/>
      <w:start w:val="3"/>
    </w:lvl>
  </w:abstractNum>
  <w:abstractNum w:abstractNumId="50">
    <w:nsid w:val="2F305DEF"/>
    <w:multiLevelType w:val="hybridMultilevel"/>
    <w:lvl w:ilvl="0">
      <w:lvlJc w:val="left"/>
      <w:lvlText w:val="(%1)"/>
      <w:numFmt w:val="lowerRoman"/>
      <w:start w:val="4"/>
    </w:lvl>
    <w:lvl w:ilvl="1">
      <w:lvlJc w:val="left"/>
      <w:lvlText w:val="%2"/>
      <w:numFmt w:val="lowerLetter"/>
      <w:start w:val="1"/>
    </w:lvl>
  </w:abstractNum>
  <w:abstractNum w:abstractNumId="51">
    <w:nsid w:val="25A70BF7"/>
    <w:multiLevelType w:val="hybridMultilevel"/>
    <w:lvl w:ilvl="0">
      <w:lvlJc w:val="left"/>
      <w:lvlText w:val="(%1)"/>
      <w:numFmt w:val="lowerLetter"/>
      <w:start w:val="1"/>
    </w:lvl>
    <w:lvl w:ilvl="1">
      <w:lvlJc w:val="left"/>
      <w:lvlText w:val="(%2)"/>
      <w:numFmt w:val="lowerRoman"/>
      <w:start w:val="1"/>
    </w:lvl>
  </w:abstractNum>
  <w:abstractNum w:abstractNumId="52">
    <w:nsid w:val="1DBABF00"/>
    <w:multiLevelType w:val="hybridMultilevel"/>
    <w:lvl w:ilvl="0">
      <w:lvlJc w:val="left"/>
      <w:lvlText w:val="%1"/>
      <w:numFmt w:val="lowerLetter"/>
      <w:start w:val="1"/>
    </w:lvl>
    <w:lvl w:ilvl="1">
      <w:lvlJc w:val="left"/>
      <w:lvlText w:val="(%2)"/>
      <w:numFmt w:val="lowerRoman"/>
      <w:start w:val="4"/>
    </w:lvl>
  </w:abstractNum>
  <w:abstractNum w:abstractNumId="53">
    <w:nsid w:val="4AD084E9"/>
    <w:multiLevelType w:val="hybridMultilevel"/>
    <w:lvl w:ilvl="0">
      <w:lvlJc w:val="left"/>
      <w:lvlText w:val="(%1)"/>
      <w:numFmt w:val="lowerLetter"/>
      <w:start w:val="2"/>
    </w:lvl>
    <w:lvl w:ilvl="1">
      <w:lvlJc w:val="left"/>
      <w:lvlText w:val="%2"/>
      <w:numFmt w:val="lowerRoman"/>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2"/>
    </w:lvl>
  </w:abstractNum>
  <w:abstractNum w:abstractNumId="56">
    <w:nsid w:val="5DB70AE5"/>
    <w:multiLevelType w:val="hybridMultilevel"/>
    <w:lvl w:ilvl="0">
      <w:lvlJc w:val="left"/>
      <w:lvlText w:val="(%1)"/>
      <w:numFmt w:val="lowerLetter"/>
      <w:start w:val="6"/>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1"/>
    </w:lvl>
    <w:lvl w:ilvl="1">
      <w:lvlJc w:val="left"/>
      <w:lvlText w:val="(%2)"/>
      <w:numFmt w:val="lowerLetter"/>
      <w:start w:val="2"/>
    </w:lvl>
  </w:abstractNum>
  <w:abstractNum w:abstractNumId="59">
    <w:nsid w:val="15014ACB"/>
    <w:multiLevelType w:val="hybridMultilevel"/>
    <w:lvl w:ilvl="0">
      <w:lvlJc w:val="left"/>
      <w:lvlText w:val="(%1)"/>
      <w:numFmt w:val="lowerLetter"/>
      <w:start w:val="35"/>
    </w:lvl>
    <w:lvl w:ilvl="1">
      <w:lvlJc w:val="left"/>
      <w:lvlText w:val="%2"/>
      <w:numFmt w:val="lowerLetter"/>
      <w:start w:val="1"/>
    </w:lvl>
  </w:abstractNum>
  <w:abstractNum w:abstractNumId="60">
    <w:nsid w:val="5F5E7FD0"/>
    <w:multiLevelType w:val="hybridMultilevel"/>
    <w:lvl w:ilvl="0">
      <w:lvlJc w:val="left"/>
      <w:lvlText w:val="(%1)"/>
      <w:numFmt w:val="lowerLetter"/>
      <w:start w:val="22"/>
    </w:lvl>
    <w:lvl w:ilvl="1">
      <w:lvlJc w:val="left"/>
      <w:lvlText w:val="(%2)"/>
      <w:numFmt w:val="lowerLetter"/>
      <w:start w:val="3"/>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lowerLetter"/>
      <w:start w:val="3"/>
    </w:lvl>
  </w:abstractNum>
  <w:abstractNum w:abstractNumId="63">
    <w:nsid w:val="6B94764"/>
    <w:multiLevelType w:val="hybridMultilevel"/>
    <w:lvl w:ilvl="0">
      <w:lvlJc w:val="left"/>
      <w:lvlText w:val="(%1)"/>
      <w:numFmt w:val="lowerLetter"/>
      <w:start w:val="1"/>
    </w:lvl>
    <w:lvl w:ilvl="1">
      <w:lvlJc w:val="left"/>
      <w:lvlText w:val="(%2)"/>
      <w:numFmt w:val="lowerLetter"/>
      <w:start w:val="9"/>
    </w:lvl>
  </w:abstractNum>
  <w:abstractNum w:abstractNumId="64">
    <w:nsid w:val="42C296BD"/>
    <w:multiLevelType w:val="hybridMultilevel"/>
    <w:lvl w:ilvl="0">
      <w:lvlJc w:val="left"/>
      <w:lvlText w:val="%1"/>
      <w:numFmt w:val="lowerLetter"/>
      <w:start w:val="1"/>
    </w:lvl>
    <w:lvl w:ilvl="1">
      <w:lvlJc w:val="left"/>
      <w:lvlText w:val="(%2)"/>
      <w:numFmt w:val="lowerLetter"/>
      <w:start w:val="35"/>
    </w:lvl>
  </w:abstractNum>
  <w:abstractNum w:abstractNumId="65">
    <w:nsid w:val="168E121F"/>
    <w:multiLevelType w:val="hybridMultilevel"/>
    <w:lvl w:ilvl="0">
      <w:lvlJc w:val="left"/>
      <w:lvlText w:val="(%1)"/>
      <w:numFmt w:val="lowerLetter"/>
      <w:start w:val="3"/>
    </w:lvl>
    <w:lvl w:ilvl="1">
      <w:lvlJc w:val="left"/>
      <w:lvlText w:val="%2"/>
      <w:numFmt w:val="lowerLetter"/>
      <w:start w:val="1"/>
    </w:lvl>
  </w:abstractNum>
  <w:abstractNum w:abstractNumId="66">
    <w:nsid w:val="1EBA5D23"/>
    <w:multiLevelType w:val="hybridMultilevel"/>
    <w:lvl w:ilvl="0">
      <w:lvlJc w:val="left"/>
      <w:lvlText w:val="(%1)"/>
      <w:numFmt w:val="lowerLetter"/>
      <w:start w:val="10"/>
    </w:lvl>
  </w:abstractNum>
  <w:abstractNum w:abstractNumId="67">
    <w:nsid w:val="661E3F1E"/>
    <w:multiLevelType w:val="hybridMultilevel"/>
    <w:lvl w:ilvl="0">
      <w:lvlJc w:val="left"/>
      <w:lvlText w:val="(%1)"/>
      <w:numFmt w:val="lowerLetter"/>
      <w:start w:val="15"/>
    </w:lvl>
    <w:lvl w:ilvl="1">
      <w:lvlJc w:val="left"/>
      <w:lvlText w:val="(%2)"/>
      <w:numFmt w:val="lowerLetter"/>
      <w:start w:val="9"/>
    </w:lvl>
  </w:abstractNum>
  <w:abstractNum w:abstractNumId="68">
    <w:nsid w:val="5DC79EA8"/>
    <w:multiLevelType w:val="hybridMultilevel"/>
    <w:lvl w:ilvl="0">
      <w:lvlJc w:val="left"/>
      <w:lvlText w:val="%1"/>
      <w:numFmt w:val="lowerLetter"/>
      <w:start w:val="1"/>
    </w:lvl>
    <w:lvl w:ilvl="1">
      <w:lvlJc w:val="left"/>
      <w:lvlText w:val="(%2)"/>
      <w:numFmt w:val="lowerRoman"/>
      <w:start w:val="2"/>
    </w:lvl>
  </w:abstractNum>
  <w:abstractNum w:abstractNumId="69">
    <w:nsid w:val="540A471C"/>
    <w:multiLevelType w:val="hybridMultilevel"/>
    <w:lvl w:ilvl="0">
      <w:lvlJc w:val="left"/>
      <w:lvlText w:val="(%1)"/>
      <w:numFmt w:val="lowerLetter"/>
      <w:start w:val="17"/>
    </w:lvl>
    <w:lvl w:ilvl="1">
      <w:lvlJc w:val="left"/>
      <w:lvlText w:val="%2"/>
      <w:numFmt w:val="lowerRoman"/>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Roman"/>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3"/>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2019-12-05T04:43:51Z</dcterms:created>
  <dcterms:modified xsi:type="dcterms:W3CDTF">2019-12-05T04:43:51Z</dcterms:modified>
</cp:coreProperties>
</file>