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Cohu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#192576106</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#192576106</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106,100</w:t>
      </w:r>
    </w:p>
    <w:tbl>
      <w:tblPr>
        <w:tblLayout w:type="fixed"/>
        <w:tblInd w:w="0" w:type="dxa"/>
        <w:tblCellMar>
          <w:top w:w="0" w:type="dxa"/>
          <w:left w:w="0" w:type="dxa"/>
          <w:bottom w:w="0" w:type="dxa"/>
          <w:right w:w="0" w:type="dxa"/>
        </w:tblCellMar>
      </w:tblP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 0</w:t>
            </w:r>
          </w:p>
        </w:tc>
        <w:tc>
          <w:tcPr>
            <w:tcW w:w="68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Item 7: 414,300</w:t>
            </w:r>
          </w:p>
        </w:tc>
        <w:tc>
          <w:tcPr>
            <w:tcW w:w="68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 0</w:t>
            </w:r>
          </w:p>
        </w:tc>
        <w:tc>
          <w:tcPr>
            <w:tcW w:w="68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Item 9: 414,300</w:t>
            </w:r>
          </w:p>
        </w:tc>
        <w:tc>
          <w:tcPr>
            <w:tcW w:w="68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1.953%</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#192576106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Edward C. Johnson 3d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ectPr>
          <w:pgSz w:w="11900" w:h="16838" w:orient="portrait"/>
          <w:cols w:equalWidth="0" w:num="1">
            <w:col w:w="10219"/>
          </w:cols>
          <w:pgMar w:left="240" w:top="244" w:right="1440" w:bottom="0" w:gutter="0" w:footer="0" w:header="0"/>
        </w:sectPr>
      </w:pP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7: 414,300</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8: 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9: 414,300</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11:</w:t>
      </w:r>
    </w:p>
    <w:p>
      <w:pPr>
        <w:spacing w:after="0" w:line="238" w:lineRule="auto"/>
        <w:rPr>
          <w:sz w:val="20"/>
          <w:szCs w:val="20"/>
          <w:color w:val="auto"/>
        </w:rPr>
      </w:pPr>
      <w:r>
        <w:rPr>
          <w:rFonts w:ascii="Courier New" w:cs="Courier New" w:eastAsia="Courier New" w:hAnsi="Courier New"/>
          <w:sz w:val="18"/>
          <w:szCs w:val="18"/>
          <w:color w:val="auto"/>
        </w:rPr>
        <w:t>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1.953%</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200" w:lineRule="exact"/>
        <w:rPr>
          <w:sz w:val="24"/>
          <w:szCs w:val="24"/>
          <w:color w:val="auto"/>
        </w:rPr>
      </w:pPr>
    </w:p>
    <w:p>
      <w:pPr>
        <w:sectPr>
          <w:pgSz w:w="11900" w:h="16838" w:orient="portrait"/>
          <w:cols w:equalWidth="0" w:num="2">
            <w:col w:w="1580" w:space="120"/>
            <w:col w:w="8519"/>
          </w:cols>
          <w:pgMar w:left="240" w:top="244" w:right="1440" w:bottom="0" w:gutter="0" w:footer="0" w:header="0"/>
          <w:type w:val="continuous"/>
        </w:sect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#192576106</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tbl>
      <w:tblPr>
        <w:tblLayout w:type="fixed"/>
        <w:tblInd w:w="0" w:type="dxa"/>
        <w:tblCellMar>
          <w:top w:w="0" w:type="dxa"/>
          <w:left w:w="0" w:type="dxa"/>
          <w:bottom w:w="0" w:type="dxa"/>
          <w:right w:w="0" w:type="dxa"/>
        </w:tblCellMar>
      </w:tblP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 0</w:t>
            </w:r>
          </w:p>
        </w:tc>
        <w:tc>
          <w:tcPr>
            <w:tcW w:w="68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Item 7: 414,300</w:t>
            </w:r>
          </w:p>
        </w:tc>
        <w:tc>
          <w:tcPr>
            <w:tcW w:w="68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 0</w:t>
            </w:r>
          </w:p>
        </w:tc>
        <w:tc>
          <w:tcPr>
            <w:tcW w:w="68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Item 9: 414,300</w:t>
            </w:r>
          </w:p>
        </w:tc>
        <w:tc>
          <w:tcPr>
            <w:tcW w:w="68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1.953%</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spacing w:after="0" w:line="5"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FILED PURSUANT TO RULE 13d-1(b) or 13d-2(b)</w:t>
      </w:r>
    </w:p>
    <w:p>
      <w:pPr>
        <w:sectPr>
          <w:pgSz w:w="11900" w:h="16838"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4"/>
          <w:szCs w:val="24"/>
          <w:color w:val="auto"/>
        </w:rPr>
      </w:pPr>
    </w:p>
    <w:p>
      <w:pPr>
        <w:sectPr>
          <w:pgSz w:w="11900" w:h="16838" w:orient="portrait"/>
          <w:cols w:equalWidth="0" w:num="2">
            <w:col w:w="1060" w:space="640"/>
            <w:col w:w="8519"/>
          </w:cols>
          <w:pgMar w:left="240" w:top="244"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Cohu Incorporated</w:t>
      </w:r>
    </w:p>
    <w:p>
      <w:pPr>
        <w:sectPr>
          <w:pgSz w:w="11900" w:h="16838" w:orient="portrait"/>
          <w:cols w:equalWidth="0" w:num="1">
            <w:col w:w="10219"/>
          </w:cols>
          <w:pgMar w:left="240" w:top="244"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Issuer's Principal Executive Offices:</w:t>
      </w:r>
    </w:p>
    <w:p>
      <w:pPr>
        <w:spacing w:after="0" w:line="200" w:lineRule="exact"/>
        <w:rPr>
          <w:sz w:val="24"/>
          <w:szCs w:val="24"/>
          <w:color w:val="auto"/>
        </w:rPr>
      </w:pPr>
    </w:p>
    <w:p>
      <w:pPr>
        <w:sectPr>
          <w:pgSz w:w="11900" w:h="16838" w:orient="portrait"/>
          <w:cols w:equalWidth="0" w:num="2">
            <w:col w:w="1060" w:space="640"/>
            <w:col w:w="8519"/>
          </w:cols>
          <w:pgMar w:left="240" w:top="244"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12367 Crosthwaite Circle</w:t>
      </w:r>
    </w:p>
    <w:p>
      <w:pPr>
        <w:spacing w:after="0" w:line="16" w:lineRule="exact"/>
        <w:rPr>
          <w:sz w:val="24"/>
          <w:szCs w:val="24"/>
          <w:color w:val="auto"/>
        </w:rPr>
      </w:pPr>
    </w:p>
    <w:p>
      <w:pPr>
        <w:ind w:left="1700"/>
        <w:spacing w:after="0"/>
        <w:tabs>
          <w:tab w:leader="none" w:pos="2840" w:val="left"/>
        </w:tabs>
        <w:rPr>
          <w:sz w:val="20"/>
          <w:szCs w:val="20"/>
          <w:color w:val="auto"/>
        </w:rPr>
      </w:pPr>
      <w:r>
        <w:rPr>
          <w:rFonts w:ascii="Courier New" w:cs="Courier New" w:eastAsia="Courier New" w:hAnsi="Courier New"/>
          <w:sz w:val="18"/>
          <w:szCs w:val="18"/>
          <w:color w:val="auto"/>
        </w:rPr>
        <w:t>Poway, CA</w:t>
      </w:r>
      <w:r>
        <w:rPr>
          <w:sz w:val="20"/>
          <w:szCs w:val="20"/>
          <w:color w:val="auto"/>
        </w:rPr>
        <w:tab/>
      </w:r>
      <w:r>
        <w:rPr>
          <w:rFonts w:ascii="Courier New" w:cs="Courier New" w:eastAsia="Courier New" w:hAnsi="Courier New"/>
          <w:sz w:val="16"/>
          <w:szCs w:val="16"/>
          <w:color w:val="auto"/>
        </w:rPr>
        <w:t>92064-6817</w:t>
      </w:r>
    </w:p>
    <w:p>
      <w:pPr>
        <w:sectPr>
          <w:pgSz w:w="11900" w:h="16838" w:orient="portrait"/>
          <w:cols w:equalWidth="0" w:num="1">
            <w:col w:w="10219"/>
          </w:cols>
          <w:pgMar w:left="240" w:top="244"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00" w:lineRule="exact"/>
        <w:rPr>
          <w:sz w:val="24"/>
          <w:szCs w:val="24"/>
          <w:color w:val="auto"/>
        </w:rPr>
      </w:pPr>
    </w:p>
    <w:p>
      <w:pPr>
        <w:sectPr>
          <w:pgSz w:w="11900" w:h="16838" w:orient="portrait"/>
          <w:cols w:equalWidth="0" w:num="2">
            <w:col w:w="1060" w:space="640"/>
            <w:col w:w="8519"/>
          </w:cols>
          <w:pgMar w:left="240" w:top="244"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FMR Corp.</w:t>
      </w:r>
    </w:p>
    <w:p>
      <w:pPr>
        <w:sectPr>
          <w:pgSz w:w="11900" w:h="16838" w:orient="portrait"/>
          <w:cols w:equalWidth="0" w:num="1">
            <w:col w:w="10219"/>
          </w:cols>
          <w:pgMar w:left="240" w:top="244"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Residence: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or Principal Business Office or, if None,</w:t>
      </w:r>
    </w:p>
    <w:p>
      <w:pPr>
        <w:spacing w:after="0" w:line="402" w:lineRule="exact"/>
        <w:rPr>
          <w:sz w:val="24"/>
          <w:szCs w:val="24"/>
          <w:color w:val="auto"/>
        </w:rPr>
      </w:pPr>
    </w:p>
    <w:p>
      <w:pPr>
        <w:sectPr>
          <w:pgSz w:w="11900" w:h="16838" w:orient="portrait"/>
          <w:cols w:equalWidth="0" w:num="2">
            <w:col w:w="1060" w:space="640"/>
            <w:col w:w="8519"/>
          </w:cols>
          <w:pgMar w:left="240" w:top="244" w:right="1440" w:bottom="0" w:gutter="0" w:footer="0" w:header="0"/>
          <w:type w:val="continuous"/>
        </w:sectPr>
      </w:pPr>
    </w:p>
    <w:p>
      <w:pPr>
        <w:spacing w:after="0" w:line="22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Massachusetts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82 Devonshire Street, Boston,</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02109</w:t>
      </w:r>
    </w:p>
    <w:p>
      <w:pPr>
        <w:spacing w:after="0" w:line="200" w:lineRule="exact"/>
        <w:rPr>
          <w:sz w:val="24"/>
          <w:szCs w:val="24"/>
          <w:color w:val="auto"/>
        </w:rPr>
      </w:pPr>
    </w:p>
    <w:p>
      <w:pPr>
        <w:sectPr>
          <w:pgSz w:w="11900" w:h="16838" w:orient="portrait"/>
          <w:cols w:equalWidth="0" w:num="2">
            <w:col w:w="1380" w:space="200"/>
            <w:col w:w="8639"/>
          </w:cols>
          <w:pgMar w:left="240" w:top="244" w:right="1440" w:bottom="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4"/>
          <w:szCs w:val="24"/>
          <w:color w:val="auto"/>
        </w:rPr>
      </w:pPr>
    </w:p>
    <w:p>
      <w:pPr>
        <w:sectPr>
          <w:pgSz w:w="11900" w:h="16838" w:orient="portrait"/>
          <w:cols w:equalWidth="0" w:num="2">
            <w:col w:w="1060" w:space="640"/>
            <w:col w:w="8519"/>
          </w:cols>
          <w:pgMar w:left="240" w:top="244"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244"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4"/>
          <w:szCs w:val="24"/>
          <w:color w:val="auto"/>
        </w:rPr>
      </w:pPr>
    </w:p>
    <w:p>
      <w:pPr>
        <w:sectPr>
          <w:pgSz w:w="11900" w:h="16838" w:orient="portrait"/>
          <w:cols w:equalWidth="0" w:num="2">
            <w:col w:w="1060" w:space="640"/>
            <w:col w:w="8519"/>
          </w:cols>
          <w:pgMar w:left="240" w:top="244"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Common Stock</w:t>
      </w:r>
    </w:p>
    <w:p>
      <w:pPr>
        <w:sectPr>
          <w:pgSz w:w="11900" w:h="16838" w:orient="portrait"/>
          <w:cols w:equalWidth="0" w:num="1">
            <w:col w:w="10219"/>
          </w:cols>
          <w:pgMar w:left="240" w:top="244"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ectPr>
          <w:pgSz w:w="11900" w:h="16838" w:orient="portrait"/>
          <w:cols w:equalWidth="0" w:num="2">
            <w:col w:w="1060" w:space="640"/>
            <w:col w:w="8519"/>
          </w:cols>
          <w:pgMar w:left="240" w:top="244" w:right="1440" w:bottom="0" w:gutter="0" w:footer="0" w:header="0"/>
          <w:type w:val="continuous"/>
        </w:sectPr>
      </w:pPr>
    </w:p>
    <w:bookmarkStart w:id="1" w:name="page2"/>
    <w:bookmarkEnd w:id="1"/>
    <w:p>
      <w:pPr>
        <w:ind w:left="1700"/>
        <w:spacing w:after="0"/>
        <w:rPr>
          <w:sz w:val="20"/>
          <w:szCs w:val="20"/>
          <w:color w:val="auto"/>
        </w:rPr>
      </w:pPr>
      <w:r>
        <w:rPr>
          <w:rFonts w:ascii="Courier New" w:cs="Courier New" w:eastAsia="Courier New" w:hAnsi="Courier New"/>
          <w:sz w:val="18"/>
          <w:szCs w:val="18"/>
          <w:color w:val="auto"/>
        </w:rPr>
        <w:t>192576106</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414,300</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1.953%</w:t>
            </w:r>
          </w:p>
        </w:tc>
        <w:tc>
          <w:tcPr>
            <w:tcW w:w="84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106,100</w:t>
      </w:r>
    </w:p>
    <w:p>
      <w:pPr>
        <w:spacing w:after="0" w:line="200" w:lineRule="exact"/>
        <w:rPr>
          <w:sz w:val="20"/>
          <w:szCs w:val="20"/>
          <w:color w:val="auto"/>
        </w:rPr>
      </w:pPr>
    </w:p>
    <w:p>
      <w:pPr>
        <w:sectPr>
          <w:pgSz w:w="11900" w:h="16838" w:orient="portrait"/>
          <w:cols w:equalWidth="0" w:num="2">
            <w:col w:w="1160" w:space="540"/>
            <w:col w:w="8519"/>
          </w:cols>
          <w:pgMar w:left="240" w:top="136"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414,300</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419" w:firstLine="843"/>
        <w:spacing w:after="0" w:line="235"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beneficial owner of more than five percent of the class of securities, check the following (X).</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Inasmuch as the reporting persons are no longer the beneficial owners of more than five percent of the number of shares outstanding, the reporting persons have no further reporting obligation under Section 13(d) of the Securities and Exchange Commission thereunder, and the reporting persons have no</w:t>
      </w:r>
    </w:p>
    <w:p>
      <w:pPr>
        <w:spacing w:after="0" w:line="6"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obligation to amend this Statement if any material change occurs in the facts set forth herein.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Schedule 13G in connection with FMR Corp.'s beneficial ownership of</w:t>
      </w:r>
    </w:p>
    <w:p>
      <w:pPr>
        <w:spacing w:after="0" w:line="1" w:lineRule="exact"/>
        <w:rPr>
          <w:sz w:val="20"/>
          <w:szCs w:val="20"/>
          <w:color w:val="auto"/>
        </w:rPr>
      </w:pPr>
    </w:p>
    <w:p>
      <w:pPr>
        <w:ind w:right="4519"/>
        <w:spacing w:after="0" w:line="235" w:lineRule="auto"/>
        <w:rPr>
          <w:sz w:val="20"/>
          <w:szCs w:val="20"/>
          <w:color w:val="auto"/>
        </w:rPr>
      </w:pPr>
      <w:r>
        <w:rPr>
          <w:rFonts w:ascii="Courier New" w:cs="Courier New" w:eastAsia="Courier New" w:hAnsi="Courier New"/>
          <w:sz w:val="18"/>
          <w:szCs w:val="18"/>
          <w:color w:val="auto"/>
        </w:rPr>
        <w:t>the Common Stock of Cohu Incorporated at September 30, 2003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October 10, 2003</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rPr>
          <w:sz w:val="20"/>
          <w:szCs w:val="20"/>
          <w:color w:val="auto"/>
        </w:rPr>
      </w:pPr>
      <w:r>
        <w:rPr>
          <w:rFonts w:ascii="Courier New" w:cs="Courier New" w:eastAsia="Courier New" w:hAnsi="Courier New"/>
          <w:sz w:val="18"/>
          <w:szCs w:val="18"/>
          <w:color w:val="auto"/>
        </w:rPr>
        <w:t>dated December 30, 1997 by and on behalf</w:t>
      </w:r>
    </w:p>
    <w:p>
      <w:pPr>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spacing w:after="0" w:line="238"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Pursuant to the instructions in Item 7 of Schedule</w:t>
      </w:r>
    </w:p>
    <w:p>
      <w:pPr>
        <w:spacing w:after="0" w:line="238" w:lineRule="auto"/>
        <w:rPr>
          <w:sz w:val="20"/>
          <w:szCs w:val="20"/>
          <w:color w:val="auto"/>
        </w:rPr>
      </w:pPr>
      <w:r>
        <w:rPr>
          <w:rFonts w:ascii="Courier New" w:cs="Courier New" w:eastAsia="Courier New" w:hAnsi="Courier New"/>
          <w:sz w:val="18"/>
          <w:szCs w:val="18"/>
          <w:color w:val="auto"/>
        </w:rPr>
        <w:t>13G, Fidelity Management &amp; Research Company</w:t>
      </w:r>
    </w:p>
    <w:p>
      <w:pPr>
        <w:spacing w:after="0"/>
        <w:rPr>
          <w:sz w:val="20"/>
          <w:szCs w:val="20"/>
          <w:color w:val="auto"/>
        </w:rPr>
      </w:pPr>
      <w:r>
        <w:rPr>
          <w:rFonts w:ascii="Courier New" w:cs="Courier New" w:eastAsia="Courier New" w:hAnsi="Courier New"/>
          <w:sz w:val="18"/>
          <w:szCs w:val="18"/>
          <w:color w:val="auto"/>
        </w:rPr>
        <w:t>("Fidelity"), 82 Devonshire Street, Boston, Massachusetts</w:t>
      </w:r>
    </w:p>
    <w:p>
      <w:pPr>
        <w:spacing w:after="0" w:line="237" w:lineRule="auto"/>
        <w:rPr>
          <w:sz w:val="20"/>
          <w:szCs w:val="20"/>
          <w:color w:val="auto"/>
        </w:rPr>
      </w:pPr>
      <w:r>
        <w:rPr>
          <w:rFonts w:ascii="Courier New" w:cs="Courier New" w:eastAsia="Courier New" w:hAnsi="Courier New"/>
          <w:sz w:val="18"/>
          <w:szCs w:val="18"/>
          <w:color w:val="auto"/>
        </w:rPr>
        <w:t>02109, a wholly-owned subsidiary of FMR Corp. and an</w:t>
      </w:r>
    </w:p>
    <w:p>
      <w:pPr>
        <w:spacing w:after="0" w:line="238" w:lineRule="auto"/>
        <w:rPr>
          <w:sz w:val="20"/>
          <w:szCs w:val="20"/>
          <w:color w:val="auto"/>
        </w:rPr>
      </w:pPr>
      <w:r>
        <w:rPr>
          <w:rFonts w:ascii="Courier New" w:cs="Courier New" w:eastAsia="Courier New" w:hAnsi="Courier New"/>
          <w:sz w:val="18"/>
          <w:szCs w:val="18"/>
          <w:color w:val="auto"/>
        </w:rPr>
        <w:t>investment adviser registered under Section 203 of the</w:t>
      </w:r>
    </w:p>
    <w:p>
      <w:pPr>
        <w:spacing w:after="0"/>
        <w:rPr>
          <w:sz w:val="20"/>
          <w:szCs w:val="20"/>
          <w:color w:val="auto"/>
        </w:rPr>
      </w:pPr>
      <w:r>
        <w:rPr>
          <w:rFonts w:ascii="Courier New" w:cs="Courier New" w:eastAsia="Courier New" w:hAnsi="Courier New"/>
          <w:sz w:val="18"/>
          <w:szCs w:val="18"/>
          <w:color w:val="auto"/>
        </w:rPr>
        <w:t>Investment Advisers Act of 1940, is the beneficial owner of</w:t>
      </w:r>
    </w:p>
    <w:p>
      <w:pPr>
        <w:spacing w:after="0" w:line="237" w:lineRule="auto"/>
        <w:rPr>
          <w:sz w:val="20"/>
          <w:szCs w:val="20"/>
          <w:color w:val="auto"/>
        </w:rPr>
      </w:pPr>
      <w:r>
        <w:rPr>
          <w:rFonts w:ascii="Courier New" w:cs="Courier New" w:eastAsia="Courier New" w:hAnsi="Courier New"/>
          <w:sz w:val="18"/>
          <w:szCs w:val="18"/>
          <w:color w:val="auto"/>
        </w:rPr>
        <w:t>308,200 shares or 1.453% of the Common Stock outstanding</w:t>
      </w:r>
    </w:p>
    <w:p>
      <w:pPr>
        <w:spacing w:after="0"/>
        <w:tabs>
          <w:tab w:leader="none" w:pos="2300" w:val="left"/>
        </w:tabs>
        <w:rPr>
          <w:sz w:val="20"/>
          <w:szCs w:val="20"/>
          <w:color w:val="auto"/>
        </w:rPr>
      </w:pPr>
      <w:r>
        <w:rPr>
          <w:rFonts w:ascii="Courier New" w:cs="Courier New" w:eastAsia="Courier New" w:hAnsi="Courier New"/>
          <w:sz w:val="18"/>
          <w:szCs w:val="18"/>
          <w:color w:val="auto"/>
        </w:rPr>
        <w:t>of Cohu Incorporated</w:t>
      </w:r>
      <w:r>
        <w:rPr>
          <w:sz w:val="20"/>
          <w:szCs w:val="20"/>
          <w:color w:val="auto"/>
        </w:rPr>
        <w:tab/>
      </w:r>
      <w:r>
        <w:rPr>
          <w:rFonts w:ascii="Courier New" w:cs="Courier New" w:eastAsia="Courier New" w:hAnsi="Courier New"/>
          <w:sz w:val="16"/>
          <w:szCs w:val="16"/>
          <w:color w:val="auto"/>
        </w:rPr>
        <w:t>("the Company") as a result of acting</w:t>
      </w:r>
    </w:p>
    <w:p>
      <w:pPr>
        <w:spacing w:after="0" w:line="237" w:lineRule="auto"/>
        <w:rPr>
          <w:sz w:val="20"/>
          <w:szCs w:val="20"/>
          <w:color w:val="auto"/>
        </w:rPr>
      </w:pPr>
      <w:r>
        <w:rPr>
          <w:rFonts w:ascii="Courier New" w:cs="Courier New" w:eastAsia="Courier New" w:hAnsi="Courier New"/>
          <w:sz w:val="18"/>
          <w:szCs w:val="18"/>
          <w:color w:val="auto"/>
        </w:rPr>
        <w:t>as investment adviser to various investment companies</w:t>
      </w:r>
    </w:p>
    <w:p>
      <w:pPr>
        <w:spacing w:after="0"/>
        <w:rPr>
          <w:sz w:val="20"/>
          <w:szCs w:val="20"/>
          <w:color w:val="auto"/>
        </w:rPr>
      </w:pPr>
      <w:r>
        <w:rPr>
          <w:rFonts w:ascii="Courier New" w:cs="Courier New" w:eastAsia="Courier New" w:hAnsi="Courier New"/>
          <w:sz w:val="18"/>
          <w:szCs w:val="18"/>
          <w:color w:val="auto"/>
        </w:rPr>
        <w:t>registered under Section 8 of the Investment Company Act of</w:t>
      </w:r>
    </w:p>
    <w:p>
      <w:pPr>
        <w:spacing w:after="0" w:line="237" w:lineRule="auto"/>
        <w:rPr>
          <w:sz w:val="20"/>
          <w:szCs w:val="20"/>
          <w:color w:val="auto"/>
        </w:rPr>
      </w:pPr>
      <w:r>
        <w:rPr>
          <w:rFonts w:ascii="Courier New" w:cs="Courier New" w:eastAsia="Courier New" w:hAnsi="Courier New"/>
          <w:sz w:val="18"/>
          <w:szCs w:val="18"/>
          <w:color w:val="auto"/>
        </w:rPr>
        <w:t>1940.</w:t>
      </w:r>
    </w:p>
    <w:p>
      <w:pPr>
        <w:spacing w:after="0" w:line="207"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308,200 shares owned by the Funds.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106,100 shares or 0.500% of the Common Stock outstanding of the Company as a result of its serving as investment manager of the institutional account(s).</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 and FMR Corp., through its</w:t>
      </w:r>
    </w:p>
    <w:p>
      <w:pPr>
        <w:spacing w:after="0" w:line="238" w:lineRule="auto"/>
        <w:rPr>
          <w:sz w:val="20"/>
          <w:szCs w:val="20"/>
          <w:color w:val="auto"/>
        </w:rPr>
      </w:pPr>
      <w:r>
        <w:rPr>
          <w:rFonts w:ascii="Courier New" w:cs="Courier New" w:eastAsia="Courier New" w:hAnsi="Courier New"/>
          <w:sz w:val="18"/>
          <w:szCs w:val="18"/>
          <w:color w:val="auto"/>
        </w:rPr>
        <w:t>control of Fidelity Management Trust Company, each has</w:t>
      </w:r>
    </w:p>
    <w:p>
      <w:pPr>
        <w:spacing w:after="0"/>
        <w:rPr>
          <w:sz w:val="20"/>
          <w:szCs w:val="20"/>
          <w:color w:val="auto"/>
        </w:rPr>
      </w:pPr>
      <w:r>
        <w:rPr>
          <w:rFonts w:ascii="Courier New" w:cs="Courier New" w:eastAsia="Courier New" w:hAnsi="Courier New"/>
          <w:sz w:val="18"/>
          <w:szCs w:val="18"/>
          <w:color w:val="auto"/>
        </w:rPr>
        <w:t>sole dispositive power over 106,100 shares and sole power to</w:t>
      </w:r>
    </w:p>
    <w:p>
      <w:pPr>
        <w:spacing w:after="0" w:line="237" w:lineRule="auto"/>
        <w:rPr>
          <w:sz w:val="20"/>
          <w:szCs w:val="20"/>
          <w:color w:val="auto"/>
        </w:rPr>
      </w:pPr>
      <w:r>
        <w:rPr>
          <w:rFonts w:ascii="Courier New" w:cs="Courier New" w:eastAsia="Courier New" w:hAnsi="Courier New"/>
          <w:sz w:val="18"/>
          <w:szCs w:val="18"/>
          <w:color w:val="auto"/>
        </w:rPr>
        <w:t>vote or to direct the voting of 106,100 shares of Common</w:t>
      </w:r>
    </w:p>
    <w:p>
      <w:pPr>
        <w:spacing w:after="0" w:line="238" w:lineRule="auto"/>
        <w:rPr>
          <w:sz w:val="20"/>
          <w:szCs w:val="20"/>
          <w:color w:val="auto"/>
        </w:rPr>
      </w:pPr>
      <w:r>
        <w:rPr>
          <w:rFonts w:ascii="Courier New" w:cs="Courier New" w:eastAsia="Courier New" w:hAnsi="Courier New"/>
          <w:sz w:val="18"/>
          <w:szCs w:val="18"/>
          <w:color w:val="auto"/>
        </w:rPr>
        <w:t>Stock owned by the institutional account(s) as reported</w:t>
      </w:r>
    </w:p>
    <w:p>
      <w:pPr>
        <w:spacing w:after="0"/>
        <w:rPr>
          <w:sz w:val="20"/>
          <w:szCs w:val="20"/>
          <w:color w:val="auto"/>
        </w:rPr>
      </w:pPr>
      <w:r>
        <w:rPr>
          <w:rFonts w:ascii="Courier New" w:cs="Courier New" w:eastAsia="Courier New" w:hAnsi="Courier New"/>
          <w:sz w:val="18"/>
          <w:szCs w:val="18"/>
          <w:color w:val="auto"/>
        </w:rPr>
        <w:t>above.</w:t>
      </w:r>
    </w:p>
    <w:p>
      <w:pPr>
        <w:spacing w:after="0" w:line="206" w:lineRule="exact"/>
        <w:rPr>
          <w:sz w:val="20"/>
          <w:szCs w:val="20"/>
          <w:color w:val="auto"/>
        </w:rPr>
      </w:pPr>
    </w:p>
    <w:p>
      <w:pPr>
        <w:ind w:right="409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persons, on October 10, 2003, agree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consent to the joint filing on their behalf of this Schedule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 in connection with their beneficial ownership of the</w:t>
      </w:r>
    </w:p>
    <w:p>
      <w:pPr>
        <w:spacing w:after="0" w:line="238" w:lineRule="auto"/>
        <w:rPr>
          <w:sz w:val="20"/>
          <w:szCs w:val="20"/>
          <w:color w:val="auto"/>
        </w:rPr>
      </w:pPr>
      <w:r>
        <w:rPr>
          <w:rFonts w:ascii="Courier New" w:cs="Courier New" w:eastAsia="Courier New" w:hAnsi="Courier New"/>
          <w:sz w:val="18"/>
          <w:szCs w:val="18"/>
          <w:color w:val="auto"/>
        </w:rPr>
        <w:t>Common Stock of Cohu Incorporated at September 30, 2003.</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Eric D. Roiter</w:t>
      </w:r>
    </w:p>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Duly authorized under 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December 30, 1997, by and on behalf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FMR Corp. and its direct and indirect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Eric D. Roiter</w:t>
      </w:r>
    </w:p>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Duly authorized under 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December 30, 1997, by and on behalf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Edward C. Johnson 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Eric D. Roiter</w:t>
      </w:r>
    </w:p>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Duly authorized under 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December 30, 1997, by and on behalf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Eric D. Roiter</w:t>
      </w:r>
    </w:p>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9359"/>
      </w:cols>
      <w:pgMar w:left="110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2019-12-12T22:55:03Z</dcterms:created>
  <dcterms:modified xsi:type="dcterms:W3CDTF">2019-12-12T22:55:03Z</dcterms:modified>
</cp:coreProperties>
</file>