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50329_10q.htm"/>
      <w:bookmarkStart w:id="1" w:name="kscohu20250329_10q"/>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001-04298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tbl>
      <w:tblPr>
        <w:tblW w:w="8020" w:type="dxa"/>
        <w:jc w:val="left"/>
        <w:tblInd w:w="0" w:type="dxa"/>
        <w:tblLayout w:type="fixed"/>
        <w:tblCellMar>
          <w:top w:w="0" w:type="dxa"/>
          <w:left w:w="0" w:type="dxa"/>
          <w:bottom w:w="0" w:type="dxa"/>
          <w:right w:w="0" w:type="dxa"/>
        </w:tblCellMar>
      </w:tblPr>
      <w:tblGrid>
        <w:gridCol w:w="4565"/>
        <w:gridCol w:w="60"/>
        <w:gridCol w:w="3395"/>
      </w:tblGrid>
      <w:tr>
        <w:trPr/>
        <w:tc>
          <w:tcPr>
            <w:tcW w:w="456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b/>
              </w:rPr>
            </w:pPr>
            <w:r>
              <w:rPr>
                <w:b/>
              </w:rPr>
              <w:t>95-1934119</w:t>
            </w:r>
          </w:p>
        </w:tc>
      </w:tr>
      <w:tr>
        <w:trPr/>
        <w:tc>
          <w:tcPr>
            <w:tcW w:w="4565" w:type="dxa"/>
            <w:tcBorders/>
            <w:vAlign w:val="center"/>
          </w:tcPr>
          <w:p>
            <w:pPr>
              <w:pStyle w:val="TableContents"/>
              <w:bidi w:val="0"/>
              <w:spacing w:before="0" w:after="283"/>
              <w:jc w:val="center"/>
              <w:rPr>
                <w:i/>
              </w:rPr>
            </w:pPr>
            <w:r>
              <w:rPr>
                <w:i/>
              </w:rPr>
              <w:t>(State or other jurisdiction of</w:t>
            </w:r>
          </w:p>
        </w:tc>
        <w:tc>
          <w:tcPr>
            <w:tcW w:w="60"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i/>
              </w:rPr>
            </w:pPr>
            <w:r>
              <w:rPr>
                <w:i/>
              </w:rPr>
              <w:t>(I.R.S. Employer Identification No.)</w:t>
            </w:r>
          </w:p>
        </w:tc>
      </w:tr>
      <w:tr>
        <w:trPr/>
        <w:tc>
          <w:tcPr>
            <w:tcW w:w="4565" w:type="dxa"/>
            <w:tcBorders/>
            <w:vAlign w:val="center"/>
          </w:tcPr>
          <w:p>
            <w:pPr>
              <w:pStyle w:val="TableContents"/>
              <w:bidi w:val="0"/>
              <w:spacing w:before="0" w:after="283"/>
              <w:jc w:val="center"/>
              <w:rPr>
                <w:i/>
              </w:rPr>
            </w:pPr>
            <w:r>
              <w:rPr>
                <w:i/>
              </w:rPr>
              <w:t>incorporation or organization)</w:t>
            </w:r>
          </w:p>
        </w:tc>
        <w:tc>
          <w:tcPr>
            <w:tcW w:w="60"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b/>
              </w:rPr>
            </w:pPr>
            <w:r>
              <w:rPr>
                <w:b/>
              </w:rPr>
              <w:t>12367 Crosthwaite Circle, Poway, California</w:t>
            </w:r>
          </w:p>
        </w:tc>
        <w:tc>
          <w:tcPr>
            <w:tcW w:w="60"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b/>
              </w:rPr>
            </w:pPr>
            <w:r>
              <w:rPr>
                <w:b/>
              </w:rPr>
              <w:t>92064-6817</w:t>
            </w:r>
          </w:p>
        </w:tc>
      </w:tr>
      <w:tr>
        <w:trPr/>
        <w:tc>
          <w:tcPr>
            <w:tcW w:w="4565" w:type="dxa"/>
            <w:tcBorders/>
            <w:vAlign w:val="center"/>
          </w:tcPr>
          <w:p>
            <w:pPr>
              <w:pStyle w:val="TableContents"/>
              <w:bidi w:val="0"/>
              <w:spacing w:before="0" w:after="283"/>
              <w:jc w:val="center"/>
              <w:rPr>
                <w:i/>
              </w:rPr>
            </w:pPr>
            <w:r>
              <w:rPr>
                <w:i/>
              </w:rPr>
              <w:t>(Address of principal executive offices)</w:t>
            </w:r>
          </w:p>
        </w:tc>
        <w:tc>
          <w:tcPr>
            <w:tcW w:w="60"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0" w:type="dxa"/>
          <w:right w:w="0" w:type="dxa"/>
        </w:tblCellMar>
      </w:tblPr>
      <w:tblGrid>
        <w:gridCol w:w="2645"/>
        <w:gridCol w:w="1610"/>
        <w:gridCol w:w="3425"/>
      </w:tblGrid>
      <w:tr>
        <w:trPr/>
        <w:tc>
          <w:tcPr>
            <w:tcW w:w="264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Trading Symbol(s)</w:t>
            </w:r>
          </w:p>
        </w:tc>
        <w:tc>
          <w:tcPr>
            <w:tcW w:w="3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of Exchange on Which Registered</w:t>
            </w:r>
          </w:p>
        </w:tc>
      </w:tr>
      <w:tr>
        <w:trPr/>
        <w:tc>
          <w:tcPr>
            <w:tcW w:w="264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$1.00 par value</w:t>
            </w:r>
          </w:p>
        </w:tc>
        <w:tc>
          <w:tcPr>
            <w:tcW w:w="16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w:t>
            </w:r>
          </w:p>
        </w:tc>
        <w:tc>
          <w:tcPr>
            <w:tcW w:w="3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April 22, 2025, the Registrant had 46,502,690 shares of its $1.00 par value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8405"/>
        <w:gridCol w:w="1075"/>
      </w:tblGrid>
      <w:tr>
        <w:trPr/>
        <w:tc>
          <w:tcPr>
            <w:tcW w:w="72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Part I</w:t>
            </w:r>
          </w:p>
        </w:tc>
        <w:tc>
          <w:tcPr>
            <w:tcW w:w="8405" w:type="dxa"/>
            <w:tcBorders/>
            <w:vAlign w:val="center"/>
          </w:tcPr>
          <w:p>
            <w:pPr>
              <w:pStyle w:val="TableContents"/>
              <w:bidi w:val="0"/>
              <w:spacing w:before="0" w:after="283"/>
              <w:jc w:val="left"/>
              <w:rPr/>
            </w:pPr>
            <w:hyperlink w:anchor="fin_stmt">
              <w:r>
                <w:rPr>
                  <w:rStyle w:val="InternetLink"/>
                  <w:rFonts w:ascii="Times New Roman;Times;serif" w:hAnsi="Times New Roman;Times;serif"/>
                  <w:b/>
                  <w:sz w:val="20"/>
                </w:rPr>
                <w:t>Financial Information</w:t>
              </w:r>
            </w:hyperlink>
          </w:p>
        </w:tc>
        <w:tc>
          <w:tcPr>
            <w:tcW w:w="1075"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Page Number</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405" w:type="dxa"/>
            <w:tcBorders/>
            <w:vAlign w:val="center"/>
          </w:tcPr>
          <w:p>
            <w:pPr>
              <w:pStyle w:val="TableContents"/>
              <w:bidi w:val="0"/>
              <w:spacing w:before="0" w:after="283"/>
              <w:jc w:val="left"/>
              <w:rPr/>
            </w:pPr>
            <w:hyperlink w:anchor="item_1">
              <w:r>
                <w:rPr>
                  <w:rStyle w:val="InternetLink"/>
                  <w:rFonts w:ascii="Times New Roman;Times;serif" w:hAnsi="Times New Roman;Times;serif"/>
                  <w:sz w:val="20"/>
                </w:rPr>
                <w:t>Financial Statements:</w:t>
              </w:r>
            </w:hyperlink>
          </w:p>
        </w:tc>
        <w:tc>
          <w:tcPr>
            <w:tcW w:w="1075" w:type="dxa"/>
            <w:tcBorders/>
            <w:vAlign w:val="center"/>
          </w:tcPr>
          <w:p>
            <w:pPr>
              <w:pStyle w:val="TableContents"/>
              <w:bidi w:val="0"/>
              <w:spacing w:before="0" w:after="283"/>
              <w:jc w:val="center"/>
              <w:rPr/>
            </w:pPr>
            <w:hyperlink w:anchor="item_1">
              <w:r>
                <w:rPr>
                  <w:rStyle w:val="InternetLink"/>
                  <w:rFonts w:ascii="Times New Roman;Times;serif" w:hAnsi="Times New Roman;Times;serif"/>
                  <w:sz w:val="20"/>
                </w:rPr>
                <w:t>3</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item_1">
              <w:r>
                <w:rPr>
                  <w:rStyle w:val="InternetLink"/>
                  <w:rFonts w:ascii="Times New Roman;Times;serif" w:hAnsi="Times New Roman;Times;serif"/>
                  <w:sz w:val="20"/>
                </w:rPr>
                <w:t>Condensed Consolidated Balance Sheets March 29, 2025 (unaudited) and December 28, 2024</w:t>
              </w:r>
            </w:hyperlink>
          </w:p>
        </w:tc>
        <w:tc>
          <w:tcPr>
            <w:tcW w:w="1075" w:type="dxa"/>
            <w:tcBorders/>
            <w:vAlign w:val="center"/>
          </w:tcPr>
          <w:p>
            <w:pPr>
              <w:pStyle w:val="TableContents"/>
              <w:bidi w:val="0"/>
              <w:spacing w:before="0" w:after="283"/>
              <w:jc w:val="center"/>
              <w:rPr/>
            </w:pPr>
            <w:hyperlink w:anchor="item_1">
              <w:r>
                <w:rPr>
                  <w:rStyle w:val="InternetLink"/>
                  <w:rFonts w:ascii="Times New Roman;Times;serif" w:hAnsi="Times New Roman;Times;serif"/>
                  <w:sz w:val="20"/>
                </w:rPr>
                <w:t>3</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operations">
              <w:r>
                <w:rPr>
                  <w:rStyle w:val="InternetLink"/>
                  <w:rFonts w:ascii="Times New Roman;Times;serif" w:hAnsi="Times New Roman;Times;serif"/>
                  <w:sz w:val="20"/>
                </w:rPr>
                <w:t>Condensed Consolidated Statements of Operations (unaudited) Three Months Ended March 29, 2025 and March 30, 2024</w:t>
              </w:r>
            </w:hyperlink>
          </w:p>
        </w:tc>
        <w:tc>
          <w:tcPr>
            <w:tcW w:w="1075" w:type="dxa"/>
            <w:tcBorders/>
            <w:vAlign w:val="center"/>
          </w:tcPr>
          <w:p>
            <w:pPr>
              <w:pStyle w:val="TableContents"/>
              <w:bidi w:val="0"/>
              <w:spacing w:before="0" w:after="283"/>
              <w:jc w:val="center"/>
              <w:rPr/>
            </w:pPr>
            <w:hyperlink w:anchor="operations">
              <w:r>
                <w:rPr>
                  <w:rStyle w:val="InternetLink"/>
                  <w:rFonts w:ascii="Times New Roman;Times;serif" w:hAnsi="Times New Roman;Times;serif"/>
                  <w:sz w:val="20"/>
                </w:rPr>
                <w:t>4</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comploss">
              <w:r>
                <w:rPr>
                  <w:rStyle w:val="InternetLink"/>
                  <w:rFonts w:ascii="Times New Roman;Times;serif" w:hAnsi="Times New Roman;Times;serif"/>
                  <w:sz w:val="20"/>
                </w:rPr>
                <w:t>Condensed Consolidated Statements of Comprehensive Loss (unaudited) Three Months Ended March 29, 2025 and March 30, 2024</w:t>
              </w:r>
            </w:hyperlink>
          </w:p>
        </w:tc>
        <w:tc>
          <w:tcPr>
            <w:tcW w:w="1075" w:type="dxa"/>
            <w:tcBorders/>
            <w:vAlign w:val="center"/>
          </w:tcPr>
          <w:p>
            <w:pPr>
              <w:pStyle w:val="TableContents"/>
              <w:bidi w:val="0"/>
              <w:spacing w:before="0" w:after="283"/>
              <w:jc w:val="center"/>
              <w:rPr/>
            </w:pPr>
            <w:hyperlink w:anchor="comploss">
              <w:r>
                <w:rPr>
                  <w:rStyle w:val="InternetLink"/>
                  <w:rFonts w:ascii="Times New Roman;Times;serif" w:hAnsi="Times New Roman;Times;serif"/>
                  <w:sz w:val="20"/>
                </w:rPr>
                <w:t>5</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equity">
              <w:r>
                <w:rPr>
                  <w:rStyle w:val="InternetLink"/>
                  <w:rFonts w:ascii="Times New Roman;Times;serif" w:hAnsi="Times New Roman;Times;serif"/>
                  <w:sz w:val="20"/>
                </w:rPr>
                <w:t>Condensed Consolidated Statements of Stockholders’ Equity (unaudited) Three Months Ended March 29, 2025 and March 30, 2024</w:t>
              </w:r>
            </w:hyperlink>
          </w:p>
        </w:tc>
        <w:tc>
          <w:tcPr>
            <w:tcW w:w="1075" w:type="dxa"/>
            <w:tcBorders/>
            <w:vAlign w:val="center"/>
          </w:tcPr>
          <w:p>
            <w:pPr>
              <w:pStyle w:val="TableContents"/>
              <w:bidi w:val="0"/>
              <w:spacing w:before="0" w:after="283"/>
              <w:jc w:val="center"/>
              <w:rPr/>
            </w:pPr>
            <w:hyperlink w:anchor="equity">
              <w:r>
                <w:rPr>
                  <w:rStyle w:val="InternetLink"/>
                  <w:rFonts w:ascii="Times New Roman;Times;serif" w:hAnsi="Times New Roman;Times;serif"/>
                  <w:sz w:val="20"/>
                </w:rPr>
                <w:t>6</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cash_flow">
              <w:r>
                <w:rPr>
                  <w:rStyle w:val="InternetLink"/>
                  <w:rFonts w:ascii="Times New Roman;Times;serif" w:hAnsi="Times New Roman;Times;serif"/>
                  <w:sz w:val="20"/>
                </w:rPr>
                <w:t>Condensed Consolidated Statements of Cash Flows (unaudited) Three Months Ended March 29, 2025 and March 30, 2024</w:t>
              </w:r>
            </w:hyperlink>
          </w:p>
        </w:tc>
        <w:tc>
          <w:tcPr>
            <w:tcW w:w="1075" w:type="dxa"/>
            <w:tcBorders/>
            <w:vAlign w:val="center"/>
          </w:tcPr>
          <w:p>
            <w:pPr>
              <w:pStyle w:val="TableContents"/>
              <w:bidi w:val="0"/>
              <w:spacing w:before="0" w:after="283"/>
              <w:jc w:val="center"/>
              <w:rPr/>
            </w:pPr>
            <w:hyperlink w:anchor="cash_flow">
              <w:r>
                <w:rPr>
                  <w:rStyle w:val="InternetLink"/>
                  <w:rFonts w:ascii="Times New Roman;Times;serif" w:hAnsi="Times New Roman;Times;serif"/>
                  <w:sz w:val="20"/>
                </w:rPr>
                <w:t>7</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hyperlink w:anchor="notes">
              <w:r>
                <w:rPr>
                  <w:rStyle w:val="InternetLink"/>
                  <w:rFonts w:ascii="Times New Roman;Times;serif" w:hAnsi="Times New Roman;Times;serif"/>
                  <w:sz w:val="20"/>
                </w:rPr>
                <w:t>Notes to Unaudited Condensed Consolidated Financial Statements</w:t>
              </w:r>
            </w:hyperlink>
          </w:p>
        </w:tc>
        <w:tc>
          <w:tcPr>
            <w:tcW w:w="1075" w:type="dxa"/>
            <w:tcBorders/>
            <w:vAlign w:val="center"/>
          </w:tcPr>
          <w:p>
            <w:pPr>
              <w:pStyle w:val="TableContents"/>
              <w:bidi w:val="0"/>
              <w:spacing w:before="0" w:after="283"/>
              <w:jc w:val="center"/>
              <w:rPr/>
            </w:pPr>
            <w:hyperlink w:anchor="notes">
              <w:r>
                <w:rPr>
                  <w:rStyle w:val="InternetLink"/>
                  <w:rFonts w:ascii="Times New Roman;Times;serif" w:hAnsi="Times New Roman;Times;serif"/>
                  <w:sz w:val="20"/>
                </w:rPr>
                <w:t>8</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405" w:type="dxa"/>
            <w:tcBorders/>
            <w:vAlign w:val="center"/>
          </w:tcPr>
          <w:p>
            <w:pPr>
              <w:pStyle w:val="TableContents"/>
              <w:bidi w:val="0"/>
              <w:spacing w:before="0" w:after="283"/>
              <w:jc w:val="left"/>
              <w:rPr/>
            </w:pPr>
            <w:hyperlink w:anchor="item_2">
              <w:r>
                <w:rPr>
                  <w:rStyle w:val="InternetLink"/>
                  <w:rFonts w:ascii="Times New Roman;Times;serif" w:hAnsi="Times New Roman;Times;serif"/>
                  <w:sz w:val="20"/>
                </w:rPr>
                <w:t>Management’s Discussion and Analysis of Financial Condition and Results of Operations</w:t>
              </w:r>
            </w:hyperlink>
          </w:p>
        </w:tc>
        <w:tc>
          <w:tcPr>
            <w:tcW w:w="1075" w:type="dxa"/>
            <w:tcBorders/>
            <w:vAlign w:val="center"/>
          </w:tcPr>
          <w:p>
            <w:pPr>
              <w:pStyle w:val="TableContents"/>
              <w:bidi w:val="0"/>
              <w:spacing w:before="0" w:after="283"/>
              <w:jc w:val="center"/>
              <w:rPr/>
            </w:pPr>
            <w:hyperlink w:anchor="item_2">
              <w:r>
                <w:rPr>
                  <w:rStyle w:val="InternetLink"/>
                  <w:rFonts w:ascii="Times New Roman;Times;serif" w:hAnsi="Times New Roman;Times;serif"/>
                  <w:sz w:val="20"/>
                </w:rPr>
                <w:t>28</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405" w:type="dxa"/>
            <w:tcBorders/>
            <w:vAlign w:val="center"/>
          </w:tcPr>
          <w:p>
            <w:pPr>
              <w:pStyle w:val="TableContents"/>
              <w:bidi w:val="0"/>
              <w:spacing w:before="0" w:after="283"/>
              <w:jc w:val="left"/>
              <w:rPr/>
            </w:pPr>
            <w:hyperlink w:anchor="item_3">
              <w:r>
                <w:rPr>
                  <w:rStyle w:val="InternetLink"/>
                  <w:rFonts w:ascii="Times New Roman;Times;serif" w:hAnsi="Times New Roman;Times;serif"/>
                  <w:sz w:val="20"/>
                </w:rPr>
                <w:t>Quantitative and Qualitative Disclosures About Market Risk</w:t>
              </w:r>
            </w:hyperlink>
          </w:p>
        </w:tc>
        <w:tc>
          <w:tcPr>
            <w:tcW w:w="1075" w:type="dxa"/>
            <w:tcBorders/>
            <w:vAlign w:val="center"/>
          </w:tcPr>
          <w:p>
            <w:pPr>
              <w:pStyle w:val="TableContents"/>
              <w:bidi w:val="0"/>
              <w:spacing w:before="0" w:after="283"/>
              <w:jc w:val="center"/>
              <w:rPr/>
            </w:pPr>
            <w:hyperlink w:anchor="item_3">
              <w:r>
                <w:rPr>
                  <w:rStyle w:val="InternetLink"/>
                  <w:rFonts w:ascii="Times New Roman;Times;serif" w:hAnsi="Times New Roman;Times;serif"/>
                  <w:sz w:val="20"/>
                </w:rPr>
                <w:t>37</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405" w:type="dxa"/>
            <w:tcBorders/>
            <w:vAlign w:val="center"/>
          </w:tcPr>
          <w:p>
            <w:pPr>
              <w:pStyle w:val="TableContents"/>
              <w:bidi w:val="0"/>
              <w:spacing w:before="0" w:after="283"/>
              <w:jc w:val="left"/>
              <w:rPr/>
            </w:pPr>
            <w:hyperlink w:anchor="item_4">
              <w:r>
                <w:rPr>
                  <w:rStyle w:val="InternetLink"/>
                  <w:rFonts w:ascii="Times New Roman;Times;serif" w:hAnsi="Times New Roman;Times;serif"/>
                  <w:sz w:val="20"/>
                </w:rPr>
                <w:t>Controls and Procedures</w:t>
              </w:r>
            </w:hyperlink>
          </w:p>
        </w:tc>
        <w:tc>
          <w:tcPr>
            <w:tcW w:w="1075" w:type="dxa"/>
            <w:tcBorders/>
            <w:vAlign w:val="center"/>
          </w:tcPr>
          <w:p>
            <w:pPr>
              <w:pStyle w:val="TableContents"/>
              <w:bidi w:val="0"/>
              <w:spacing w:before="0" w:after="283"/>
              <w:jc w:val="center"/>
              <w:rPr/>
            </w:pPr>
            <w:hyperlink w:anchor="item_4">
              <w:r>
                <w:rPr>
                  <w:rStyle w:val="InternetLink"/>
                  <w:rFonts w:ascii="Times New Roman;Times;serif" w:hAnsi="Times New Roman;Times;serif"/>
                  <w:sz w:val="20"/>
                </w:rPr>
                <w:t>38</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Part II</w:t>
            </w:r>
          </w:p>
        </w:tc>
        <w:tc>
          <w:tcPr>
            <w:tcW w:w="8405" w:type="dxa"/>
            <w:tcBorders/>
            <w:vAlign w:val="center"/>
          </w:tcPr>
          <w:p>
            <w:pPr>
              <w:pStyle w:val="TableContents"/>
              <w:bidi w:val="0"/>
              <w:spacing w:before="0" w:after="283"/>
              <w:jc w:val="left"/>
              <w:rPr/>
            </w:pPr>
            <w:hyperlink w:anchor="other_info">
              <w:r>
                <w:rPr>
                  <w:rStyle w:val="InternetLink"/>
                  <w:rFonts w:ascii="Times New Roman;Times;serif" w:hAnsi="Times New Roman;Times;serif"/>
                  <w:b/>
                  <w:sz w:val="20"/>
                </w:rPr>
                <w:t>Other Information</w:t>
              </w:r>
            </w:hyperlink>
          </w:p>
        </w:tc>
        <w:tc>
          <w:tcPr>
            <w:tcW w:w="1075" w:type="dxa"/>
            <w:tcBorders/>
            <w:vAlign w:val="center"/>
          </w:tcPr>
          <w:p>
            <w:pPr>
              <w:pStyle w:val="TableContents"/>
              <w:bidi w:val="0"/>
              <w:spacing w:before="0" w:after="283"/>
              <w:jc w:val="center"/>
              <w:rPr/>
            </w:pPr>
            <w:r>
              <w:rPr/>
              <w:t> </w:t>
            </w:r>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405" w:type="dxa"/>
            <w:tcBorders/>
            <w:vAlign w:val="center"/>
          </w:tcPr>
          <w:p>
            <w:pPr>
              <w:pStyle w:val="TableContents"/>
              <w:bidi w:val="0"/>
              <w:spacing w:before="0" w:after="283"/>
              <w:jc w:val="left"/>
              <w:rPr/>
            </w:pPr>
            <w:hyperlink w:anchor="p2_i1">
              <w:r>
                <w:rPr>
                  <w:rStyle w:val="InternetLink"/>
                  <w:rFonts w:ascii="Times New Roman;Times;serif" w:hAnsi="Times New Roman;Times;serif"/>
                  <w:sz w:val="20"/>
                </w:rPr>
                <w:t>Legal Proceedings</w:t>
              </w:r>
            </w:hyperlink>
          </w:p>
        </w:tc>
        <w:tc>
          <w:tcPr>
            <w:tcW w:w="1075" w:type="dxa"/>
            <w:tcBorders/>
            <w:vAlign w:val="center"/>
          </w:tcPr>
          <w:p>
            <w:pPr>
              <w:pStyle w:val="TableContents"/>
              <w:bidi w:val="0"/>
              <w:spacing w:before="0" w:after="283"/>
              <w:jc w:val="center"/>
              <w:rPr/>
            </w:pPr>
            <w:hyperlink w:anchor="p2_i1">
              <w:r>
                <w:rPr>
                  <w:rStyle w:val="InternetLink"/>
                  <w:rFonts w:ascii="Times New Roman;Times;serif" w:hAnsi="Times New Roman;Times;serif"/>
                  <w:sz w:val="20"/>
                </w:rPr>
                <w:t>38</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8405" w:type="dxa"/>
            <w:tcBorders/>
            <w:vAlign w:val="center"/>
          </w:tcPr>
          <w:p>
            <w:pPr>
              <w:pStyle w:val="TableContents"/>
              <w:bidi w:val="0"/>
              <w:spacing w:before="0" w:after="283"/>
              <w:jc w:val="left"/>
              <w:rPr/>
            </w:pPr>
            <w:hyperlink w:anchor="pt2_i1a">
              <w:r>
                <w:rPr>
                  <w:rStyle w:val="InternetLink"/>
                  <w:rFonts w:ascii="Times New Roman;Times;serif" w:hAnsi="Times New Roman;Times;serif"/>
                  <w:sz w:val="20"/>
                </w:rPr>
                <w:t>Risk Factors</w:t>
              </w:r>
            </w:hyperlink>
          </w:p>
        </w:tc>
        <w:tc>
          <w:tcPr>
            <w:tcW w:w="1075" w:type="dxa"/>
            <w:tcBorders/>
            <w:vAlign w:val="center"/>
          </w:tcPr>
          <w:p>
            <w:pPr>
              <w:pStyle w:val="TableContents"/>
              <w:bidi w:val="0"/>
              <w:spacing w:before="0" w:after="283"/>
              <w:jc w:val="center"/>
              <w:rPr/>
            </w:pPr>
            <w:hyperlink w:anchor="pt2_i1a">
              <w:r>
                <w:rPr>
                  <w:rStyle w:val="InternetLink"/>
                  <w:rFonts w:ascii="Times New Roman;Times;serif" w:hAnsi="Times New Roman;Times;serif"/>
                  <w:sz w:val="20"/>
                </w:rPr>
                <w:t>38</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405" w:type="dxa"/>
            <w:tcBorders/>
            <w:vAlign w:val="center"/>
          </w:tcPr>
          <w:p>
            <w:pPr>
              <w:pStyle w:val="TableContents"/>
              <w:bidi w:val="0"/>
              <w:spacing w:before="0" w:after="283"/>
              <w:jc w:val="left"/>
              <w:rPr/>
            </w:pPr>
            <w:hyperlink w:anchor="pt2_i2">
              <w:r>
                <w:rPr>
                  <w:rStyle w:val="InternetLink"/>
                  <w:rFonts w:ascii="Times New Roman;Times;serif" w:hAnsi="Times New Roman;Times;serif"/>
                  <w:sz w:val="20"/>
                </w:rPr>
                <w:t>Unregistered Sales of Equity Securities and Use of Proceeds</w:t>
              </w:r>
            </w:hyperlink>
          </w:p>
        </w:tc>
        <w:tc>
          <w:tcPr>
            <w:tcW w:w="1075" w:type="dxa"/>
            <w:tcBorders/>
            <w:vAlign w:val="center"/>
          </w:tcPr>
          <w:p>
            <w:pPr>
              <w:pStyle w:val="TableContents"/>
              <w:bidi w:val="0"/>
              <w:spacing w:before="0" w:after="283"/>
              <w:jc w:val="center"/>
              <w:rPr/>
            </w:pPr>
            <w:hyperlink w:anchor="pt2_i2">
              <w:r>
                <w:rPr>
                  <w:rStyle w:val="InternetLink"/>
                  <w:rFonts w:ascii="Times New Roman;Times;serif" w:hAnsi="Times New Roman;Times;serif"/>
                  <w:sz w:val="20"/>
                </w:rPr>
                <w:t>39</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405" w:type="dxa"/>
            <w:tcBorders/>
            <w:vAlign w:val="center"/>
          </w:tcPr>
          <w:p>
            <w:pPr>
              <w:pStyle w:val="TableContents"/>
              <w:bidi w:val="0"/>
              <w:spacing w:before="0" w:after="283"/>
              <w:jc w:val="left"/>
              <w:rPr/>
            </w:pPr>
            <w:hyperlink w:anchor="pt2_i3">
              <w:r>
                <w:rPr>
                  <w:rStyle w:val="InternetLink"/>
                  <w:rFonts w:ascii="Times New Roman;Times;serif" w:hAnsi="Times New Roman;Times;serif"/>
                  <w:sz w:val="20"/>
                </w:rPr>
                <w:t>Defaults Upon Senior Securities</w:t>
              </w:r>
            </w:hyperlink>
          </w:p>
        </w:tc>
        <w:tc>
          <w:tcPr>
            <w:tcW w:w="1075" w:type="dxa"/>
            <w:tcBorders/>
            <w:vAlign w:val="center"/>
          </w:tcPr>
          <w:p>
            <w:pPr>
              <w:pStyle w:val="TableContents"/>
              <w:bidi w:val="0"/>
              <w:spacing w:before="0" w:after="283"/>
              <w:jc w:val="center"/>
              <w:rPr/>
            </w:pPr>
            <w:hyperlink w:anchor="pt2_i3">
              <w:r>
                <w:rPr>
                  <w:rStyle w:val="InternetLink"/>
                  <w:rFonts w:ascii="Times New Roman;Times;serif" w:hAnsi="Times New Roman;Times;serif"/>
                  <w:sz w:val="20"/>
                </w:rPr>
                <w:t>40</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405" w:type="dxa"/>
            <w:tcBorders/>
            <w:vAlign w:val="center"/>
          </w:tcPr>
          <w:p>
            <w:pPr>
              <w:pStyle w:val="TableContents"/>
              <w:bidi w:val="0"/>
              <w:spacing w:before="0" w:after="283"/>
              <w:jc w:val="left"/>
              <w:rPr/>
            </w:pPr>
            <w:hyperlink w:anchor="pt2_i4">
              <w:r>
                <w:rPr>
                  <w:rStyle w:val="InternetLink"/>
                  <w:rFonts w:ascii="Times New Roman;Times;serif" w:hAnsi="Times New Roman;Times;serif"/>
                  <w:sz w:val="20"/>
                </w:rPr>
                <w:t>Mine Safety Disclosures</w:t>
              </w:r>
            </w:hyperlink>
          </w:p>
        </w:tc>
        <w:tc>
          <w:tcPr>
            <w:tcW w:w="1075" w:type="dxa"/>
            <w:tcBorders/>
            <w:vAlign w:val="center"/>
          </w:tcPr>
          <w:p>
            <w:pPr>
              <w:pStyle w:val="TableContents"/>
              <w:bidi w:val="0"/>
              <w:spacing w:before="0" w:after="283"/>
              <w:jc w:val="center"/>
              <w:rPr/>
            </w:pPr>
            <w:hyperlink w:anchor="pt2_i4">
              <w:r>
                <w:rPr>
                  <w:rStyle w:val="InternetLink"/>
                  <w:rFonts w:ascii="Times New Roman;Times;serif" w:hAnsi="Times New Roman;Times;serif"/>
                  <w:sz w:val="20"/>
                </w:rPr>
                <w:t>40</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405" w:type="dxa"/>
            <w:tcBorders/>
            <w:vAlign w:val="center"/>
          </w:tcPr>
          <w:p>
            <w:pPr>
              <w:pStyle w:val="TableContents"/>
              <w:bidi w:val="0"/>
              <w:spacing w:before="0" w:after="283"/>
              <w:jc w:val="left"/>
              <w:rPr/>
            </w:pPr>
            <w:hyperlink w:anchor="pt2_i5">
              <w:r>
                <w:rPr>
                  <w:rStyle w:val="InternetLink"/>
                  <w:rFonts w:ascii="Times New Roman;Times;serif" w:hAnsi="Times New Roman;Times;serif"/>
                  <w:sz w:val="20"/>
                </w:rPr>
                <w:t>Other Information</w:t>
              </w:r>
            </w:hyperlink>
          </w:p>
        </w:tc>
        <w:tc>
          <w:tcPr>
            <w:tcW w:w="1075" w:type="dxa"/>
            <w:tcBorders/>
            <w:vAlign w:val="center"/>
          </w:tcPr>
          <w:p>
            <w:pPr>
              <w:pStyle w:val="TableContents"/>
              <w:bidi w:val="0"/>
              <w:spacing w:before="0" w:after="283"/>
              <w:jc w:val="center"/>
              <w:rPr/>
            </w:pPr>
            <w:hyperlink w:anchor="pt2_i5">
              <w:r>
                <w:rPr>
                  <w:rStyle w:val="InternetLink"/>
                  <w:rFonts w:ascii="Times New Roman;Times;serif" w:hAnsi="Times New Roman;Times;serif"/>
                  <w:sz w:val="20"/>
                </w:rPr>
                <w:t>40</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w:t>
            </w:r>
          </w:p>
        </w:tc>
        <w:tc>
          <w:tcPr>
            <w:tcW w:w="8405" w:type="dxa"/>
            <w:tcBorders/>
            <w:vAlign w:val="center"/>
          </w:tcPr>
          <w:p>
            <w:pPr>
              <w:pStyle w:val="TableContents"/>
              <w:bidi w:val="0"/>
              <w:spacing w:before="0" w:after="283"/>
              <w:jc w:val="left"/>
              <w:rPr/>
            </w:pPr>
            <w:hyperlink w:anchor="pt2_i6">
              <w:r>
                <w:rPr>
                  <w:rStyle w:val="InternetLink"/>
                  <w:rFonts w:ascii="Times New Roman;Times;serif" w:hAnsi="Times New Roman;Times;serif"/>
                  <w:sz w:val="20"/>
                </w:rPr>
                <w:t>Exhibits</w:t>
              </w:r>
            </w:hyperlink>
          </w:p>
        </w:tc>
        <w:tc>
          <w:tcPr>
            <w:tcW w:w="1075" w:type="dxa"/>
            <w:tcBorders/>
            <w:vAlign w:val="center"/>
          </w:tcPr>
          <w:p>
            <w:pPr>
              <w:pStyle w:val="TableContents"/>
              <w:bidi w:val="0"/>
              <w:spacing w:before="0" w:after="283"/>
              <w:jc w:val="center"/>
              <w:rPr/>
            </w:pPr>
            <w:hyperlink w:anchor="pt2_i6">
              <w:r>
                <w:rPr>
                  <w:rStyle w:val="InternetLink"/>
                  <w:rFonts w:ascii="Times New Roman;Times;serif" w:hAnsi="Times New Roman;Times;serif"/>
                  <w:sz w:val="20"/>
                </w:rPr>
                <w:t>41</w:t>
              </w:r>
            </w:hyperlink>
          </w:p>
        </w:tc>
      </w:tr>
      <w:tr>
        <w:trPr/>
        <w:tc>
          <w:tcPr>
            <w:tcW w:w="725"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left"/>
              <w:rPr/>
            </w:pPr>
            <w:r>
              <w:rPr/>
              <w:t> </w:t>
            </w:r>
          </w:p>
        </w:tc>
      </w:tr>
      <w:tr>
        <w:trPr/>
        <w:tc>
          <w:tcPr>
            <w:tcW w:w="9130" w:type="dxa"/>
            <w:gridSpan w:val="2"/>
            <w:tcBorders/>
            <w:vAlign w:val="center"/>
          </w:tcPr>
          <w:p>
            <w:pPr>
              <w:pStyle w:val="TableContents"/>
              <w:bidi w:val="0"/>
              <w:spacing w:before="0" w:after="283"/>
              <w:jc w:val="left"/>
              <w:rPr/>
            </w:pPr>
            <w:hyperlink w:anchor="sigs">
              <w:r>
                <w:rPr>
                  <w:rStyle w:val="InternetLink"/>
                  <w:rFonts w:ascii="Times New Roman;Times;serif" w:hAnsi="Times New Roman;Times;serif"/>
                  <w:sz w:val="20"/>
                </w:rPr>
                <w:t>Signatures</w:t>
              </w:r>
            </w:hyperlink>
          </w:p>
        </w:tc>
        <w:tc>
          <w:tcPr>
            <w:tcW w:w="1075" w:type="dxa"/>
            <w:tcBorders/>
            <w:vAlign w:val="center"/>
          </w:tcPr>
          <w:p>
            <w:pPr>
              <w:pStyle w:val="TableContents"/>
              <w:bidi w:val="0"/>
              <w:spacing w:before="0" w:after="283"/>
              <w:jc w:val="center"/>
              <w:rPr/>
            </w:pPr>
            <w:hyperlink w:anchor="sigs">
              <w:r>
                <w:rPr>
                  <w:rStyle w:val="InternetLink"/>
                  <w:rFonts w:ascii="Times New Roman;Times;serif" w:hAnsi="Times New Roman;Times;serif"/>
                  <w:sz w:val="20"/>
                </w:rPr>
                <w:t>42</w:t>
              </w:r>
            </w:hyperlink>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3" w:name="item_1"/>
            <w:bookmarkEnd w:id="3"/>
            <w:r>
              <w:rPr>
                <w:rFonts w:ascii="Times New Roman" w:hAnsi="Times New Roman"/>
                <w:b/>
                <w:caps w:val="false"/>
                <w:smallCaps w:val="false"/>
                <w:sz w:val="20"/>
              </w:rPr>
              <w:t>Item 1.</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4" w:name="fin_stmt"/>
            <w:bookmarkEnd w:id="4"/>
            <w:r>
              <w:rPr>
                <w:rFonts w:ascii="Times New Roman" w:hAnsi="Times New Roman"/>
                <w:b/>
                <w:caps w:val="false"/>
                <w:smallCaps w:val="false"/>
                <w:sz w:val="20"/>
              </w:rPr>
              <w:t>COHU, INC.</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par value amounts)</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905"/>
        <w:gridCol w:w="60"/>
        <w:gridCol w:w="148"/>
        <w:gridCol w:w="828"/>
        <w:gridCol w:w="80"/>
        <w:gridCol w:w="60"/>
        <w:gridCol w:w="157"/>
        <w:gridCol w:w="884"/>
        <w:gridCol w:w="83"/>
      </w:tblGrid>
      <w:tr>
        <w:trPr/>
        <w:tc>
          <w:tcPr>
            <w:tcW w:w="7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3" w:type="dxa"/>
            <w:tcBorders/>
            <w:vAlign w:val="center"/>
          </w:tcPr>
          <w:p>
            <w:pPr>
              <w:pStyle w:val="TableContents"/>
              <w:bidi w:val="0"/>
              <w:spacing w:before="0" w:after="283"/>
              <w:jc w:val="left"/>
              <w:rPr/>
            </w:pPr>
            <w:r>
              <w:rPr/>
              <w:t> </w:t>
            </w:r>
          </w:p>
        </w:tc>
      </w:tr>
      <w:tr>
        <w:trPr/>
        <w:tc>
          <w:tcPr>
            <w:tcW w:w="7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 *</w:t>
            </w:r>
          </w:p>
        </w:tc>
        <w:tc>
          <w:tcPr>
            <w:tcW w:w="83" w:type="dxa"/>
            <w:tcBorders/>
            <w:vAlign w:val="center"/>
          </w:tcPr>
          <w:p>
            <w:pPr>
              <w:pStyle w:val="TableContents"/>
              <w:bidi w:val="0"/>
              <w:spacing w:before="0" w:after="283"/>
              <w:jc w:val="left"/>
              <w:rPr/>
            </w:pPr>
            <w:r>
              <w:rPr/>
              <w:t> </w:t>
            </w:r>
          </w:p>
        </w:tc>
      </w:tr>
      <w:tr>
        <w:trPr/>
        <w:tc>
          <w:tcPr>
            <w:tcW w:w="7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19,442</w:t>
            </w:r>
          </w:p>
        </w:tc>
        <w:tc>
          <w:tcPr>
            <w:tcW w:w="83"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534,307</w:t>
            </w:r>
          </w:p>
        </w:tc>
        <w:tc>
          <w:tcPr>
            <w:tcW w:w="83"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31,058</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83"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p>
        </w:tc>
        <w:tc>
          <w:tcPr>
            <w:tcW w:w="83"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20,023</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21,141</w:t>
            </w:r>
          </w:p>
        </w:tc>
        <w:tc>
          <w:tcPr>
            <w:tcW w:w="83"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85,184</w:t>
            </w:r>
          </w:p>
        </w:tc>
        <w:tc>
          <w:tcPr>
            <w:tcW w:w="83"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6,821</w:t>
            </w:r>
          </w:p>
        </w:tc>
        <w:tc>
          <w:tcPr>
            <w:tcW w:w="83" w:type="dxa"/>
            <w:tcBorders/>
            <w:shd w:fill="FFFFFF" w:val="clear"/>
            <w:vAlign w:val="center"/>
          </w:tcPr>
          <w:p>
            <w:pPr>
              <w:pStyle w:val="TableContents"/>
              <w:bidi w:val="0"/>
              <w:spacing w:before="0" w:after="283"/>
              <w:jc w:val="left"/>
              <w:rPr/>
            </w:pPr>
            <w:r>
              <w:rPr/>
              <w:t> </w:t>
            </w:r>
          </w:p>
        </w:tc>
      </w:tr>
      <w:tr>
        <w:trPr/>
        <w:tc>
          <w:tcPr>
            <w:tcW w:w="79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90,000 shares authorized, 49,601 shares issued and outstanding in 2025 and 49,601 shares in 2024</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697,489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3,106 shares in 2025 and 2,891 shares in 2024</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(87,784</w:t>
            </w:r>
          </w:p>
        </w:tc>
        <w:tc>
          <w:tcPr>
            <w:tcW w:w="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(51,155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827,717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p>
        </w:tc>
        <w:tc>
          <w:tcPr>
            <w:tcW w:w="83" w:type="dxa"/>
            <w:tcBorders/>
            <w:shd w:fill="CCEEFF" w:val="clear"/>
            <w:vAlign w:val="center"/>
          </w:tcPr>
          <w:p>
            <w:pPr>
              <w:pStyle w:val="TableContents"/>
              <w:bidi w:val="0"/>
              <w:spacing w:before="0" w:after="283"/>
              <w:jc w:val="left"/>
              <w:rPr/>
            </w:pPr>
            <w:r>
              <w:rPr/>
              <w:t> </w:t>
            </w:r>
          </w:p>
        </w:tc>
      </w:tr>
      <w:tr>
        <w:trPr/>
        <w:tc>
          <w:tcPr>
            <w:tcW w:w="7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Derived from December 28, 2024, audited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5" w:name="operations"/>
            <w:bookmarkEnd w:id="5"/>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tc>
      </w:tr>
    </w:tbl>
    <w:p>
      <w:pPr>
        <w:pStyle w:val="TextBody"/>
        <w:bidi w:val="0"/>
        <w:spacing w:before="0" w:after="0"/>
        <w:ind w:left="0" w:right="0" w:hanging="0"/>
        <w:jc w:val="left"/>
        <w:rPr/>
      </w:pPr>
      <w:r>
        <w:rPr/>
        <w:t> </w:t>
      </w:r>
    </w:p>
    <w:p>
      <w:pPr>
        <w:pStyle w:val="TextBody"/>
        <w:bidi w:val="0"/>
        <w:spacing w:before="0" w:after="0"/>
        <w:jc w:val="left"/>
        <w:rPr/>
      </w:pPr>
      <w:r>
        <w:rPr/>
        <w:t> </w:t>
      </w:r>
    </w:p>
    <w:tbl>
      <w:tblPr>
        <w:tblW w:w="6743" w:type="dxa"/>
        <w:jc w:val="left"/>
        <w:tblInd w:w="0" w:type="dxa"/>
        <w:tblLayout w:type="fixed"/>
        <w:tblCellMar>
          <w:top w:w="0" w:type="dxa"/>
          <w:left w:w="0" w:type="dxa"/>
          <w:bottom w:w="0" w:type="dxa"/>
          <w:right w:w="0" w:type="dxa"/>
        </w:tblCellMar>
      </w:tblPr>
      <w:tblGrid>
        <w:gridCol w:w="4775"/>
        <w:gridCol w:w="60"/>
        <w:gridCol w:w="128"/>
        <w:gridCol w:w="716"/>
        <w:gridCol w:w="80"/>
        <w:gridCol w:w="60"/>
        <w:gridCol w:w="128"/>
        <w:gridCol w:w="716"/>
        <w:gridCol w:w="8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107,614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(1)</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58,365</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22,336</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35,082</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125,587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7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Excludes amortization of purchased intangibles of $7,559 and $7,522 for the three months ended March 29, 2025 and March 30, 2024,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left"/>
        <w:rPr/>
      </w:pPr>
      <w:r>
        <w:rPr/>
        <w:t> </w:t>
      </w:r>
    </w:p>
    <w:tbl>
      <w:tblPr>
        <w:tblW w:w="6830" w:type="dxa"/>
        <w:jc w:val="left"/>
        <w:tblInd w:w="0" w:type="dxa"/>
        <w:tblLayout w:type="fixed"/>
        <w:tblCellMar>
          <w:top w:w="0" w:type="dxa"/>
          <w:left w:w="0" w:type="dxa"/>
          <w:bottom w:w="0" w:type="dxa"/>
          <w:right w:w="0" w:type="dxa"/>
        </w:tblCellMar>
      </w:tblPr>
      <w:tblGrid>
        <w:gridCol w:w="6830"/>
      </w:tblGrid>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6" w:name="comploss"/>
            <w:bookmarkEnd w:id="6"/>
            <w:r>
              <w:rPr>
                <w:rFonts w:ascii="Times New Roman" w:hAnsi="Times New Roman"/>
                <w:b/>
                <w:caps w:val="false"/>
                <w:smallCaps w:val="false"/>
                <w:sz w:val="20"/>
              </w:rPr>
              <w:t>COHU, INC.</w:t>
            </w:r>
          </w:p>
        </w:tc>
      </w:tr>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5785" w:type="dxa"/>
        <w:jc w:val="left"/>
        <w:tblInd w:w="0" w:type="dxa"/>
        <w:tblLayout w:type="fixed"/>
        <w:tblCellMar>
          <w:top w:w="0" w:type="dxa"/>
          <w:left w:w="0" w:type="dxa"/>
          <w:bottom w:w="0" w:type="dxa"/>
          <w:right w:w="0" w:type="dxa"/>
        </w:tblCellMar>
      </w:tblPr>
      <w:tblGrid>
        <w:gridCol w:w="3815"/>
        <w:gridCol w:w="60"/>
        <w:gridCol w:w="135"/>
        <w:gridCol w:w="709"/>
        <w:gridCol w:w="81"/>
        <w:gridCol w:w="61"/>
        <w:gridCol w:w="135"/>
        <w:gridCol w:w="709"/>
        <w:gridCol w:w="8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6,398</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COHU, INC.</w:t>
            </w:r>
          </w:p>
        </w:tc>
      </w:tr>
      <w:tr>
        <w:trPr/>
        <w:tc>
          <w:tcPr>
            <w:tcW w:w="70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par value and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8"/>
        <w:gridCol w:w="60"/>
        <w:gridCol w:w="163"/>
        <w:gridCol w:w="777"/>
        <w:gridCol w:w="60"/>
        <w:gridCol w:w="60"/>
        <w:gridCol w:w="125"/>
        <w:gridCol w:w="695"/>
        <w:gridCol w:w="80"/>
        <w:gridCol w:w="60"/>
        <w:gridCol w:w="125"/>
        <w:gridCol w:w="695"/>
        <w:gridCol w:w="80"/>
        <w:gridCol w:w="60"/>
        <w:gridCol w:w="201"/>
        <w:gridCol w:w="1049"/>
        <w:gridCol w:w="80"/>
        <w:gridCol w:w="60"/>
        <w:gridCol w:w="125"/>
        <w:gridCol w:w="650"/>
        <w:gridCol w:w="80"/>
        <w:gridCol w:w="60"/>
        <w:gridCol w:w="125"/>
        <w:gridCol w:w="695"/>
        <w:gridCol w:w="82"/>
      </w:tblGrid>
      <w:tr>
        <w:trPr/>
        <w:tc>
          <w:tcPr>
            <w:tcW w:w="3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3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0"/>
              <w:jc w:val="left"/>
              <w:rPr/>
            </w:pPr>
            <w:r>
              <w:rPr/>
              <w:t> </w:t>
            </w:r>
          </w:p>
        </w:tc>
      </w:tr>
      <w:tr>
        <w:trPr/>
        <w:tc>
          <w:tcPr>
            <w:tcW w:w="39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30, 2024</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 par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2" w:type="dxa"/>
            <w:tcBorders/>
            <w:vAlign w:val="center"/>
          </w:tcPr>
          <w:p>
            <w:pPr>
              <w:pStyle w:val="TableContents"/>
              <w:bidi w:val="0"/>
              <w:spacing w:before="0" w:after="283"/>
              <w:ind w:left="0" w:right="0" w:hanging="0"/>
              <w:jc w:val="left"/>
              <w:rPr/>
            </w:pPr>
            <w:r>
              <w:rPr/>
              <w:t> </w:t>
            </w:r>
          </w:p>
        </w:tc>
      </w:tr>
      <w:tr>
        <w:trPr/>
        <w:tc>
          <w:tcPr>
            <w:tcW w:w="39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686,146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950,170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9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9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(4,534</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(10,764</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9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30, 2024</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679,012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915,357</w:t>
            </w:r>
          </w:p>
        </w:tc>
        <w:tc>
          <w:tcPr>
            <w:tcW w:w="82" w:type="dxa"/>
            <w:tcBorders/>
            <w:shd w:fill="FFFFFF" w:val="clear"/>
            <w:vAlign w:val="center"/>
          </w:tcPr>
          <w:p>
            <w:pPr>
              <w:pStyle w:val="TableContents"/>
              <w:bidi w:val="0"/>
              <w:spacing w:before="0" w:after="283"/>
              <w:jc w:val="left"/>
              <w:rPr/>
            </w:pPr>
            <w:r>
              <w:rPr/>
              <w:t> </w:t>
            </w:r>
          </w:p>
        </w:tc>
      </w:tr>
      <w:tr>
        <w:trPr/>
        <w:tc>
          <w:tcPr>
            <w:tcW w:w="3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9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29,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7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9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9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82" w:type="dxa"/>
            <w:tcBorders/>
            <w:shd w:fill="CCEEFF" w:val="clear"/>
            <w:vAlign w:val="center"/>
          </w:tcPr>
          <w:p>
            <w:pPr>
              <w:pStyle w:val="TableContents"/>
              <w:bidi w:val="0"/>
              <w:spacing w:before="0" w:after="283"/>
              <w:jc w:val="left"/>
              <w:rPr/>
            </w:pPr>
            <w:r>
              <w:rPr/>
              <w:t> </w:t>
            </w:r>
          </w:p>
        </w:tc>
      </w:tr>
      <w:tr>
        <w:trPr/>
        <w:tc>
          <w:tcPr>
            <w:tcW w:w="3958"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9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39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(8,609</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58" w:type="dxa"/>
            <w:tcBorders>
              <w:bottom w:val="single" w:sz="2" w:space="0" w:color="000000"/>
            </w:tcBorders>
            <w:shd w:fill="CCEEFF" w:val="clear"/>
            <w:tcMar>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39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29, 2025</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694,994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(90,057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827,717</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8" w:name="cash_flow"/>
            <w:bookmarkEnd w:id="8"/>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7898" w:type="dxa"/>
        <w:jc w:val="left"/>
        <w:tblInd w:w="0" w:type="dxa"/>
        <w:tblLayout w:type="fixed"/>
        <w:tblCellMar>
          <w:top w:w="0" w:type="dxa"/>
          <w:left w:w="0" w:type="dxa"/>
          <w:bottom w:w="0" w:type="dxa"/>
          <w:right w:w="0" w:type="dxa"/>
        </w:tblCellMar>
      </w:tblPr>
      <w:tblGrid>
        <w:gridCol w:w="5930"/>
        <w:gridCol w:w="60"/>
        <w:gridCol w:w="128"/>
        <w:gridCol w:w="716"/>
        <w:gridCol w:w="80"/>
        <w:gridCol w:w="60"/>
        <w:gridCol w:w="128"/>
        <w:gridCol w:w="716"/>
        <w:gridCol w:w="8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inventory related charges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accrued retiree medical benefits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related to equity investment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to market adjustment to contingent consideration</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excluding effects from acquisitions: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 excluding effects from acquisitions: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31,999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net investment hedge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Tignis, net of cash received</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 net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revolving line of credit and revolving credit facility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(44,427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(54,459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191,065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property,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560" w:right="0" w:hanging="560"/>
        <w:jc w:val="both"/>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notes"/>
            <w:bookmarkEnd w:id="9"/>
            <w:r>
              <w:rPr>
                <w:rFonts w:ascii="Times New Roman;Times;serif" w:hAnsi="Times New Roman;Times;serif"/>
                <w:b/>
                <w:sz w:val="20"/>
              </w:rPr>
              <w:t>1.</w:t>
            </w:r>
          </w:p>
        </w:tc>
        <w:tc>
          <w:tcPr>
            <w:tcW w:w="3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fiscal years are based on a 52- or 53-week period ending on the last Saturday in December. The condensed consolidated balance sheet at December 28, 2024, has been derived from our audited financial statements at that date. The interim condensed consolidated financial statements as of March 29, 2025, (also referred to as “the first quarter of fiscal 2025” and “the first three months of fiscal 2025”) and March 30, 2024, (also referred to as “the first quarter of fiscal 2024” and “the first three months of fiscal 2024”) are unaudited. However, in management’s opinion, these financial statements reflect all adjustments (consisting only of normal, recurring items) necessary to provide a fair presentation of our financial position, results of operations and cash flows for the periods presented. The first quarter of fiscal 2025 and 2024 were both comprised of 13 weeks.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interim results are not necessarily indicative of the results that should be expected for the full year. The condensed consolidated financial statements presented herein reflect estimates and assumptions made by management at March 29, 2025 and for the three-month period ended March 29, 2025. For a better understanding of Cohu, Inc. and our financial statements, we recommend reading these interim condensed consolidated financial statements in conjunction with our audited financial statements for the year ended December 28, 2024, which are included in our 2024 Annual Report on Form 10-K, filed with the U.S. Securities and Exchange Commission (“SEC”). In the following notes to our interim condensed consolidated financial statements, Cohu, Inc., is referred to as “Cohu”, the “Company”, “we”, “our”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All significant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Accounting Standards Codification (“ASC”) Topic 326, </w:t>
      </w:r>
      <w:r>
        <w:rPr>
          <w:rFonts w:ascii="Times New Roman" w:hAnsi="Times New Roman"/>
          <w:i/>
          <w:caps w:val="false"/>
          <w:smallCaps w:val="false"/>
          <w:sz w:val="20"/>
        </w:rPr>
        <w:t xml:space="preserve">Financial Instruments-Credit Losses, </w:t>
      </w:r>
      <w:r>
        <w:rPr>
          <w:rFonts w:ascii="Times New Roman" w:hAnsi="Times New Roman"/>
          <w:caps w:val="false"/>
          <w:smallCaps w:val="false"/>
          <w:sz w:val="20"/>
        </w:rPr>
        <w:t>(“ASC 326”). At both March 29, 2025 and December 28, 2024, our allowance for credit losses was $0.2 million. Our customers include semiconductor manufacturers and semiconductor test subcontractors and other customers located throughout many areas of the world. While we believe that our allowance for credit losses is adequate and represents our best estimate at March 29, 2025, we will continue to monitor customer liquidity and other economic conditions, which may result in changes to our estimates regarding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when estimated market values are below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2810"/>
        <w:gridCol w:w="60"/>
        <w:gridCol w:w="128"/>
        <w:gridCol w:w="716"/>
        <w:gridCol w:w="60"/>
        <w:gridCol w:w="60"/>
        <w:gridCol w:w="171"/>
        <w:gridCol w:w="958"/>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94,970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21,058</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3950"/>
        <w:gridCol w:w="60"/>
        <w:gridCol w:w="128"/>
        <w:gridCol w:w="716"/>
        <w:gridCol w:w="80"/>
        <w:gridCol w:w="60"/>
        <w:gridCol w:w="171"/>
        <w:gridCol w:w="958"/>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104,767</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Cloud-based Enterprise Resource Planning Implementation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capitalized certain costs associated with the implementation of our cloud-based Enterprise Resource Planning (“ERP”) system in accordance with ASC Topic 350,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 xml:space="preserve">Goodwill and Other, </w:t>
      </w:r>
      <w:r>
        <w:rPr>
          <w:rFonts w:ascii="Times New Roman" w:hAnsi="Times New Roman"/>
          <w:caps w:val="false"/>
          <w:smallCaps w:val="false"/>
          <w:sz w:val="20"/>
        </w:rPr>
        <w:t>(“ASC 350”).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Total unamortized capitalized cloud computing implementation costs totaled $8.6 million and $9.3 million at March 29, 2025, and December 28, 2024, respectively. These amounts are recorded in other assets in our condensed consolidated balance sheets. Implementation costs are amortized using the straight-line method over seven years and we recorded $0.7 million in amortization expense during both the three months ended March 29, 2025, and March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apply the provisions of ASC Topic 280, </w:t>
      </w:r>
      <w:r>
        <w:rPr>
          <w:rFonts w:ascii="Times New Roman" w:hAnsi="Times New Roman"/>
          <w:i/>
          <w:caps w:val="false"/>
          <w:smallCaps w:val="false"/>
          <w:sz w:val="20"/>
        </w:rPr>
        <w:t>Segment Reporting</w:t>
      </w:r>
      <w:r>
        <w:rPr>
          <w:rFonts w:ascii="Times New Roman" w:hAnsi="Times New Roman"/>
          <w:caps w:val="false"/>
          <w:smallCaps w:val="false"/>
          <w:sz w:val="20"/>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Under ASC 280,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 ST and IS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Goodwill, Intangible Assets and Other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evaluate goodwill for impairment annually and when an event occurs or circumstances change that indicate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lineRule="auto" w:line="288"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each year and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current financial market volatility directly impacts our fair value measurement through our stock price that we use to determine our market capitalization. During times of volatility, significant judgment must be applied to determine whether credit or stock price changes are short-term in nature or indicative of a long-term trend. As of March 29, 2025,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three months of fiscal 2025 and 2024,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record restructuring activities including costs for one-time termination benefits in accordance with ASC Topic 420,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420”)</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These costs are recognized when management has committed to a restructuring plan and the severance costs are probable and estimable. See Note 4, “Restructuring Charges”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Remeasurement and Currency Translation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months ended March 29, 2025, we recognized foreign exchange losses, net of the impact of foreign exchange derivative contracts, of $0.1 million, in our condensed consolidated statements of operations. During the three months ended March 30, 2024, we recognized foreign exchange losses, net of the impact of foreign exchange derivative contracts, of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condensed consolidated balance sheets and all changes in fair value are recognized in net earnings or statement of consolidated stockholders’ equity through accumulated other comprehensive loss (AOCL).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See Note 7,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measure and recognize all share-based compensation under the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Reported share-based compensation is classified in the condensed consolidated interim financial statements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2975"/>
        <w:gridCol w:w="60"/>
        <w:gridCol w:w="157"/>
        <w:gridCol w:w="687"/>
        <w:gridCol w:w="97"/>
        <w:gridCol w:w="73"/>
        <w:gridCol w:w="173"/>
        <w:gridCol w:w="671"/>
        <w:gridCol w:w="6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4,686</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4,415</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Basic loss per common share is computed by dividing net income by the weighted-average number of common 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For the three months ended March 29, 2025, approximately 701,000 potentially issuable shares of common stock were excluded from the computation. For the three months ended March 30, 2024, 5,000 potentially issuable shares were excluded from the computation. All shares repurchased and held as treasury stock are reflected as a reduction to our basic weighted average shares outstanding based on the trade date of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reconciles the denominators used in computing basic and diluted loss per share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2780"/>
        <w:gridCol w:w="60"/>
        <w:gridCol w:w="77"/>
        <w:gridCol w:w="767"/>
        <w:gridCol w:w="73"/>
        <w:gridCol w:w="73"/>
        <w:gridCol w:w="77"/>
        <w:gridCol w:w="767"/>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46,645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January 1, 2019, the adoption date of ASU 2016-02, </w:t>
      </w:r>
      <w:r>
        <w:rPr>
          <w:rFonts w:ascii="Times New Roman" w:hAnsi="Times New Roman"/>
          <w:i/>
          <w:caps w:val="false"/>
          <w:smallCaps w:val="false"/>
          <w:sz w:val="20"/>
        </w:rPr>
        <w:t>Leases (Topic 842)</w:t>
      </w:r>
      <w:r>
        <w:rPr>
          <w:rFonts w:ascii="Times New Roman" w:hAnsi="Times New Roman"/>
          <w:caps w:val="false"/>
          <w:smallCaps w:val="false"/>
          <w:sz w:val="20"/>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Unsatisfied performance obligations primarily represent contracts for products with future delivery dates. At March 29, 2025, we had $5.5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we have opted to not disclose unsatisfied performance obligations for contracts with original expected durations of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hAnsi="Times New Roman"/>
          <w:i/>
          <w:caps w:val="false"/>
          <w:smallCaps w:val="false"/>
          <w:sz w:val="20"/>
        </w:rPr>
        <w:t xml:space="preserve">Guarantees </w:t>
      </w:r>
      <w:r>
        <w:rPr>
          <w:rFonts w:ascii="Times New Roman" w:hAnsi="Times New Roman"/>
          <w:caps w:val="false"/>
          <w:smallCaps w:val="false"/>
          <w:sz w:val="20"/>
        </w:rPr>
        <w:t>(“ASC 460”), and not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are less than one year in duration, we have elected to use the practical expedient available in ASC 606 to expense cost to obtain contracts as they are incurred because they would be amortized over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shipments where sales are not recognized, gross profit is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March 29, 2025, we had deferred revenue totaling approximately $13.7 million, current deferred profit of $7.1 million and deferred profit expected to be recognized after one year included in noncurrent other accrued liabilities of $4.1 million. At December 28, 2024, we had deferred revenue totaling approximately $8.6 million, current deferred profit of $3.6 million and deferred profit expected to be recognized after one year included in noncurrent other accrued liabilities of $4.3 million.</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sales by type are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4907" w:type="dxa"/>
        <w:jc w:val="left"/>
        <w:tblInd w:w="0" w:type="dxa"/>
        <w:tblLayout w:type="fixed"/>
        <w:tblCellMar>
          <w:top w:w="0" w:type="dxa"/>
          <w:left w:w="0" w:type="dxa"/>
          <w:bottom w:w="0" w:type="dxa"/>
          <w:right w:w="0" w:type="dxa"/>
        </w:tblCellMar>
      </w:tblPr>
      <w:tblGrid>
        <w:gridCol w:w="2045"/>
        <w:gridCol w:w="60"/>
        <w:gridCol w:w="228"/>
        <w:gridCol w:w="1081"/>
        <w:gridCol w:w="62"/>
        <w:gridCol w:w="62"/>
        <w:gridCol w:w="198"/>
        <w:gridCol w:w="1111"/>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 2024</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35,642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37,311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61,155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70,303</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107,614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Revenue by geographic area based upon product shipment destination was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07" w:type="dxa"/>
        <w:jc w:val="left"/>
        <w:tblInd w:w="0" w:type="dxa"/>
        <w:tblLayout w:type="fixed"/>
        <w:tblCellMar>
          <w:top w:w="0" w:type="dxa"/>
          <w:left w:w="0" w:type="dxa"/>
          <w:bottom w:w="0" w:type="dxa"/>
          <w:right w:w="0" w:type="dxa"/>
        </w:tblCellMar>
      </w:tblPr>
      <w:tblGrid>
        <w:gridCol w:w="2045"/>
        <w:gridCol w:w="60"/>
        <w:gridCol w:w="228"/>
        <w:gridCol w:w="1081"/>
        <w:gridCol w:w="62"/>
        <w:gridCol w:w="62"/>
        <w:gridCol w:w="198"/>
        <w:gridCol w:w="1111"/>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 2024</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14,128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Germany</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8,185</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1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1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32,238</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107,614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historically have been responsible for a significant portion of our net sales. Significant customer concentration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5210"/>
        <w:gridCol w:w="60"/>
        <w:gridCol w:w="174"/>
        <w:gridCol w:w="670"/>
        <w:gridCol w:w="387"/>
        <w:gridCol w:w="125"/>
        <w:gridCol w:w="174"/>
        <w:gridCol w:w="670"/>
        <w:gridCol w:w="18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18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387"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18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387"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8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Customers individually representing more than 10% of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844"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38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4"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18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net sales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3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6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accumulated other comprehensive loss balance totaled approximately $44.8 million and $51.2 million at March 29, 2025 and December 28, 2024,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first three months of fiscal 2025 and 2024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Retiree 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first three months of fiscal 2025 and 2024 was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2023, the Financial Accounting Standards Board (“FASB”) issued ASU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which expands reportable segment disclosure requirements, primarily through enhanced disclosures about significant segment expenses. The amendments in the ASU require, among other things, disclosure of significant segment expenses that are regularly provided to an entity's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Effective December 28, 2024, we adopted the new standard. The primary change as a result of adoption was the inclusion of additional disclosures related to our single reportable segment. See Note 11, “Segment and Geographic Information”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xml:space="preserve">, requiring public entities to disclose additional information about specific expense categories in the notes to the financial statements on an interim and annual basis. The FASB subsequently issued ASU 2025-01, </w:t>
      </w:r>
      <w:r>
        <w:rPr>
          <w:rFonts w:ascii="Times New Roman" w:hAnsi="Times New Roman"/>
          <w:i/>
          <w:caps w:val="false"/>
          <w:smallCaps w:val="false"/>
          <w:sz w:val="20"/>
        </w:rPr>
        <w:t>Income Statement - Reporting Comprehensive Income - Expense Disaggregation Disclosures (Subtopic 220-40): Clarifying the Effective Date</w:t>
      </w:r>
      <w:r>
        <w:rPr>
          <w:rFonts w:ascii="Times New Roman" w:hAnsi="Times New Roman"/>
          <w:caps w:val="false"/>
          <w:smallCaps w:val="false"/>
          <w:sz w:val="20"/>
        </w:rPr>
        <w:t>, to clarify the effective date of ASU 2024-03. The guidance is effective for fiscal years beginning after December 15, 2026, and for interim periods beginning after December 15, 2027, with early adoption permitted. We are currently evaluating the impact of adopting the new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which requires enhancements and further transparency to certain annual income tax disclosures, most notably the tax rate reconciliation and income taxes paid. This ASU is effective for fiscal years beginning after December 15, 2024. We are adopting this ASU at the end of fiscal 2025 and will implement the required annual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Business Acquisitions, Goodwill and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Tignis,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(ML),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expect to finalize in the second quarter of fiscal 2025. We made a cash payment totaling approximately $34.9 million, net of cash received, for Tignis which was paid out of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initial consideration paid, the Tignis shareholders have the right to receive an additional $5.0 million of consideration which is based on Tignis achieving certain sales and expense targets through December 2025. The contingent consideration payable has been classified as level 3 in the fair value hierarchy. See Note 5 “Financial Instruments Measured at Fair Value” for additional information on the three-tier fair value hierarchy. Contingent consideration is recorded in our condensed consolidated balance sheets in other accrued liabilities. Adjustments to the fair value of contingent consideration are reflected in selling, general, and administrative expense in our condensed consolidated statements of operations. At March 29, 2025, we updated the fair value of contingent consideration based on management’s current estimates at that date which differed from those used as of January 7, 2025. The following table presents the fair value of contingent consideration from the date of acquisition through March 29,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286"/>
        <w:gridCol w:w="1113"/>
        <w:gridCol w:w="60"/>
        <w:gridCol w:w="60"/>
        <w:gridCol w:w="588"/>
        <w:gridCol w:w="377"/>
        <w:gridCol w:w="60"/>
        <w:gridCol w:w="60"/>
        <w:gridCol w:w="247"/>
        <w:gridCol w:w="1078"/>
        <w:gridCol w:w="80"/>
        <w:gridCol w:w="60"/>
        <w:gridCol w:w="832"/>
        <w:gridCol w:w="537"/>
        <w:gridCol w:w="60"/>
      </w:tblGrid>
      <w:tr>
        <w:trPr/>
        <w:tc>
          <w:tcPr>
            <w:tcW w:w="13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8" w:type="dxa"/>
            <w:tcBorders/>
            <w:vAlign w:val="center"/>
          </w:tcPr>
          <w:p>
            <w:pPr>
              <w:pStyle w:val="TableContents"/>
              <w:bidi w:val="0"/>
              <w:spacing w:before="0" w:after="283"/>
              <w:jc w:val="center"/>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2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Mark-to-Market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w:t>
            </w:r>
          </w:p>
        </w:tc>
        <w:tc>
          <w:tcPr>
            <w:tcW w:w="60" w:type="dxa"/>
            <w:tcBorders/>
            <w:vAlign w:val="center"/>
          </w:tcPr>
          <w:p>
            <w:pPr>
              <w:pStyle w:val="TableContents"/>
              <w:bidi w:val="0"/>
              <w:spacing w:before="0" w:after="283"/>
              <w:jc w:val="center"/>
              <w:rPr/>
            </w:pPr>
            <w:r>
              <w:rPr/>
              <w:t> </w:t>
            </w:r>
          </w:p>
        </w:tc>
      </w:tr>
      <w:tr>
        <w:trPr/>
        <w:tc>
          <w:tcPr>
            <w:tcW w:w="13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8" w:type="dxa"/>
            <w:tcBorders/>
            <w:vAlign w:val="center"/>
          </w:tcPr>
          <w:p>
            <w:pPr>
              <w:pStyle w:val="TableContents"/>
              <w:bidi w:val="0"/>
              <w:spacing w:before="0" w:after="283"/>
              <w:jc w:val="center"/>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 at</w:t>
            </w:r>
          </w:p>
        </w:tc>
        <w:tc>
          <w:tcPr>
            <w:tcW w:w="60" w:type="dxa"/>
            <w:tcBorders/>
            <w:vAlign w:val="center"/>
          </w:tcPr>
          <w:p>
            <w:pPr>
              <w:pStyle w:val="TableContents"/>
              <w:bidi w:val="0"/>
              <w:spacing w:before="0" w:after="283"/>
              <w:jc w:val="center"/>
              <w:rPr/>
            </w:pPr>
            <w:r>
              <w:rPr/>
              <w:t> </w:t>
            </w:r>
          </w:p>
        </w:tc>
      </w:tr>
      <w:tr>
        <w:trPr/>
        <w:tc>
          <w:tcPr>
            <w:tcW w:w="13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at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8" w:type="dxa"/>
            <w:tcBorders/>
            <w:vAlign w:val="center"/>
          </w:tcPr>
          <w:p>
            <w:pPr>
              <w:pStyle w:val="TableContents"/>
              <w:bidi w:val="0"/>
              <w:spacing w:before="0" w:after="283"/>
              <w:jc w:val="center"/>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center"/>
              <w:rPr/>
            </w:pPr>
            <w:r>
              <w:rPr/>
              <w:t> </w:t>
            </w:r>
          </w:p>
        </w:tc>
      </w:tr>
      <w:tr>
        <w:trPr/>
        <w:tc>
          <w:tcPr>
            <w:tcW w:w="13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Including cash paid, the impact of our estimated working capital adjustment and the fair value of the contingent consideration, the purchase price for Tignis is $36.6 million. During the three months ending March 29, 2025, we incurred acquisition-related costs totaling approximately $0.3 million, which were expensed as selling, general and administrative costs. The acquisition of Tignis has been accounted for in conformity with ASC Topic 805,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(“ASC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we have not finalized the purchase price allocation. Accordingly, the preliminary purchase price allocation shown below could change as the fair values of the tangible and intangible assets acquired and liabilities assumed and the related income tax effects are finalized during the remainder of the measurement period (which will not exceed 12 months from the acquisition closing date). The preliminary allocation of the purchase price to the assets acquired and liabilities assumed based on their fair values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3170"/>
        <w:gridCol w:w="60"/>
        <w:gridCol w:w="125"/>
        <w:gridCol w:w="590"/>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preliminary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3" w:type="dxa"/>
        <w:jc w:val="left"/>
        <w:tblInd w:w="0" w:type="dxa"/>
        <w:tblLayout w:type="fixed"/>
        <w:tblCellMar>
          <w:top w:w="0" w:type="dxa"/>
          <w:left w:w="0" w:type="dxa"/>
          <w:bottom w:w="0" w:type="dxa"/>
          <w:right w:w="0" w:type="dxa"/>
        </w:tblCellMar>
      </w:tblPr>
      <w:tblGrid>
        <w:gridCol w:w="2315"/>
        <w:gridCol w:w="60"/>
        <w:gridCol w:w="176"/>
        <w:gridCol w:w="683"/>
        <w:gridCol w:w="60"/>
        <w:gridCol w:w="60"/>
        <w:gridCol w:w="163"/>
        <w:gridCol w:w="756"/>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earnout agreement was measured at fair value in accordance with the guidance provided by ASC Topic 820, </w:t>
      </w:r>
      <w:r>
        <w:rPr>
          <w:rFonts w:ascii="Times New Roman" w:hAnsi="Times New Roman"/>
          <w:i/>
          <w:caps w:val="false"/>
          <w:smallCaps w:val="false"/>
          <w:sz w:val="20"/>
        </w:rPr>
        <w:t>Fair Value Measurement</w:t>
      </w:r>
      <w:r>
        <w:rPr>
          <w:rFonts w:ascii="Times New Roman" w:hAnsi="Times New Roman"/>
          <w:caps w:val="false"/>
          <w:smallCaps w:val="false"/>
          <w:sz w:val="20"/>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Tignis’ results of operations have been included starting January 7, 2025. The impact of Tignis on our condensed consolidated statements of operations and comprehensive loss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 of goodwill during the year ended December 28, 2024, and the three-month period ended March 29, 2025,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2360"/>
        <w:gridCol w:w="60"/>
        <w:gridCol w:w="125"/>
        <w:gridCol w:w="69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29,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272,598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2120"/>
        <w:gridCol w:w="60"/>
        <w:gridCol w:w="125"/>
        <w:gridCol w:w="695"/>
        <w:gridCol w:w="60"/>
        <w:gridCol w:w="60"/>
        <w:gridCol w:w="125"/>
        <w:gridCol w:w="695"/>
        <w:gridCol w:w="60"/>
        <w:gridCol w:w="1130"/>
        <w:gridCol w:w="60"/>
        <w:gridCol w:w="125"/>
        <w:gridCol w:w="695"/>
        <w:gridCol w:w="60"/>
        <w:gridCol w:w="60"/>
        <w:gridCol w:w="125"/>
        <w:gridCol w:w="695"/>
        <w:gridCol w:w="7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ind w:left="0" w:right="0" w:hanging="0"/>
              <w:jc w:val="left"/>
              <w:rPr/>
            </w:pPr>
            <w:r>
              <w:rPr/>
              <w:t> </w:t>
            </w:r>
          </w:p>
        </w:tc>
        <w:tc>
          <w:tcPr>
            <w:tcW w:w="113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 (years)</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7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173,079</w:t>
            </w:r>
          </w:p>
        </w:tc>
        <w:tc>
          <w:tcPr>
            <w:tcW w:w="60"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163,453</w:t>
            </w:r>
          </w:p>
        </w:tc>
        <w:tc>
          <w:tcPr>
            <w:tcW w:w="7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37,513</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35,229</w:t>
            </w:r>
          </w:p>
        </w:tc>
        <w:tc>
          <w:tcPr>
            <w:tcW w:w="7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13,621</w:t>
            </w:r>
          </w:p>
        </w:tc>
        <w:tc>
          <w:tcPr>
            <w:tcW w:w="60" w:type="dxa"/>
            <w:tcBorders/>
            <w:shd w:fill="CCEEFF" w:val="clear"/>
            <w:vAlign w:val="center"/>
          </w:tcPr>
          <w:p>
            <w:pPr>
              <w:pStyle w:val="TableContents"/>
              <w:bidi w:val="0"/>
              <w:spacing w:before="0" w:after="283"/>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12,930</w:t>
            </w:r>
          </w:p>
        </w:tc>
        <w:tc>
          <w:tcPr>
            <w:tcW w:w="7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7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224,407</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fluctuations in currency exchange rates and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in the first quarter of fiscal 2025 and 2024 was $9.9 million and $9.8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         Borrowings and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0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our borrowings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823" w:type="dxa"/>
        <w:jc w:val="left"/>
        <w:tblInd w:w="0" w:type="dxa"/>
        <w:tblLayout w:type="fixed"/>
        <w:tblCellMar>
          <w:top w:w="0" w:type="dxa"/>
          <w:left w:w="0" w:type="dxa"/>
          <w:bottom w:w="0" w:type="dxa"/>
          <w:right w:w="0" w:type="dxa"/>
        </w:tblCellMar>
      </w:tblPr>
      <w:tblGrid>
        <w:gridCol w:w="2570"/>
        <w:gridCol w:w="60"/>
        <w:gridCol w:w="136"/>
        <w:gridCol w:w="708"/>
        <w:gridCol w:w="80"/>
        <w:gridCol w:w="60"/>
        <w:gridCol w:w="209"/>
        <w:gridCol w:w="920"/>
        <w:gridCol w:w="8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loan-Cohu GmbH</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0.95%, and expire at various dates through 2034. At both March 29, 2025 and December 28, 2024, the outstanding loan balance was $1.7 million and $0.2 million of the outstanding balance is presented as current installments of long-term debt in our condensed consolidated balance sheets. The fair value of the debt approximates the carrying value at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At March 29, 2025, total outstanding borrowings under the Loan Facilities was $6.5 million with $1.0 million of the total outstanding balance being presented as current installments of long-term debt in our condensed consolidated balance sheets. At December 28, 2024, total outstanding borrowings under the Loan Facilities was $6.5 million with $0.9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37.6 million was subsequently withdrawn. The revolving credit facility was utilized to finance the purchase of our leased facility in Melaka, Malaysia. Interest is due monthly and is calculated based on the lender’s Effective Cost of Funds (“ECOF”) plus a spread of 0.5%. The revolving credit facility is secured by the land and building. At March 29, 2025, $8.5 million was outstanding under the revolving credit facility and the rate of interest was 4.25%.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150 million Japanese Yen was drawn as of March 29, 2025. At March 29, 2025, total borrowings outstanding under the revolving lines of credit were $1.0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borrowings of up to a total of 2.0 million Swiss Francs, a portion of which is reserved for tax guarantees. At March 29, 2025 and December 28, 2024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Poway Volume Manufacturing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During the fourth quarter of fiscal 2024, we made the decision to transition all remaining volume manufacturing out of Poway, CA, and consolidate it into our factories in Asia. This change will allow us to better utilize our corporate infrastructure, drive improvements in inventory management, optimize our warehousing and better support our long-term goals. Total pretax charges related to the Poway volume manufacturing transition for the three months ended March 29, 2025 were $0.4 million. The following table summarizes the activity within the restructuring related accounts for the Poway volume manufacturing transition during the three months ended March 29,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33" w:type="dxa"/>
        <w:jc w:val="left"/>
        <w:tblInd w:w="0" w:type="dxa"/>
        <w:tblLayout w:type="fixed"/>
        <w:tblCellMar>
          <w:top w:w="0" w:type="dxa"/>
          <w:left w:w="0" w:type="dxa"/>
          <w:bottom w:w="0" w:type="dxa"/>
          <w:right w:w="0" w:type="dxa"/>
        </w:tblCellMar>
      </w:tblPr>
      <w:tblGrid>
        <w:gridCol w:w="2345"/>
        <w:gridCol w:w="60"/>
        <w:gridCol w:w="285"/>
        <w:gridCol w:w="904"/>
        <w:gridCol w:w="80"/>
        <w:gridCol w:w="60"/>
        <w:gridCol w:w="206"/>
        <w:gridCol w:w="653"/>
        <w:gridCol w:w="80"/>
        <w:gridCol w:w="60"/>
        <w:gridCol w:w="125"/>
        <w:gridCol w:w="395"/>
        <w:gridCol w:w="8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29, 2025</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2025 Strategic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February 19, 2025, we approved and began executing a strategic restructuring program designed to reposition our organization and improve our cost structure (“2025 Restructuring Program”). As part of the 2025 Restructuring Program we plan on consolidating certain operations that are currently based in La Chaux-de-Fonds, Switzerland, and in Kolbermoor, Germany, respectively, into other lower cost locations owned by the Company. As part of the 2025 Restructuring Program, we also anticipate making headcount reductions in the U.S. and throughout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The 2025 Restructuring Program, as implemented over time, will reduce headcount,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result of the activities described above, we recognized total pretax charges of $6.2 million during the three months ended March 29, 2025, that are within the scope of ASC 420. The following table summarizes the activity within the restructuring related accounts for the 2025 Restructuring Program during the three months ended March 29,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2360"/>
        <w:gridCol w:w="60"/>
        <w:gridCol w:w="221"/>
        <w:gridCol w:w="968"/>
        <w:gridCol w:w="80"/>
        <w:gridCol w:w="60"/>
        <w:gridCol w:w="258"/>
        <w:gridCol w:w="602"/>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6,236</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March 29,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 xml:space="preserve">Financial Instruments Measured at Fair Value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income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52"/>
        <w:gridCol w:w="723"/>
        <w:gridCol w:w="60"/>
        <w:gridCol w:w="60"/>
        <w:gridCol w:w="317"/>
        <w:gridCol w:w="588"/>
        <w:gridCol w:w="60"/>
        <w:gridCol w:w="60"/>
        <w:gridCol w:w="317"/>
        <w:gridCol w:w="588"/>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4,729</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48,932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52"/>
        <w:gridCol w:w="723"/>
        <w:gridCol w:w="60"/>
        <w:gridCol w:w="60"/>
        <w:gridCol w:w="317"/>
        <w:gridCol w:w="588"/>
        <w:gridCol w:w="60"/>
        <w:gridCol w:w="60"/>
        <w:gridCol w:w="317"/>
        <w:gridCol w:w="588"/>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top w:val="single" w:sz="2" w:space="0" w:color="000000"/>
            </w:tcBorders>
            <w:tcMar>
              <w:top w:w="28" w:type="dxa"/>
            </w:tcMar>
            <w:vAlign w:val="center"/>
          </w:tcPr>
          <w:p>
            <w:pPr>
              <w:pStyle w:val="TableContents"/>
              <w:bidi w:val="0"/>
              <w:spacing w:before="0" w:after="283"/>
              <w:jc w:val="left"/>
              <w:rPr/>
            </w:pPr>
            <w:r>
              <w:rPr/>
              <w:t> </w:t>
            </w:r>
          </w:p>
        </w:tc>
        <w:tc>
          <w:tcPr>
            <w:tcW w:w="9948"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29, 2025, the cost and fair value of investments with loss positions were approximately $22.4 million and $22.3 million, respectively. As of December 28, 2024, the cost and fair value of investments with loss positions was approximately $20.5 million and $20.4 million, respectively. We evaluated the nature of these investments, credit worthiness of the issuer and the duration of these impairments to determine if a credit loss exists. We have the ability and intent to hold these investments to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debt securities include investments in financial and other corporate institutions. No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Effective maturities of short-term investments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3005"/>
        <w:gridCol w:w="60"/>
        <w:gridCol w:w="152"/>
        <w:gridCol w:w="723"/>
        <w:gridCol w:w="60"/>
        <w:gridCol w:w="60"/>
        <w:gridCol w:w="150"/>
        <w:gridCol w:w="709"/>
        <w:gridCol w:w="60"/>
        <w:gridCol w:w="60"/>
        <w:gridCol w:w="152"/>
        <w:gridCol w:w="723"/>
        <w:gridCol w:w="61"/>
        <w:gridCol w:w="61"/>
        <w:gridCol w:w="150"/>
        <w:gridCol w:w="709"/>
        <w:gridCol w:w="6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6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47,855</w:t>
            </w:r>
          </w:p>
        </w:tc>
        <w:tc>
          <w:tcPr>
            <w:tcW w:w="6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w:t>
            </w:r>
          </w:p>
        </w:tc>
        <w:tc>
          <w:tcPr>
            <w:tcW w:w="6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2360"/>
        <w:gridCol w:w="60"/>
        <w:gridCol w:w="175"/>
        <w:gridCol w:w="975"/>
        <w:gridCol w:w="84"/>
        <w:gridCol w:w="84"/>
        <w:gridCol w:w="175"/>
        <w:gridCol w:w="828"/>
        <w:gridCol w:w="84"/>
        <w:gridCol w:w="84"/>
        <w:gridCol w:w="386"/>
        <w:gridCol w:w="248"/>
        <w:gridCol w:w="84"/>
        <w:gridCol w:w="84"/>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March 29, 2025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113,202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113,202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37,308</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9,514</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4,729</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4,729</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9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9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113,202</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87,606</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200,808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28, 2024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125,127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Employee Stock Benefit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2005 Equity Incentive Plan (“2005 Plan”) and our 1997 Employee Stock Purchase Plan (“ESPP”) are broad-based, long-term 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March 29, 2025, there were 1,887,379 shares available for future equity grants under the 2005 Plan and 628,316 shares available for purchase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2005 Plan have a maximum contractual term of ten years. In the first three months of fiscal 2025, we did not grant any stock options and as of March 29, 2025, no stock options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or treasury shares will be issued on the date the RSUs vest net of the minimum statutory tax withholding requirements to be paid by us on behalf of our employees. As a result, the actual number of shares issued will be fewer than the number of RSUs outstanding on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three months of fiscal 2025, we awarded 783,049 RSUs and issued 301,543 shares of our common stock on vesting of previously granted awards and 26,870 RSUs were forfeited. On March 29, 2025, we had 1,342,848 RSUs outstanding with an aggregate intrinsic value of approximately $20.3 million and the weighted average remaining vesting period was approximately 1.6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Russell 2000 Index (RUT) for the performance period. PSUs granted vest 100% on the third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 of the PSUs using a Monte Carlo simulation model on the date of grant. Compensation expense is recognized over the requisite service period. To the extent applicable performance conditions are satisfied, shares of our common stock or treasury shares are issued on the date the PSUs vest net of the minimum statutory tax withholding requirements to be paid by us on behalf of our employees. As a result, the actual number of shares issued will be fewer than the actual number of PSUs outstanding on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three months of fiscal 2025, we awarded 385,548 PSUs, we issued 57,311 shares of our common stock on vesting of previously granted awards and 87,230 shares were forfeited. On March 29, 2025, we had 779,989 PSUs outstanding with an aggregate intrinsic value of approximately $11.8 million and the weighted average remaining vesting period was approximately 2.2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three months of fiscal 2025, no shares of our common stock were sold to our employees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Economic (Non-Designated)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related to non-designated derivative instruments in the condensed consolidated statements of operations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371" w:type="dxa"/>
        <w:jc w:val="left"/>
        <w:tblInd w:w="0" w:type="dxa"/>
        <w:tblLayout w:type="fixed"/>
        <w:tblCellMar>
          <w:top w:w="0" w:type="dxa"/>
          <w:left w:w="0" w:type="dxa"/>
          <w:bottom w:w="0" w:type="dxa"/>
          <w:right w:w="0" w:type="dxa"/>
        </w:tblCellMar>
      </w:tblPr>
      <w:tblGrid>
        <w:gridCol w:w="2915"/>
        <w:gridCol w:w="2480"/>
        <w:gridCol w:w="60"/>
        <w:gridCol w:w="172"/>
        <w:gridCol w:w="672"/>
        <w:gridCol w:w="74"/>
        <w:gridCol w:w="74"/>
        <w:gridCol w:w="157"/>
        <w:gridCol w:w="687"/>
        <w:gridCol w:w="80"/>
      </w:tblGrid>
      <w:tr>
        <w:trPr/>
        <w:tc>
          <w:tcPr>
            <w:tcW w:w="291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Net Investment Hedges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third quarter of fiscal 2024 we began hedging foreign currency risk associated with net investment positions in certain of our foreign subsidiaries. To accomplish this, we enter into foreign currency forward contracts that are designated as hedges of our net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losses from net investment hedges recorded in the foreign currency translation component of accumulated AOCL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46" w:type="dxa"/>
        <w:jc w:val="left"/>
        <w:tblInd w:w="0" w:type="dxa"/>
        <w:tblLayout w:type="fixed"/>
        <w:tblCellMar>
          <w:top w:w="0" w:type="dxa"/>
          <w:left w:w="0" w:type="dxa"/>
          <w:bottom w:w="0" w:type="dxa"/>
          <w:right w:w="0" w:type="dxa"/>
        </w:tblCellMar>
      </w:tblPr>
      <w:tblGrid>
        <w:gridCol w:w="2915"/>
        <w:gridCol w:w="2120"/>
        <w:gridCol w:w="60"/>
        <w:gridCol w:w="177"/>
        <w:gridCol w:w="772"/>
        <w:gridCol w:w="113"/>
        <w:gridCol w:w="85"/>
        <w:gridCol w:w="123"/>
        <w:gridCol w:w="721"/>
        <w:gridCol w:w="60"/>
      </w:tblGrid>
      <w:tr>
        <w:trPr/>
        <w:tc>
          <w:tcPr>
            <w:tcW w:w="291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9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6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AOCL</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Gains recognized in foreign transaction loss, in the condensed consolidated statements of operations for the portion of the net investment hedges excluded from the assessment of hedge effectiveness was $0.3 million for the three-month period ended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Cash flows associated with settlements of our non-designated foreign currency forward contracts are reported in net cash used in operating activities and our net investment hedges are included in investing activities in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our foreign currency forward contracts was determined based on current foreign currency exchange rates and forward points. All our foreign currency forward contracts outstanding on March 29, 2025 will mature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provides information about our foreign currency forward contracts outstanding as of March 29,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565"/>
        <w:gridCol w:w="1445"/>
        <w:gridCol w:w="60"/>
        <w:gridCol w:w="94"/>
        <w:gridCol w:w="1335"/>
        <w:gridCol w:w="60"/>
        <w:gridCol w:w="60"/>
        <w:gridCol w:w="248"/>
        <w:gridCol w:w="1181"/>
        <w:gridCol w:w="60"/>
      </w:tblGrid>
      <w:tr>
        <w:trPr/>
        <w:tc>
          <w:tcPr>
            <w:tcW w:w="156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r>
      <w:tr>
        <w:trPr/>
        <w:tc>
          <w:tcPr>
            <w:tcW w:w="15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foreign currency contracts are classified within Level 2 of the fair value hierarchy as they are valued using pricing models that utilize observable market inputs. The fair values of foreign currency contracts outstanding on March 29, 2025 and December 28, 2024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During the three months ended March 29, 2025, we repurchased 432,288 shares of our common stock for $8.6 million to be held as treasury stock. During the three months ended March 30, 2024, we repurchased 333,504 shares of our common stock for $10.7 million to be held as treasury stock. As of March 29,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account for income taxes in accordance with ASC Topic 740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the United States, Germany, the Philippines, Malaysia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judgment that a previously recorded valuation allowance against substantially all net deferred tax assets in the United States is required. If a change in judgment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Segment and 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 ST and IS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CODM assesses performance of the Semiconductor Test &amp; Inspection segment and decides how to allocate resources based on income (loss) before taxes. The table below summarizes selected financial information for our single reportable segment.</w:t>
      </w:r>
    </w:p>
    <w:p>
      <w:pPr>
        <w:pStyle w:val="TextBody"/>
        <w:bidi w:val="0"/>
        <w:spacing w:before="0" w:after="0"/>
        <w:ind w:left="0" w:right="0" w:hanging="0"/>
        <w:jc w:val="left"/>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3575"/>
        <w:gridCol w:w="60"/>
        <w:gridCol w:w="187"/>
        <w:gridCol w:w="972"/>
        <w:gridCol w:w="80"/>
        <w:gridCol w:w="60"/>
        <w:gridCol w:w="176"/>
        <w:gridCol w:w="983"/>
        <w:gridCol w:w="8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80" w:type="dxa"/>
            <w:tcBorders/>
            <w:vAlign w:val="center"/>
          </w:tcPr>
          <w:p>
            <w:pPr>
              <w:pStyle w:val="TableContents"/>
              <w:bidi w:val="0"/>
              <w:spacing w:before="0" w:after="283"/>
              <w:ind w:left="0" w:right="0" w:hanging="0"/>
              <w:jc w:val="left"/>
              <w:rPr/>
            </w:pPr>
            <w:r>
              <w:rPr/>
              <w:t> </w:t>
            </w:r>
          </w:p>
        </w:tc>
      </w:tr>
      <w:tr>
        <w:trPr/>
        <w:tc>
          <w:tcPr>
            <w:tcW w:w="3575"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107,614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58,138</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21,502</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14,475</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&amp; administrative</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17,040</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110" w:type="dxa"/>
        <w:jc w:val="left"/>
        <w:tblInd w:w="0" w:type="dxa"/>
        <w:tblLayout w:type="fixed"/>
        <w:tblCellMar>
          <w:top w:w="0" w:type="dxa"/>
          <w:left w:w="0" w:type="dxa"/>
          <w:bottom w:w="0" w:type="dxa"/>
          <w:right w:w="0" w:type="dxa"/>
        </w:tblCellMar>
      </w:tblPr>
      <w:tblGrid>
        <w:gridCol w:w="60"/>
        <w:gridCol w:w="245"/>
        <w:gridCol w:w="78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restructuring charges as well as miscellaneous non-operating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revenues by geography and information on customer concentration, see Note 1,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12.  </w:t>
      </w:r>
      <w:r>
        <w:rPr>
          <w:rFonts w:ascii="Times New Roman" w:hAnsi="Times New Roman"/>
          <w:caps w:val="false"/>
          <w:smallCaps w:val="false"/>
          <w:sz w:val="20"/>
        </w:rPr>
        <w:t>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leases have remaining lease terms of 1 year to 33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560" w:right="0" w:hanging="0"/>
        <w:jc w:val="left"/>
        <w:rPr>
          <w:caps w:val="false"/>
          <w:smallCaps w:val="false"/>
        </w:rPr>
      </w:pPr>
      <w:r>
        <w:rPr>
          <w:caps w:val="false"/>
          <w:smallCaps w:val="false"/>
        </w:rPr>
        <w:t> </w:t>
      </w:r>
    </w:p>
    <w:tbl>
      <w:tblPr>
        <w:tblW w:w="8278" w:type="dxa"/>
        <w:jc w:val="left"/>
        <w:tblInd w:w="0" w:type="dxa"/>
        <w:tblLayout w:type="fixed"/>
        <w:tblCellMar>
          <w:top w:w="0" w:type="dxa"/>
          <w:left w:w="0" w:type="dxa"/>
          <w:bottom w:w="28" w:type="dxa"/>
          <w:right w:w="0" w:type="dxa"/>
        </w:tblCellMar>
      </w:tblPr>
      <w:tblGrid>
        <w:gridCol w:w="1790"/>
        <w:gridCol w:w="3095"/>
        <w:gridCol w:w="60"/>
        <w:gridCol w:w="229"/>
        <w:gridCol w:w="1080"/>
        <w:gridCol w:w="185"/>
        <w:gridCol w:w="60"/>
        <w:gridCol w:w="278"/>
        <w:gridCol w:w="1316"/>
        <w:gridCol w:w="185"/>
      </w:tblGrid>
      <w:tr>
        <w:trPr/>
        <w:tc>
          <w:tcPr>
            <w:tcW w:w="179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30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185" w:type="dxa"/>
            <w:tcBorders/>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30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12,768</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309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9,676</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885" w:type="dxa"/>
            <w:gridSpan w:val="2"/>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23,584</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pPr>
            <w:r>
              <w:rPr/>
              <w:t> </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79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pPr>
            <w:r>
              <w:rPr/>
              <w:t> </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4885" w:type="dxa"/>
            <w:gridSpan w:val="2"/>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23,607</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85" w:type="dxa"/>
            <w:gridSpan w:val="2"/>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885" w:type="dxa"/>
            <w:gridSpan w:val="2"/>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pPr>
            <w:r>
              <w:rPr/>
              <w:t> </w:t>
            </w:r>
          </w:p>
        </w:tc>
        <w:tc>
          <w:tcPr>
            <w:tcW w:w="10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85" w:type="dxa"/>
            <w:gridSpan w:val="2"/>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pPr>
            <w:r>
              <w:rPr/>
              <w:t> </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jc w:val="left"/>
              <w:rPr/>
            </w:pPr>
            <w:r>
              <w:rPr/>
              <w:t> </w:t>
            </w:r>
          </w:p>
        </w:tc>
        <w:tc>
          <w:tcPr>
            <w:tcW w:w="108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85" w:type="dxa"/>
            <w:gridSpan w:val="2"/>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jc w:val="left"/>
              <w:rPr/>
            </w:pPr>
            <w:r>
              <w:rPr/>
              <w:t> </w:t>
            </w:r>
          </w:p>
        </w:tc>
        <w:tc>
          <w:tcPr>
            <w:tcW w:w="108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885" w:type="dxa"/>
            <w:gridSpan w:val="2"/>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 w:type="dxa"/>
            <w:tcBorders/>
            <w:shd w:fill="CCEEFF" w:val="clear"/>
            <w:tcMar>
              <w:bottom w:w="0" w:type="dxa"/>
            </w:tcMar>
            <w:vAlign w:val="center"/>
          </w:tcPr>
          <w:p>
            <w:pPr>
              <w:pStyle w:val="TableContents"/>
              <w:bidi w:val="0"/>
              <w:spacing w:before="0" w:after="283"/>
              <w:ind w:left="0" w:right="0" w:hanging="0"/>
              <w:jc w:val="left"/>
              <w:rPr/>
            </w:pPr>
            <w:r>
              <w:rPr/>
              <w:t> </w:t>
            </w:r>
          </w:p>
        </w:tc>
        <w:tc>
          <w:tcPr>
            <w:tcW w:w="10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85" w:type="dxa"/>
            <w:gridSpan w:val="2"/>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 w:type="dxa"/>
            <w:tcBorders/>
            <w:shd w:fill="FFFFFF" w:val="clear"/>
            <w:tcMar>
              <w:bottom w:w="0" w:type="dxa"/>
            </w:tcMar>
            <w:vAlign w:val="center"/>
          </w:tcPr>
          <w:p>
            <w:pPr>
              <w:pStyle w:val="TableContents"/>
              <w:bidi w:val="0"/>
              <w:spacing w:before="0" w:after="283"/>
              <w:ind w:left="0" w:right="0" w:hanging="0"/>
              <w:jc w:val="left"/>
              <w:rPr/>
            </w:pPr>
            <w:r>
              <w:rPr/>
              <w:t> </w:t>
            </w:r>
          </w:p>
        </w:tc>
        <w:tc>
          <w:tcPr>
            <w:tcW w:w="10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863"/>
        <w:gridCol w:w="76"/>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86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 are recorded net of accumulated amortization of $0.4 million as of March 29, 2025, and December 28, 2024. During the first quarter of fiscal 2024, we executed an agreement to purchase our leased facility in Malaysia for MYR 41.8 million, with the expectation that the title would transfer during fiscal 2024. We treated this transaction as a lease modification, and changed the classification to a finance lease, reducing our operating lease assets and liabilities by $0.4 million and increasing our finance lease assets and current lease liabilities by $8.8 million and $7.9 million, respectively. Due to a seller-imposed delay during the third quarter of fiscal 2024, the purchase date was delayed until fiscal 2025, triggering a modification of the finance lease resulting in the asset increasing to $9.5 million. At December 28, 2024, the finance lease liability decreased to $8.4 million, as a result of fluctuations in foreign currency exchange rates. On December 30, 2024, we completed the purchase of our leased facility in Melaka, Malaysia.</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5287" w:type="dxa"/>
        <w:jc w:val="left"/>
        <w:tblInd w:w="0" w:type="dxa"/>
        <w:tblLayout w:type="fixed"/>
        <w:tblCellMar>
          <w:top w:w="0" w:type="dxa"/>
          <w:left w:w="0" w:type="dxa"/>
          <w:bottom w:w="0" w:type="dxa"/>
          <w:right w:w="0" w:type="dxa"/>
        </w:tblCellMar>
      </w:tblPr>
      <w:tblGrid>
        <w:gridCol w:w="2375"/>
        <w:gridCol w:w="60"/>
        <w:gridCol w:w="267"/>
        <w:gridCol w:w="1042"/>
        <w:gridCol w:w="77"/>
        <w:gridCol w:w="77"/>
        <w:gridCol w:w="267"/>
        <w:gridCol w:w="1042"/>
        <w:gridCol w:w="8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 2024</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on March 29, 2025, are as follows:</w:t>
      </w:r>
    </w:p>
    <w:p>
      <w:pPr>
        <w:pStyle w:val="TextBody"/>
        <w:bidi w:val="0"/>
        <w:spacing w:before="0" w:after="0"/>
        <w:ind w:left="0" w:right="0" w:hanging="0"/>
        <w:jc w:val="left"/>
        <w:rPr>
          <w:caps w:val="false"/>
          <w:smallCaps w:val="false"/>
        </w:rPr>
      </w:pPr>
      <w:r>
        <w:rPr>
          <w:caps w:val="false"/>
          <w:smallCaps w:val="false"/>
        </w:rPr>
        <w:t> </w:t>
      </w:r>
    </w:p>
    <w:tbl>
      <w:tblPr>
        <w:tblW w:w="5195" w:type="dxa"/>
        <w:jc w:val="left"/>
        <w:tblInd w:w="0" w:type="dxa"/>
        <w:tblLayout w:type="fixed"/>
        <w:tblCellMar>
          <w:top w:w="0" w:type="dxa"/>
          <w:left w:w="0" w:type="dxa"/>
          <w:bottom w:w="0" w:type="dxa"/>
          <w:right w:w="0" w:type="dxa"/>
        </w:tblCellMar>
      </w:tblPr>
      <w:tblGrid>
        <w:gridCol w:w="2585"/>
        <w:gridCol w:w="60"/>
        <w:gridCol w:w="145"/>
        <w:gridCol w:w="685"/>
        <w:gridCol w:w="80"/>
        <w:gridCol w:w="60"/>
        <w:gridCol w:w="234"/>
        <w:gridCol w:w="431"/>
        <w:gridCol w:w="60"/>
        <w:gridCol w:w="60"/>
        <w:gridCol w:w="125"/>
        <w:gridCol w:w="59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9930"/>
        <w:gridCol w:w="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During the first quarter of 2025, we executed an agreement to lease facilities in San Diego, California. This location will become our new headquarters after our Poway office lease terminates at the end of 2025. The San Diego lease is expected to commence on January 1, 2026, upon when we will add the lease asset and liability to our balance sheet. The minimum lease payments for this lease are $2.5 million, $3.0 million, $2.6 million, $ 3.0 million and $23.8 million for 2026, 2027, 2028, 2029 and thereafter, respectively.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657" w:type="dxa"/>
        <w:jc w:val="left"/>
        <w:tblInd w:w="0" w:type="dxa"/>
        <w:tblLayout w:type="fixed"/>
        <w:tblCellMar>
          <w:top w:w="0" w:type="dxa"/>
          <w:left w:w="0" w:type="dxa"/>
          <w:bottom w:w="0" w:type="dxa"/>
          <w:right w:w="0" w:type="dxa"/>
        </w:tblCellMar>
      </w:tblPr>
      <w:tblGrid>
        <w:gridCol w:w="5765"/>
        <w:gridCol w:w="60"/>
        <w:gridCol w:w="267"/>
        <w:gridCol w:w="1042"/>
        <w:gridCol w:w="77"/>
        <w:gridCol w:w="77"/>
        <w:gridCol w:w="267"/>
        <w:gridCol w:w="1042"/>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5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 2025</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 2024</w:t>
            </w:r>
          </w:p>
        </w:tc>
        <w:tc>
          <w:tcPr>
            <w:tcW w:w="6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60" w:right="0" w:hanging="56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60" w:right="0" w:hanging="56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 xml:space="preserve">Guarantees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accrued warranty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531" w:type="dxa"/>
        <w:jc w:val="left"/>
        <w:tblInd w:w="0" w:type="dxa"/>
        <w:tblLayout w:type="fixed"/>
        <w:tblCellMar>
          <w:top w:w="0" w:type="dxa"/>
          <w:left w:w="0" w:type="dxa"/>
          <w:bottom w:w="0" w:type="dxa"/>
          <w:right w:w="0" w:type="dxa"/>
        </w:tblCellMar>
      </w:tblPr>
      <w:tblGrid>
        <w:gridCol w:w="2540"/>
        <w:gridCol w:w="60"/>
        <w:gridCol w:w="157"/>
        <w:gridCol w:w="687"/>
        <w:gridCol w:w="93"/>
        <w:gridCol w:w="70"/>
        <w:gridCol w:w="157"/>
        <w:gridCol w:w="687"/>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expense accruals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warranty amounts expected to be incurred after one year are included in noncurrent other accrued liabilities in the condensed consolidated balance sheet. These amounts totaled $0.1 million at both March 29, 2025, and December 28, 2024.</w:t>
      </w:r>
    </w:p>
    <w:p>
      <w:pPr>
        <w:pStyle w:val="TextBody"/>
        <w:bidi w:val="0"/>
        <w:spacing w:before="0" w:after="283"/>
        <w:jc w:val="left"/>
        <w:rPr/>
      </w:pPr>
      <w:r>
        <w:rPr/>
        <w:t> </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Management’s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29,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item_2"/>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hAnsi="Times New Roman"/>
          <w:caps w:val="false"/>
          <w:smallCaps w:val="false"/>
          <w:sz w:val="20"/>
        </w:rPr>
        <w:t>’</w:t>
      </w:r>
      <w:r>
        <w:rPr>
          <w:rFonts w:ascii="Times New Roman" w:hAnsi="Times New Roman"/>
          <w:i/>
          <w:caps w:val="false"/>
          <w:smallCaps w:val="false"/>
          <w:sz w:val="20"/>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hAnsi="Times New Roman"/>
          <w:caps w:val="false"/>
          <w:smallCaps w:val="false"/>
          <w:sz w:val="20"/>
        </w:rPr>
        <w:t>’</w:t>
      </w:r>
      <w:r>
        <w:rPr>
          <w:rFonts w:ascii="Times New Roman" w:hAnsi="Times New Roman"/>
          <w:i/>
          <w:caps w:val="false"/>
          <w:smallCaps w:val="false"/>
          <w:sz w:val="20"/>
        </w:rPr>
        <w:t xml:space="preserve">s current expectations. Such risks and uncertainties include those set forth in this Quarterly Report on Form 10-Q and our 2024 Annual Report on Form 10-K under the heading </w:t>
      </w:r>
      <w:r>
        <w:rPr>
          <w:rFonts w:ascii="Times New Roman" w:hAnsi="Times New Roman"/>
          <w:caps w:val="false"/>
          <w:smallCaps w:val="false"/>
          <w:sz w:val="20"/>
        </w:rPr>
        <w:t>“</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1A. Risk Factors</w:t>
      </w:r>
      <w:r>
        <w:rPr>
          <w:rFonts w:ascii="Times New Roman" w:hAnsi="Times New Roman"/>
          <w:caps w:val="false"/>
          <w:smallCaps w:val="false"/>
          <w:sz w:val="20"/>
        </w:rPr>
        <w:t>”</w:t>
      </w:r>
      <w:r>
        <w:rPr>
          <w:rFonts w:ascii="Times New Roman" w:hAnsi="Times New Roman"/>
          <w:i/>
          <w:caps w:val="false"/>
          <w:smallCaps w:val="false"/>
          <w:sz w:val="20"/>
        </w:rPr>
        <w:t>. The forward-looking statements in this report speak only as of the time they are made, and do not necessarily reflect management</w:t>
      </w:r>
      <w:r>
        <w:rPr>
          <w:rFonts w:ascii="Times New Roman" w:hAnsi="Times New Roman"/>
          <w:caps w:val="false"/>
          <w:smallCaps w:val="false"/>
          <w:sz w:val="20"/>
        </w:rPr>
        <w:t>’</w:t>
      </w:r>
      <w:r>
        <w:rPr>
          <w:rFonts w:ascii="Times New Roman" w:hAnsi="Times New Roman"/>
          <w:i/>
          <w:caps w:val="false"/>
          <w:smallCaps w:val="false"/>
          <w:sz w:val="20"/>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a leading supplier of test and inspection metrology automation systems, MEMS test modules, test contactors, thermal subsystems, data analytics software to optimize manufacturing yield and productivity, and automated test equipment (ATE) used by global semiconductor manufacturers and test subcontractors.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fiscal 2023 and 2024, global macroeconomic and geopolitical factors impacted the semiconductor industry. In response to the higher cost of capital, slowing customer demand, and inventory levels higher than target, many chip companies have been cutting costs, reducing employee headcount, and pushing out capital expenditures for additional capacity. For the three-month period ending March 29, 2025, our net sales decreased 10.1%, on a year-over-year basis, to $96.8 million due to lower demand in automotive, industrial, and mobile applications, driven by these global economic conditions. In response, we initiated a global restructuring program designed to improve profitability without negatively impacting product development activities. Once fully implemented in 2025, quarterly cost savings are expected to total $2 million including $1 million from manufacturing overhead and $1 million from operating expenses. Despite weakness in the semiconductor industry based on our ongoing assessment of business conditions and the results from our operations, we repurchased 432,288 shares of our common stock for approximately $8.6 million during the three-month period ending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focus on building a well-balanced and resilient business model, executing on customer design-wins and in developing innovative products.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new opportunities and remain optimistic about the long-term prospects for our business due to the increasing ubiquity of semiconductors, increasing semiconductor complexity, increasing quality demands from semiconductor customers, increasing test intensity, increasing focus on automation and Industry 4.0 initiatives, and continued proliferation of electronics in a variety of products across the automotive, mobile, industrial, computing, and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critical accounting estimates that we believe are the most important to investors’ understanding of our financial results and condition and require complex management judgment include: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recognition, including the deferral of revenue on sales to customers, which impacts our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estimation of valuation allowances and accrued liabilities, specifically inventory reserves, which impact gross margin or operating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assessment of recoverability of goodwill, which primarily impacts gross margin or operating expenses if we are required to record impairments of assets or accelerate their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March 29, 2025, we had $5.5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estimated credit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are required to be capitalized under IRC Section 174, net of related amortization, reserves and accruals that are not yet deductible for tax, and tax credit and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 ST and IS operating segments qualify for aggregation under ASC 280 due to similarities in their customers, their economic characteristics, and the nature of products and services provided. As a result, we report in one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Intangible Assets and Other Long-lived Assets: </w:t>
      </w:r>
      <w:r>
        <w:rPr>
          <w:rFonts w:ascii="Times New Roman" w:hAnsi="Times New Roman"/>
          <w:caps w:val="false"/>
          <w:smallCaps w:val="false"/>
          <w:sz w:val="20"/>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each year and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current financial market volatility caused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March 29, 2025,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three months of fiscal 2025,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Warranty: </w:t>
      </w:r>
      <w:r>
        <w:rPr>
          <w:rFonts w:ascii="Times New Roman" w:hAnsi="Times New Roman"/>
          <w:caps w:val="false"/>
          <w:smallCaps w:val="false"/>
          <w:sz w:val="20"/>
        </w:rPr>
        <w:t>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Share-based compensation expense related to restricted stock unit awards is calculated based on the market price of our common stock on the grant date, reduced by the present value of dividends expected to be paid on our common stock prior to vesting of the restricted stock unit. When granted,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 Transactions Impacting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Tignis has been included in our condensed consolidated results of operations as of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3575"/>
        <w:gridCol w:w="60"/>
        <w:gridCol w:w="92"/>
        <w:gridCol w:w="752"/>
        <w:gridCol w:w="303"/>
        <w:gridCol w:w="74"/>
        <w:gridCol w:w="92"/>
        <w:gridCol w:w="752"/>
        <w:gridCol w:w="24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30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30,</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303"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4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First Quarter of Fiscal 2025 Compared to First Quarter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decreased 10.1% to $96.8 million in 2025, compared to $107.6 million in 2024. The decrease in the first quarter of fiscal 2025 resulted from the current global macroeconomic environment which continues to show lower demand for automotive, industrial, and mobile applications partly offset by increased demand for AI-based computing applications. Cohu acquired Tignis on January 7, 2025, and the results of its operations are in included since that date. In the first quarter of fiscal 2025, Tignis’ net sales were not material to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and business volume which impacts the utilization of our manufacturing capacity. Our gross margin, as a percentage of net sales for the first fiscal quarter, was 43.7% in 2025 and 45.8% in 2024. During the first quarter of fiscal 2025, our gross margin declined slightly due to lower business volume impacting our ability to leverage fixed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the first quarter of fiscal 2025 and 2024, we recorded charges to cost of sales of $1.6 million and $1.7 million for excess and obsolete inventory, respectively. We believe our reserves for excess and obsolete inventory and lower of cost or net realizable value are adequate to cover known exposures as of March 29, 2025. Further reductions in customer forecasts, continued modifications to products, or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R&amp;D expense was $23.2 million in fiscal 2025 and $22.3 million in fiscal 2024 representing 23.9% and 20.8% of net sales, respectively. During the first fiscal quarter of 2025 R&amp;D expenses increased due to $1.0 million of incremental costs from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was $30.0 million or 31.0% of net sales in fiscal 2025, compared to $35.1 million or 32.6% in fiscal 2024. SG&amp;A expense during the first fiscal quarter of 2025 was down on a year-over-year basis due to lower incentive compensation due to current business conditions, cost controls, and a $1.7 million benefit from a fair market value adjustment to the contingent consideration liability recorded in connection with our acquisition of Tignis. SG&amp;A expense in the first quarter of fiscal 2025 also includes $0.1 million of one-time severance and other costs resulting from transitioning our manufacturing activities from the U.S. and Europe to our factories in the Philippines and Malaysia and $0.6 million of incremental SG&amp;A costs from the operations of Tignis. The first quarter of fiscal 2024 included $0.2 million of transaction related costs incurred related to the acquisition of EQT. The first quarter of fiscal 2025 included $0.3 million of transaction related costs incurred related to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$9.9 million and $9.8 million in the first fiscal quarter of 2025 and 2024, respectively. The increase in expense recorded during the first quarter of fiscal 2025 resulted from the amortization of acquired intangible assets from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quarter of fiscal 2025, we began executing a strategic restructuring program designed to reposition our global organization and improve our cost structure. Restructuring costs incurred in the first quarter of fiscal 2025 related to the 2025 Restructuring Program totaled $6.6 million. Amounts for restructuring recorded in the first quarter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$0.2 million and $0.3 million in the first fiscal quarter of 2025 and 2024, respectively. On February 9, 2024, we repaid the remaining outstanding amounts owed under our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$1.6 million and $2.7 million in the first quarter of fiscal 2025 and 2024, respectively. The decrease in interest income year-over-year is a result of lower investment balances in the first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first quarter 2025 ETR reflects the impact of certain foreign earnings taxed at rates higher than the U.S. statutory rate and an increase in the U.S. valuation allowance, primarily attributable to capitalized research and development costs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$30.8 million for the three months ended March 29, 2025 and $14.6 million for the three months ended March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generally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March 29, 2025, $112.6 million or 74.1%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29, 2025, our total indebtedness included $1.7 million outstanding under Kita’s term loans, $6.5 million outstanding under Cohu GmbH’s construction loan, $8.5 million outstanding under Cohu Malaysia’s revolving credit facility and $1.0 million outstanding under Kita’s lines of credit. We repurchased 432,288 shares of our outstanding common stock, to be held as treasury stock, for $8.6 million, during the first three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w:t>
      </w:r>
    </w:p>
    <w:p>
      <w:pPr>
        <w:pStyle w:val="TextBody"/>
        <w:bidi w:val="0"/>
        <w:spacing w:before="0" w:after="0"/>
        <w:ind w:left="0" w:right="0" w:hanging="0"/>
        <w:jc w:val="left"/>
        <w:rPr>
          <w:caps w:val="false"/>
          <w:smallCaps w:val="false"/>
        </w:rPr>
      </w:pPr>
      <w:r>
        <w:rPr>
          <w:caps w:val="false"/>
          <w:smallCaps w:val="false"/>
        </w:rPr>
        <w:t> </w:t>
      </w:r>
    </w:p>
    <w:tbl>
      <w:tblPr>
        <w:tblW w:w="8438" w:type="dxa"/>
        <w:jc w:val="left"/>
        <w:tblInd w:w="0" w:type="dxa"/>
        <w:tblLayout w:type="fixed"/>
        <w:tblCellMar>
          <w:top w:w="0" w:type="dxa"/>
          <w:left w:w="0" w:type="dxa"/>
          <w:bottom w:w="0" w:type="dxa"/>
          <w:right w:w="0" w:type="dxa"/>
        </w:tblCellMar>
      </w:tblPr>
      <w:tblGrid>
        <w:gridCol w:w="4100"/>
        <w:gridCol w:w="60"/>
        <w:gridCol w:w="128"/>
        <w:gridCol w:w="716"/>
        <w:gridCol w:w="60"/>
        <w:gridCol w:w="60"/>
        <w:gridCol w:w="171"/>
        <w:gridCol w:w="958"/>
        <w:gridCol w:w="60"/>
        <w:gridCol w:w="60"/>
        <w:gridCol w:w="125"/>
        <w:gridCol w:w="650"/>
        <w:gridCol w:w="80"/>
        <w:gridCol w:w="60"/>
        <w:gridCol w:w="108"/>
        <w:gridCol w:w="797"/>
        <w:gridCol w:w="24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245" w:type="dxa"/>
            <w:tcBorders/>
            <w:vAlign w:val="center"/>
          </w:tcPr>
          <w:p>
            <w:pPr>
              <w:pStyle w:val="TableContents"/>
              <w:bidi w:val="0"/>
              <w:spacing w:before="0" w:after="283"/>
              <w:jc w:val="left"/>
              <w:rPr/>
            </w:pPr>
            <w:r>
              <w:rPr/>
              <w:t> </w:t>
            </w:r>
          </w:p>
        </w:tc>
      </w:tr>
      <w:tr>
        <w:trPr/>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Operating cash flows for the first three months of fiscal 2025 consisted of our net loss, adjusted for non-cash expenses and changes in operating assets and liabilities. These adjustments include depreciation expense on property, plant and equipment, share-based compensation expense, amortization of intangible assets, deferred income taxes, amortization of cloud-based software implementation costs, adjustments to contingent consideration, amortization of debt discounts and issuance costs and gains on sales of property, plant and equipment. Our net cash used in operating activities in the first three months of fiscal 2025 totaled $10.2 million. Net cash used in operating activities was impacted by changes in current assets and liabilities and included increases in other current assets of $4.6 million, deferred profit of $1.9 million, accounts payable of $1.7 million, income taxes payable of $1.1 million and accrued compensation, warranty and other liabilities of $2.6 million. Other current assets, which includes prepaids and income taxes receivable, increased from prepayments of certain expenses that will be utilized throughout fiscal 2025 and the timing difference of accrual and receipt of income taxes. The increase in deferred profit is due to deferrals of revenue made in accordance with our revenue recognition policy. The increase in accounts payable is a result of the timing of payments to suppliers and changes in income taxes payable are a result of the estimation and timing of income taxes in certain jurisdictions in which we operate. Accrued compensation, warranty and other liabilities increased due to accruals for restructuring severance, offset by payments of incentive compensation related to the prior year that were paid in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business acquisitions and proceeds from investment maturities, and asset disposals. Our net cash used in investing activities in the first three months of fiscal 2025 totaled $34.0 million. We generated $23.9 million from sales and maturities and used $16.9 million of cash for purchases of short-term investments in the first three months of fiscal 2025. We invest our excess cash, in an attempt to seek the highest available return while preserving capital, in short-term investments since excess cash may be required for a business-related purpose. Additions to property, plant and equipment in the first three months of fiscal 2025 were $11.0 million, and were made to support our operating and development activities. Cash received for the settlement of net investment hedges totaled $4.9 million in first three months of fiscal 2025. In the first three months of fiscal 2025, we also used $34.9 million of cash, net of cash received, for the acquisition of Tignis, which was a strategic transaction for our interface solutions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net proceeds from the issuance of common stock under our stock option and employee stock purchase plans and repayments of debt. We issue restricted stock units, including performance stock units, and maintain an employee stock purchase plan as components of our overall employee compensation. In the first three months of fiscal 2025, cash used to settle the minimum statutory tax withholding requirements on behalf of our employees upon vesting of restricted and performance stock awards, net of proceeds from shares issued under our employee stock purchase plan, was $2.2 million. We made payments totaling $8.4 million in the first three months of fiscal 2025 for shares of our common stock repurchased under our share repurchase program to be held as treasury stock. Proceeds from borrowings on a revolving line of credit used to finance the purchase of our factory in Malaysia were $8.7 million during the first three months of fiscal 2025. Repayments of debt during the first three months of fiscal 2025 totaled $0.3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three months ended March 29, 2025, we repurchased 432,288 shares of our common stock for $8.6 million to be held as treasury stock. As of March 29,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facilities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On February 9, 2024, we made a cash payment of $29.3 million to repay the remaining outstanding amounts owed under our Term Loan Credit Facility. We accounted for the transaction as a debt extinguishment, and in the first quarter of fiscal 2024 we recognized a loss of $0.2 million in our condensed consolidated statement of operations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0.95%, and expire at various dates through 2034. At both March 29, 2025 and December 28, 2024, the outstanding loan balance was $1.7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29, 2025, total outstanding borrowings under the Loan Facilities was $6.5 million with $1.0 million of the total outstanding balance being presented as current installments of long-term debt in our condensed consolidated balance sheets. At December 28, 2024, total outstanding borrowings under the Loan Facilities was $6.5 million with $0.9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March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37.6 million was subsequently withdrawn. The revolving credit facility was utilized to finance the purchase of our leased facility in Melaka, Malaysia. Interest is due monthly and is calculated based on the lender’s Effective Cost of Funds (“ECOF”) plus a spread of 0.5%. The revolving credit facility is secured by the land and building. At March 29, 2025, $8.5 million was outstanding under the revolving credit facility and the rate of interest was 4.25%.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150 million Japanese Yen is drawn. At March 29, 2025, total borrowings outstanding under the revolving lines of credit were $1.0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At March 29, 2025, and December 28, 2024,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March 29, 2025, $0.4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Contractual Obligations:</w:t>
      </w:r>
      <w:r>
        <w:rPr>
          <w:rFonts w:ascii="Times New Roman" w:hAnsi="Times New Roman"/>
          <w:caps w:val="false"/>
          <w:smallCaps w:val="false"/>
          <w:sz w:val="20"/>
        </w:rPr>
        <w:t xml:space="preserve"> Our significant contractual obligations consist of liabilities for debt, operating leases, unrecognized tax benefits, pensions, post-retirement benefits and warranties. On December 30, 2024, we purchased our leased facility in Malaysia, decreasing our financing lease liability by $8.4 million. The transaction was financed with proceeds from a revolving credit facility that our Malaysian subsidiary entered into. Aside from the purchase of our leased facility in Malaysia, there were no material changes to these obligations outside the ordinary course of business from those disclosed in our Annual Report on Form 10-K for the year ended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 to 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March 29,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instruments to certain parties as required. As of March 29, 2025, $0.4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1" w:name="item_3"/>
      <w:bookmarkEnd w:id="11"/>
      <w:r>
        <w:rPr>
          <w:rFonts w:ascii="Times New Roman" w:hAnsi="Times New Roman"/>
          <w:b/>
          <w:caps w:val="false"/>
          <w:smallCaps w:val="false"/>
          <w:sz w:val="20"/>
        </w:rPr>
        <w:t xml:space="preserve">Item 3.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29, 2025, our investment portfolio included short-term fixed-income investment securities with a fair value of approximately $48.9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March 29, 2025, the cost and fair value of investments we held with loss positions were approximately $22.4 million and $22.3 million, respectively. We evaluated the nature of these investments, credit worthiness of the issuer and the duration of these impairments to determine if a credit loss exists.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March 29, 2025, compared to December 28, 2024, our stockholders’ equity decreased by $6.4 million as a result of the foreign currency translation.</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March 29, 2025 would result in an approximate $29.2 million positive translation adjustment recorded in other comprehensive loss within stockholders’ equity. Conversely, a hypothetical 10% appreciation of the U.S. Dollar as compared to these currencies as of March 29, 2025 would result in an approximate $29.2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item_4"/>
      <w:bookmarkEnd w:id="12"/>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Evaluation of Disclosure Controls and Procedures. </w:t>
      </w:r>
      <w:r>
        <w:rPr>
          <w:rFonts w:ascii="Times New Roman" w:hAnsi="Times New Roman"/>
          <w:caps w:val="false"/>
          <w:smallCaps w:val="false"/>
          <w:sz w:val="20"/>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During the three months ended March 29, 2025, we did not make any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590"/>
        <w:gridCol w:w="2195"/>
      </w:tblGrid>
      <w:tr>
        <w:trPr/>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II</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50"/>
        <w:gridCol w:w="168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1. </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Legal Proceedings. </w:t>
            </w:r>
          </w:p>
        </w:tc>
      </w:tr>
    </w:tbl>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br/>
        <w:t>The information set forth above under Note 13 contained in the “Notes to Unaudited Condensed Consolidated Financial Statements” of this Form 10-Q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85"/>
        <w:gridCol w:w="117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1A. </w:t>
            </w:r>
          </w:p>
        </w:tc>
        <w:tc>
          <w:tcPr>
            <w:tcW w:w="11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Our business, financial condition and results of operations are affected by a number of factors, whether currently known or unknown, including risks specific to us or our industry, as well as risks that affect businesses in general. In addition to the risk factors set forth in this Quarterly Report on Form 10-Q, you should carefully consider the risk factors described in Part I, Item 1A of our Annual Report on Form 10-K for the fiscal year ended December 28, 2024 (the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The risk factor set forth below updates, and should be read in conjunction with, the risk factors disclosed in such Annual Report. Other than the risk factor set forth below, we believe there have been no material changes from the risk factors disclosed in the Annual Report. However, additional risks and uncertainties not currently known or which we currently deem to be immaterial may also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Our Business Operations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United States trade policies, including the imposition of tariffs and retaliatory tariffs, may adversely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Trump Administration from 2017 to 2021, certain tariffs and retaliatory tariffs, as well as other trade restrictions, were imposed on various products and materials. President Trump again has signaled that his new Administration will impose tariffs and retaliatory tariffs against U.S. trading partners. On February 1, 2025, President Trump issued an Executive Order imposing tariffs at various levels on imports from Canada, Mexico, and China. The newly imposed tariffs have resulted in immediate threats of retaliatory tariffs against U.S. goods and resulted in discussions with the countries which have delayed many of the U.S. imposed tariffs while discussion with each trading partner continue. In March and April 2025, the Trump Administration announced a series of additional special tariffs, some of which have been temporarily paused. The additional special tariffs already in effect as of the date of this periodic report on Form 10-Q include tariffs on certain aluminum and steel products and certain derivatives as well as tariffs of 10% on most products (including all or substantially all products imported into the US by the Company) from all countries worldwide, and a 145% tariff on substantially all products of Chinese origin.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above and other potential tariffs and trade restrictions may, among other things, cause the prices of our product upon import into the US to increase, which could reduce demand for such products given the increased cost, and adversely impact their revenues, financial results, and ability to service debt. These dynamic conditions are also causing some reservations from consumers and business alike, which may impact buying decisions which are or mimic recessionary conditions. This in turn could adversely affect our financial condition and results of operations. In addition, to the extent changes in the political environment have a negative impact on us or on the markets in which we operate our business, our results of operations and financial condition could be materially and adversely impacted in the future. At this time, it remains unclear what the U.S. government or foreign governments will or will not do with respect to additional tariffs that may be imposed or international trade agreements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pt2_i2"/>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 xml:space="preserve">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During the three months ended March 29, 2025, we repurchased 432,288 shares of our common stock for $8.6 million to be held as treasury stock. During the three months ended March 30, 2024, we repurchased 333,504 shares of our common stock for $10.7 million to be held as treasury stock. As of March 29,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 repurchase activity during the first quarter of fiscal 2025 was as follows:</w:t>
      </w:r>
    </w:p>
    <w:p>
      <w:pPr>
        <w:pStyle w:val="TextBody"/>
        <w:bidi w:val="0"/>
        <w:spacing w:before="0" w:after="0"/>
        <w:ind w:left="0" w:right="0" w:hanging="0"/>
        <w:jc w:val="left"/>
        <w:rPr>
          <w:caps w:val="false"/>
          <w:smallCaps w:val="false"/>
        </w:rPr>
      </w:pPr>
      <w:r>
        <w:rPr>
          <w:caps w:val="false"/>
          <w:smallCaps w:val="false"/>
        </w:rPr>
        <w:t> </w:t>
      </w:r>
    </w:p>
    <w:tbl>
      <w:tblPr>
        <w:tblW w:w="7931" w:type="dxa"/>
        <w:jc w:val="left"/>
        <w:tblInd w:w="0" w:type="dxa"/>
        <w:tblLayout w:type="fixed"/>
        <w:tblCellMar>
          <w:top w:w="0" w:type="dxa"/>
          <w:left w:w="0" w:type="dxa"/>
          <w:bottom w:w="0" w:type="dxa"/>
          <w:right w:w="0" w:type="dxa"/>
        </w:tblCellMar>
      </w:tblPr>
      <w:tblGrid>
        <w:gridCol w:w="1820"/>
        <w:gridCol w:w="60"/>
        <w:gridCol w:w="131"/>
        <w:gridCol w:w="743"/>
        <w:gridCol w:w="60"/>
        <w:gridCol w:w="60"/>
        <w:gridCol w:w="204"/>
        <w:gridCol w:w="790"/>
        <w:gridCol w:w="60"/>
        <w:gridCol w:w="60"/>
        <w:gridCol w:w="151"/>
        <w:gridCol w:w="589"/>
        <w:gridCol w:w="60"/>
        <w:gridCol w:w="60"/>
        <w:gridCol w:w="225"/>
        <w:gridCol w:w="1264"/>
        <w:gridCol w:w="60"/>
        <w:gridCol w:w="60"/>
        <w:gridCol w:w="246"/>
        <w:gridCol w:w="1168"/>
        <w:gridCol w:w="60"/>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Maximum $</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Shares</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Publicly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That May Yet Be</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Under</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Programs(3)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Programs(3)</w:t>
            </w:r>
          </w:p>
        </w:tc>
        <w:tc>
          <w:tcPr>
            <w:tcW w:w="60" w:type="dxa"/>
            <w:tcBorders/>
            <w:vAlign w:val="center"/>
          </w:tcPr>
          <w:p>
            <w:pPr>
              <w:pStyle w:val="TableContents"/>
              <w:bidi w:val="0"/>
              <w:spacing w:before="0" w:after="283"/>
              <w:jc w:val="left"/>
              <w:rPr/>
            </w:pPr>
            <w:r>
              <w:rPr/>
              <w:t> </w:t>
            </w:r>
          </w:p>
        </w:tc>
      </w:tr>
      <w:tr>
        <w:trPr/>
        <w:tc>
          <w:tcPr>
            <w:tcW w:w="3868" w:type="dxa"/>
            <w:gridSpan w:val="8"/>
            <w:tcBorders/>
            <w:vAlign w:val="center"/>
          </w:tcPr>
          <w:p>
            <w:pPr>
              <w:pStyle w:val="TableContents"/>
              <w:bidi w:val="0"/>
              <w:spacing w:before="0" w:after="0"/>
              <w:ind w:left="54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price per share 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 29 - Jan 25, 2025</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2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22,777</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 26 - Feb 22, 2025</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22,777</w:t>
            </w:r>
          </w:p>
        </w:tc>
        <w:tc>
          <w:tcPr>
            <w:tcW w:w="60"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 23 - Mar 29, 2025</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22,777</w:t>
            </w:r>
          </w:p>
        </w:tc>
        <w:tc>
          <w:tcPr>
            <w:tcW w:w="60"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weighted average price paid per share of common stock does not include the cost of commissions.</w:t>
            </w:r>
          </w:p>
        </w:tc>
      </w:tr>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purchase cost includes the cost of commissions.</w:t>
            </w:r>
          </w:p>
        </w:tc>
      </w:tr>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October 28, 2021, we announced that our Board of Directors authorized a $70 million share repurchase program. This share repurchase program is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pt2_i3"/>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 xml:space="preserve">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xml:space="preserve">  </w:t>
      </w: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pt2_i4"/>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xml:space="preserve">  </w:t>
      </w: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6" w:name="pt2_i5"/>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5. </w:t>
      </w:r>
      <w:r>
        <w:rPr>
          <w:rFonts w:ascii="Times New Roman" w:hAnsi="Times New Roman"/>
          <w:caps w:val="false"/>
          <w:smallCaps w:val="false"/>
          <w:sz w:val="20"/>
        </w:rPr>
        <w:t>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three months ended March 29, 2025, none of our directors or executive officers adopted, modified or terminated a Rule 10b5-1 trading arrangement or a non-Rule 10b5-1 trading arrangement (each term as defined in Item 408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tbl>
      <w:tblPr>
        <w:tblW w:w="9850" w:type="dxa"/>
        <w:jc w:val="left"/>
        <w:tblInd w:w="0" w:type="dxa"/>
        <w:tblLayout w:type="fixed"/>
        <w:tblCellMar>
          <w:top w:w="0" w:type="dxa"/>
          <w:left w:w="0" w:type="dxa"/>
          <w:bottom w:w="0" w:type="dxa"/>
          <w:right w:w="0" w:type="dxa"/>
        </w:tblCellMar>
      </w:tblPr>
      <w:tblGrid>
        <w:gridCol w:w="785"/>
        <w:gridCol w:w="60"/>
        <w:gridCol w:w="900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17" w:name="pt2_i6"/>
            <w:bookmarkEnd w:id="17"/>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6.</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807614.htm">
              <w:r>
                <w:rPr>
                  <w:rStyle w:val="InternetLink"/>
                  <w:rFonts w:ascii="Times New Roman;Times;serif" w:hAnsi="Times New Roman;Times;serif"/>
                  <w:caps w:val="false"/>
                  <w:smallCaps w:val="false"/>
                  <w:sz w:val="20"/>
                </w:rPr>
                <w:t>Certificate of Correction to Amended Restated Certificate of Incorporation of Cohu, Inc., filed on April 3, 2025</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807632.htm">
              <w:r>
                <w:rPr>
                  <w:rStyle w:val="InternetLink"/>
                  <w:rFonts w:ascii="Times New Roman;Times;serif" w:hAnsi="Times New Roman;Times;serif"/>
                  <w:caps w:val="false"/>
                  <w:smallCaps w:val="false"/>
                  <w:sz w:val="20"/>
                </w:rPr>
                <w:t>Certification pursuant to Section 302(a) of the Sarbanes-Oxley Act of 2002</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807631.htm">
              <w:r>
                <w:rPr>
                  <w:rStyle w:val="InternetLink"/>
                  <w:rFonts w:ascii="Times New Roman;Times;serif" w:hAnsi="Times New Roman;Times;serif"/>
                  <w:caps w:val="false"/>
                  <w:smallCaps w:val="false"/>
                  <w:sz w:val="20"/>
                </w:rPr>
                <w:t>Certification pursuant to Section 302(a) of the Sarbanes-Oxley Act of 2002</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807630.htm">
              <w:r>
                <w:rPr>
                  <w:rStyle w:val="InternetLink"/>
                  <w:rFonts w:ascii="Times New Roman;Times;serif" w:hAnsi="Times New Roman;Times;serif"/>
                  <w:caps w:val="false"/>
                  <w:smallCaps w:val="false"/>
                  <w:sz w:val="20"/>
                </w:rPr>
                <w:t>Certification of Chief Executive Officer pursuant to Section 906 of the Sarbanes-Oxley Act of 2002</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pPr>
            <w:hyperlink w:anchor="ex_807629.htm">
              <w:r>
                <w:rPr>
                  <w:rStyle w:val="InternetLink"/>
                  <w:rFonts w:ascii="Times New Roman;Times;serif" w:hAnsi="Times New Roman;Times;serif"/>
                  <w:caps w:val="false"/>
                  <w:smallCaps w:val="false"/>
                  <w:sz w:val="20"/>
                </w:rPr>
                <w:t>Certification of Chief Financial Officer pursuant to Section 906 of the Sarbanes-Oxley Act of 2002</w:t>
              </w:r>
            </w:hyperlink>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sigs"/>
      <w:bookmarkEnd w:id="18"/>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1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1805"/>
        <w:gridCol w:w="5495"/>
        <w:gridCol w:w="60"/>
      </w:tblGrid>
      <w:tr>
        <w:trPr/>
        <w:tc>
          <w:tcPr>
            <w:tcW w:w="1805" w:type="dxa"/>
            <w:tcBorders/>
          </w:tcPr>
          <w:p>
            <w:pPr>
              <w:pStyle w:val="TableContents"/>
              <w:bidi w:val="0"/>
              <w:spacing w:before="0" w:after="0"/>
              <w:ind w:left="0" w:right="0" w:hanging="0"/>
              <w:jc w:val="left"/>
              <w:rPr/>
            </w:pPr>
            <w:r>
              <w:rPr/>
              <w:t> </w:t>
            </w:r>
          </w:p>
        </w:tc>
        <w:tc>
          <w:tcPr>
            <w:tcW w:w="5495" w:type="dxa"/>
            <w:tcBorders>
              <w:bottom w:val="single" w:sz="2" w:space="0" w:color="000000"/>
            </w:tcBorders>
            <w:tcMar>
              <w:bottom w:w="28" w:type="dxa"/>
            </w:tcMa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COHU, INC.</w:t>
            </w:r>
          </w:p>
        </w:tc>
        <w:tc>
          <w:tcPr>
            <w:tcW w:w="60"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283"/>
              <w:jc w:val="left"/>
              <w:rPr/>
            </w:pPr>
            <w:r>
              <w:rPr/>
              <w:t> </w:t>
            </w:r>
          </w:p>
        </w:tc>
        <w:tc>
          <w:tcPr>
            <w:tcW w:w="5495" w:type="dxa"/>
            <w:tcBorders/>
          </w:tcPr>
          <w:p>
            <w:pPr>
              <w:pStyle w:val="TableContents"/>
              <w:bidi w:val="0"/>
              <w:spacing w:before="0" w:after="283"/>
              <w:jc w:val="center"/>
              <w:rPr/>
            </w:pPr>
            <w:r>
              <w:rPr/>
              <w:t>(Registrant)</w:t>
            </w:r>
          </w:p>
        </w:tc>
        <w:tc>
          <w:tcPr>
            <w:tcW w:w="60" w:type="dxa"/>
            <w:tcBorders/>
          </w:tcPr>
          <w:p>
            <w:pPr>
              <w:pStyle w:val="TableContents"/>
              <w:bidi w:val="0"/>
              <w:spacing w:before="0" w:after="283"/>
              <w:jc w:val="left"/>
              <w:rPr/>
            </w:pPr>
            <w:r>
              <w:rPr/>
              <w:t> </w:t>
            </w:r>
          </w:p>
        </w:tc>
      </w:tr>
      <w:tr>
        <w:trPr/>
        <w:tc>
          <w:tcPr>
            <w:tcW w:w="1805" w:type="dxa"/>
            <w:tcBorders/>
          </w:tcPr>
          <w:p>
            <w:pPr>
              <w:pStyle w:val="TableContents"/>
              <w:bidi w:val="0"/>
              <w:spacing w:before="0" w:after="0"/>
              <w:ind w:left="0" w:right="0" w:hanging="0"/>
              <w:jc w:val="left"/>
              <w:rPr/>
            </w:pPr>
            <w:r>
              <w:rPr/>
              <w:t> </w:t>
            </w:r>
          </w:p>
        </w:tc>
        <w:tc>
          <w:tcPr>
            <w:tcW w:w="549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pPr>
            <w:r>
              <w:rPr/>
              <w:t> </w:t>
            </w:r>
          </w:p>
        </w:tc>
        <w:tc>
          <w:tcPr>
            <w:tcW w:w="5495"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2, 2025</w:t>
            </w:r>
          </w:p>
        </w:tc>
        <w:tc>
          <w:tcPr>
            <w:tcW w:w="549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Luis A. Müller</w:t>
            </w:r>
          </w:p>
        </w:tc>
        <w:tc>
          <w:tcPr>
            <w:tcW w:w="60"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pPr>
            <w:r>
              <w:rPr/>
              <w:t> </w:t>
            </w:r>
          </w:p>
        </w:tc>
        <w:tc>
          <w:tcPr>
            <w:tcW w:w="5495" w:type="dxa"/>
            <w:tcBorders/>
          </w:tcPr>
          <w:p>
            <w:pPr>
              <w:pStyle w:val="TableContents"/>
              <w:bidi w:val="0"/>
              <w:spacing w:before="0" w:after="0"/>
              <w:ind w:left="0" w:right="0" w:hanging="0"/>
              <w:jc w:val="left"/>
              <w:rPr/>
            </w:pPr>
            <w:r>
              <w:rPr/>
              <w:t> </w:t>
            </w:r>
            <w:r>
              <w:rPr>
                <w:rFonts w:ascii="Times New Roman;Times;serif" w:hAnsi="Times New Roman;Times;serif"/>
                <w:sz w:val="20"/>
              </w:rPr>
              <w:t>Luis A. Müller</w:t>
            </w:r>
          </w:p>
        </w:tc>
        <w:tc>
          <w:tcPr>
            <w:tcW w:w="60"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0"/>
              <w:ind w:left="0" w:right="0" w:hanging="0"/>
              <w:jc w:val="left"/>
              <w:rPr/>
            </w:pPr>
            <w:r>
              <w:rPr/>
              <w:t> </w:t>
            </w:r>
          </w:p>
        </w:tc>
        <w:tc>
          <w:tcPr>
            <w:tcW w:w="5495" w:type="dxa"/>
            <w:tcBorders/>
          </w:tcPr>
          <w:p>
            <w:pPr>
              <w:pStyle w:val="TableContents"/>
              <w:bidi w:val="0"/>
              <w:spacing w:before="0" w:after="0"/>
              <w:ind w:left="0" w:right="0" w:hanging="0"/>
              <w:jc w:val="left"/>
              <w:rPr/>
            </w:pPr>
            <w:r>
              <w:rPr/>
              <w:t> </w:t>
            </w:r>
            <w:r>
              <w:rPr>
                <w:rFonts w:ascii="Times New Roman;Times;serif" w:hAnsi="Times New Roman;Times;serif"/>
                <w:sz w:val="20"/>
              </w:rPr>
              <w:t>President &amp; Chief Executive Officer</w:t>
            </w:r>
          </w:p>
        </w:tc>
        <w:tc>
          <w:tcPr>
            <w:tcW w:w="60" w:type="dxa"/>
            <w:tcBorders/>
          </w:tcPr>
          <w:p>
            <w:pPr>
              <w:pStyle w:val="TableContents"/>
              <w:bidi w:val="0"/>
              <w:spacing w:before="0" w:after="0"/>
              <w:ind w:left="0" w:right="0" w:hanging="0"/>
              <w:jc w:val="left"/>
              <w:rPr/>
            </w:pPr>
            <w:r>
              <w:rPr/>
              <w:t> </w:t>
            </w:r>
          </w:p>
        </w:tc>
      </w:tr>
      <w:tr>
        <w:trPr/>
        <w:tc>
          <w:tcPr>
            <w:tcW w:w="180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80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805" w:type="dxa"/>
            <w:tcBorders/>
          </w:tcPr>
          <w:p>
            <w:pPr>
              <w:pStyle w:val="TableContents"/>
              <w:bidi w:val="0"/>
              <w:spacing w:before="0" w:after="283"/>
              <w:jc w:val="left"/>
              <w:rPr/>
            </w:pPr>
            <w:r>
              <w:rPr/>
              <w:t>Date: May 2, 2025</w:t>
            </w:r>
          </w:p>
        </w:tc>
        <w:tc>
          <w:tcPr>
            <w:tcW w:w="5495" w:type="dxa"/>
            <w:tcBorders>
              <w:bottom w:val="single" w:sz="2" w:space="0" w:color="000000"/>
            </w:tcBorders>
            <w:tcMar>
              <w:bottom w:w="28" w:type="dxa"/>
            </w:tcMar>
          </w:tcPr>
          <w:p>
            <w:pPr>
              <w:pStyle w:val="TableContents"/>
              <w:bidi w:val="0"/>
              <w:spacing w:before="0" w:after="283"/>
              <w:jc w:val="left"/>
              <w:rPr/>
            </w:pPr>
            <w:r>
              <w:rPr>
                <w:rFonts w:ascii="Times New Roman;Times;serif" w:hAnsi="Times New Roman;Times;serif"/>
                <w:sz w:val="20"/>
              </w:rPr>
              <w:t>/s/ </w:t>
            </w:r>
            <w:r>
              <w:rPr/>
              <w:t>Jeffrey D. Jones</w:t>
            </w:r>
          </w:p>
        </w:tc>
        <w:tc>
          <w:tcPr>
            <w:tcW w:w="60" w:type="dxa"/>
            <w:tcBorders/>
          </w:tcPr>
          <w:p>
            <w:pPr>
              <w:pStyle w:val="TableContents"/>
              <w:bidi w:val="0"/>
              <w:spacing w:before="0" w:after="283"/>
              <w:jc w:val="left"/>
              <w:rPr/>
            </w:pPr>
            <w:r>
              <w:rPr/>
              <w:t> </w:t>
            </w:r>
          </w:p>
        </w:tc>
      </w:tr>
      <w:tr>
        <w:trPr/>
        <w:tc>
          <w:tcPr>
            <w:tcW w:w="180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r>
              <w:rPr/>
              <w:t>Jeffrey D. Jones</w:t>
            </w:r>
          </w:p>
        </w:tc>
        <w:tc>
          <w:tcPr>
            <w:tcW w:w="60" w:type="dxa"/>
            <w:tcBorders/>
          </w:tcPr>
          <w:p>
            <w:pPr>
              <w:pStyle w:val="TableContents"/>
              <w:bidi w:val="0"/>
              <w:spacing w:before="0" w:after="283"/>
              <w:jc w:val="left"/>
              <w:rPr/>
            </w:pPr>
            <w:r>
              <w:rPr/>
              <w:t> </w:t>
            </w:r>
          </w:p>
        </w:tc>
      </w:tr>
      <w:tr>
        <w:trPr/>
        <w:tc>
          <w:tcPr>
            <w:tcW w:w="180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r>
              <w:rPr/>
              <w:t>Senior Vice President, Finance &amp; Chief Financial Officer</w:t>
            </w:r>
          </w:p>
        </w:tc>
        <w:tc>
          <w:tcPr>
            <w:tcW w:w="60" w:type="dxa"/>
            <w:tcBorders/>
          </w:tcPr>
          <w:p>
            <w:pPr>
              <w:pStyle w:val="TableContents"/>
              <w:bidi w:val="0"/>
              <w:spacing w:before="0" w:after="283"/>
              <w:jc w:val="left"/>
              <w:rPr/>
            </w:pPr>
            <w:r>
              <w:rPr/>
              <w:t> </w:t>
            </w:r>
          </w:p>
        </w:tc>
      </w:tr>
      <w:tr>
        <w:trPr/>
        <w:tc>
          <w:tcPr>
            <w:tcW w:w="1805" w:type="dxa"/>
            <w:tcBorders/>
          </w:tcPr>
          <w:p>
            <w:pPr>
              <w:pStyle w:val="TableContents"/>
              <w:bidi w:val="0"/>
              <w:spacing w:before="0" w:after="283"/>
              <w:jc w:val="left"/>
              <w:rPr/>
            </w:pPr>
            <w:r>
              <w:rPr/>
              <w:t> </w:t>
            </w:r>
          </w:p>
        </w:tc>
        <w:tc>
          <w:tcPr>
            <w:tcW w:w="5495" w:type="dxa"/>
            <w:tcBorders/>
          </w:tcPr>
          <w:p>
            <w:pPr>
              <w:pStyle w:val="TableContents"/>
              <w:bidi w:val="0"/>
              <w:spacing w:before="0" w:after="283"/>
              <w:jc w:val="left"/>
              <w:rPr/>
            </w:pPr>
            <w:r>
              <w:rPr/>
              <w:t> </w:t>
            </w:r>
            <w:r>
              <w:rPr/>
              <w:t>(Principal Financial &amp; Accounting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42</w:t>
      </w:r>
    </w:p>
    <w:p>
      <w:pPr>
        <w:pStyle w:val="TextBody"/>
        <w:bidi w:val="0"/>
        <w:spacing w:before="0" w:after="0"/>
        <w:ind w:left="0" w:right="0" w:hanging="0"/>
        <w:jc w:val="right"/>
        <w:rPr>
          <w:rFonts w:ascii="Times New Roman;Times;serif" w:hAnsi="Times New Roman;Times;serif"/>
          <w:b/>
          <w:sz w:val="20"/>
        </w:rPr>
      </w:pPr>
      <w:bookmarkStart w:id="19" w:name="ex_807614.htm"/>
      <w:bookmarkStart w:id="20" w:name="ksex_807614"/>
      <w:bookmarkEnd w:id="19"/>
      <w:bookmarkEnd w:id="20"/>
      <w:r>
        <w:rPr>
          <w:rFonts w:ascii="Times New Roman;Times;serif" w:hAnsi="Times New Roman;Times;serif"/>
          <w:b/>
          <w:sz w:val="20"/>
        </w:rPr>
        <w:t>Exhibit 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STATE OF DELAWARE</w:t>
      </w:r>
      <w:r>
        <w:rPr>
          <w:rFonts w:ascii="Times New Roman" w:hAnsi="Times New Roman"/>
          <w:caps w:val="false"/>
          <w:smallCaps w:val="false"/>
          <w:sz w:val="24"/>
        </w:rPr>
        <w:br/>
      </w:r>
      <w:r>
        <w:rPr>
          <w:rFonts w:ascii="Times New Roman" w:hAnsi="Times New Roman"/>
          <w:b/>
          <w:caps w:val="false"/>
          <w:smallCaps w:val="false"/>
          <w:sz w:val="24"/>
        </w:rPr>
        <w:t>CERTIFICATE OF CORRECTION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Inc., a corporation organized and existing under and by virtue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DOES HEREBY CERTIFY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170"/>
        <w:gridCol w:w="33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of the corporation is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That an Amended and Restated Certificate of Incorporation was filed by the Secretary of State of Delaware on June 5, 2024, and that said Certificate requires correction as permitted by Section 103 of the General Corporation Law of the State of Delaware.</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3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inaccuracy or defect of said Certificate 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written, ARTICLE FOURTEEN of the Certificate inadvertently could be interpreted to provide restrictive conditions related to the removal of the directors for cause.</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70"/>
        <w:gridCol w:w="57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57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ARTICLE FOURTEEN of the Certificate is corrected to read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for cause.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said corporation has caused this Certificate of Correction on this 3rd day of April, 2025.</w:t>
      </w:r>
    </w:p>
    <w:tbl>
      <w:tblPr>
        <w:tblW w:w="10205" w:type="dxa"/>
        <w:jc w:val="left"/>
        <w:tblInd w:w="0" w:type="dxa"/>
        <w:tblLayout w:type="fixed"/>
        <w:tblCellMar>
          <w:top w:w="0" w:type="dxa"/>
          <w:left w:w="0" w:type="dxa"/>
          <w:bottom w:w="0" w:type="dxa"/>
          <w:right w:w="0" w:type="dxa"/>
        </w:tblCellMar>
      </w:tblPr>
      <w:tblGrid>
        <w:gridCol w:w="4679"/>
        <w:gridCol w:w="415"/>
        <w:gridCol w:w="3956"/>
        <w:gridCol w:w="1155"/>
      </w:tblGrid>
      <w:tr>
        <w:trPr/>
        <w:tc>
          <w:tcPr>
            <w:tcW w:w="4679" w:type="dxa"/>
            <w:tcBorders/>
          </w:tcPr>
          <w:p>
            <w:pPr>
              <w:pStyle w:val="TableContents"/>
              <w:bidi w:val="0"/>
              <w:spacing w:before="0" w:after="0"/>
              <w:ind w:left="0" w:right="0" w:hanging="0"/>
              <w:jc w:val="left"/>
              <w:rPr/>
            </w:pPr>
            <w:r>
              <w:rPr/>
              <w:t> </w:t>
            </w:r>
          </w:p>
        </w:tc>
        <w:tc>
          <w:tcPr>
            <w:tcW w:w="4371" w:type="dxa"/>
            <w:gridSpan w:val="2"/>
            <w:tcBorders/>
          </w:tcPr>
          <w:p>
            <w:pPr>
              <w:pStyle w:val="TableContents"/>
              <w:bidi w:val="0"/>
              <w:spacing w:before="0" w:after="0"/>
              <w:ind w:left="0" w:right="0" w:hanging="0"/>
              <w:jc w:val="left"/>
              <w:rPr/>
            </w:pPr>
            <w:r>
              <w:rPr/>
              <w:t> </w:t>
            </w:r>
          </w:p>
        </w:tc>
        <w:tc>
          <w:tcPr>
            <w:tcW w:w="1155" w:type="dxa"/>
            <w:tcBorders/>
          </w:tcPr>
          <w:p>
            <w:pPr>
              <w:pStyle w:val="TableContents"/>
              <w:bidi w:val="0"/>
              <w:spacing w:before="0" w:after="0"/>
              <w:ind w:left="0" w:right="0" w:hanging="0"/>
              <w:jc w:val="left"/>
              <w:rPr/>
            </w:pPr>
            <w:r>
              <w:rPr/>
              <w:t> </w:t>
            </w:r>
          </w:p>
        </w:tc>
      </w:tr>
      <w:tr>
        <w:trPr/>
        <w:tc>
          <w:tcPr>
            <w:tcW w:w="4679" w:type="dxa"/>
            <w:tcBorders/>
          </w:tcPr>
          <w:p>
            <w:pPr>
              <w:pStyle w:val="TableContents"/>
              <w:bidi w:val="0"/>
              <w:spacing w:before="0" w:after="0"/>
              <w:ind w:left="0" w:right="0" w:hanging="0"/>
              <w:jc w:val="left"/>
              <w:rPr/>
            </w:pPr>
            <w:r>
              <w:rPr/>
              <w:t> </w:t>
            </w:r>
          </w:p>
        </w:tc>
        <w:tc>
          <w:tcPr>
            <w:tcW w:w="415" w:type="dxa"/>
            <w:tcBorders/>
          </w:tcPr>
          <w:p>
            <w:pPr>
              <w:pStyle w:val="TableContents"/>
              <w:bidi w:val="0"/>
              <w:spacing w:before="0" w:after="0"/>
              <w:ind w:left="0" w:right="0" w:hanging="0"/>
              <w:jc w:val="left"/>
              <w:rPr/>
            </w:pPr>
            <w:r>
              <w:rPr/>
              <w:t> </w:t>
            </w:r>
          </w:p>
        </w:tc>
        <w:tc>
          <w:tcPr>
            <w:tcW w:w="3956" w:type="dxa"/>
            <w:tcBorders/>
          </w:tcPr>
          <w:p>
            <w:pPr>
              <w:pStyle w:val="TableContents"/>
              <w:bidi w:val="0"/>
              <w:spacing w:before="0" w:after="0"/>
              <w:ind w:left="0" w:right="0" w:hanging="0"/>
              <w:jc w:val="left"/>
              <w:rPr/>
            </w:pPr>
            <w:r>
              <w:rPr/>
              <w:t> </w:t>
            </w:r>
          </w:p>
        </w:tc>
        <w:tc>
          <w:tcPr>
            <w:tcW w:w="1155" w:type="dxa"/>
            <w:tcBorders/>
          </w:tcPr>
          <w:p>
            <w:pPr>
              <w:pStyle w:val="TableContents"/>
              <w:bidi w:val="0"/>
              <w:spacing w:before="0" w:after="0"/>
              <w:ind w:left="0" w:right="0" w:hanging="0"/>
              <w:jc w:val="left"/>
              <w:rPr/>
            </w:pPr>
            <w:r>
              <w:rPr/>
              <w:t> </w:t>
            </w:r>
          </w:p>
        </w:tc>
      </w:tr>
      <w:tr>
        <w:trPr/>
        <w:tc>
          <w:tcPr>
            <w:tcW w:w="4679" w:type="dxa"/>
            <w:tcBorders/>
          </w:tcPr>
          <w:p>
            <w:pPr>
              <w:pStyle w:val="TableContents"/>
              <w:bidi w:val="0"/>
              <w:spacing w:before="0" w:after="0"/>
              <w:ind w:left="0" w:right="0" w:hanging="0"/>
              <w:jc w:val="left"/>
              <w:rPr/>
            </w:pPr>
            <w:r>
              <w:rPr/>
              <w:t> </w:t>
            </w:r>
          </w:p>
        </w:tc>
        <w:tc>
          <w:tcPr>
            <w:tcW w:w="415" w:type="dxa"/>
            <w:tcBorders/>
          </w:tcPr>
          <w:p>
            <w:pPr>
              <w:pStyle w:val="TableContents"/>
              <w:bidi w:val="0"/>
              <w:spacing w:before="0" w:after="0"/>
              <w:ind w:left="0" w:right="0" w:hanging="0"/>
              <w:jc w:val="left"/>
              <w:rPr/>
            </w:pPr>
            <w:r>
              <w:rPr/>
              <w:t> </w:t>
            </w:r>
          </w:p>
        </w:tc>
        <w:tc>
          <w:tcPr>
            <w:tcW w:w="3956" w:type="dxa"/>
            <w:tcBorders/>
            <w:vAlign w:val="bottom"/>
          </w:tcPr>
          <w:p>
            <w:pPr>
              <w:pStyle w:val="TableContents"/>
              <w:bidi w:val="0"/>
              <w:spacing w:before="0" w:after="0"/>
              <w:ind w:left="0" w:right="0" w:hanging="0"/>
              <w:jc w:val="left"/>
              <w:rPr/>
            </w:pPr>
            <w:r>
              <w:rPr/>
              <w:t> </w:t>
            </w:r>
          </w:p>
        </w:tc>
        <w:tc>
          <w:tcPr>
            <w:tcW w:w="1155" w:type="dxa"/>
            <w:tcBorders/>
          </w:tcPr>
          <w:p>
            <w:pPr>
              <w:pStyle w:val="TableContents"/>
              <w:bidi w:val="0"/>
              <w:spacing w:before="0" w:after="0"/>
              <w:ind w:left="0" w:right="0" w:hanging="0"/>
              <w:jc w:val="left"/>
              <w:rPr/>
            </w:pPr>
            <w:r>
              <w:rPr/>
              <w:t> </w:t>
            </w:r>
          </w:p>
        </w:tc>
      </w:tr>
      <w:tr>
        <w:trPr/>
        <w:tc>
          <w:tcPr>
            <w:tcW w:w="4679" w:type="dxa"/>
            <w:tcBorders/>
          </w:tcPr>
          <w:p>
            <w:pPr>
              <w:pStyle w:val="TableContents"/>
              <w:bidi w:val="0"/>
              <w:spacing w:before="0" w:after="0"/>
              <w:ind w:left="0" w:right="0" w:hanging="0"/>
              <w:jc w:val="left"/>
              <w:rPr/>
            </w:pPr>
            <w:r>
              <w:rPr/>
              <w:t> </w:t>
            </w:r>
          </w:p>
        </w:tc>
        <w:tc>
          <w:tcPr>
            <w:tcW w:w="41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56"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Emily Lough</w:t>
            </w:r>
          </w:p>
        </w:tc>
        <w:tc>
          <w:tcPr>
            <w:tcW w:w="1155" w:type="dxa"/>
            <w:tcBorders/>
          </w:tcPr>
          <w:p>
            <w:pPr>
              <w:pStyle w:val="TableContents"/>
              <w:bidi w:val="0"/>
              <w:spacing w:before="0" w:after="0"/>
              <w:ind w:left="0" w:right="0" w:hanging="0"/>
              <w:jc w:val="left"/>
              <w:rPr/>
            </w:pPr>
            <w:r>
              <w:rPr/>
              <w:t> </w:t>
            </w:r>
          </w:p>
        </w:tc>
      </w:tr>
      <w:tr>
        <w:trPr/>
        <w:tc>
          <w:tcPr>
            <w:tcW w:w="4679" w:type="dxa"/>
            <w:tcBorders/>
          </w:tcPr>
          <w:p>
            <w:pPr>
              <w:pStyle w:val="TableContents"/>
              <w:bidi w:val="0"/>
              <w:spacing w:before="0" w:after="0"/>
              <w:ind w:left="0" w:right="0" w:hanging="0"/>
              <w:jc w:val="left"/>
              <w:rPr/>
            </w:pPr>
            <w:r>
              <w:rPr/>
              <w:t> </w:t>
            </w:r>
          </w:p>
        </w:tc>
        <w:tc>
          <w:tcPr>
            <w:tcW w:w="4371"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Emily Lough</w:t>
            </w:r>
          </w:p>
        </w:tc>
        <w:tc>
          <w:tcPr>
            <w:tcW w:w="1155" w:type="dxa"/>
            <w:tcBorders/>
          </w:tcPr>
          <w:p>
            <w:pPr>
              <w:pStyle w:val="TableContents"/>
              <w:bidi w:val="0"/>
              <w:spacing w:before="0" w:after="0"/>
              <w:ind w:left="0" w:right="0" w:hanging="0"/>
              <w:jc w:val="left"/>
              <w:rPr/>
            </w:pPr>
            <w:r>
              <w:rPr/>
              <w:t> </w:t>
            </w:r>
          </w:p>
        </w:tc>
      </w:tr>
      <w:tr>
        <w:trPr/>
        <w:tc>
          <w:tcPr>
            <w:tcW w:w="4679" w:type="dxa"/>
            <w:tcBorders/>
          </w:tcPr>
          <w:p>
            <w:pPr>
              <w:pStyle w:val="TableContents"/>
              <w:bidi w:val="0"/>
              <w:spacing w:before="0" w:after="0"/>
              <w:ind w:left="0" w:right="0" w:hanging="0"/>
              <w:jc w:val="left"/>
              <w:rPr/>
            </w:pPr>
            <w:r>
              <w:rPr/>
              <w:t> </w:t>
            </w:r>
          </w:p>
        </w:tc>
        <w:tc>
          <w:tcPr>
            <w:tcW w:w="4371" w:type="dxa"/>
            <w:gridSpan w:val="2"/>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General Counsel and Secretary</w:t>
            </w:r>
          </w:p>
        </w:tc>
        <w:tc>
          <w:tcPr>
            <w:tcW w:w="1155"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1" w:name="ex_807632.htm"/>
      <w:bookmarkStart w:id="22" w:name="ksex_807632"/>
      <w:bookmarkEnd w:id="21"/>
      <w:bookmarkEnd w:id="22"/>
      <w:r>
        <w:rPr>
          <w:rFonts w:ascii="Times New Roman" w:hAnsi="Times New Roman"/>
          <w:caps w:val="false"/>
          <w:smallCaps w:val="false"/>
          <w:sz w:val="20"/>
        </w:rPr>
        <w:t>Exhibit 31.1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052" w:type="dxa"/>
        <w:jc w:val="left"/>
        <w:tblInd w:w="0" w:type="dxa"/>
        <w:tblLayout w:type="fixed"/>
        <w:tblCellMar>
          <w:top w:w="0" w:type="dxa"/>
          <w:left w:w="0" w:type="dxa"/>
          <w:bottom w:w="0" w:type="dxa"/>
          <w:right w:w="0" w:type="dxa"/>
        </w:tblCellMar>
      </w:tblPr>
      <w:tblGrid>
        <w:gridCol w:w="3080"/>
        <w:gridCol w:w="972"/>
      </w:tblGrid>
      <w:tr>
        <w:trPr/>
        <w:tc>
          <w:tcPr>
            <w:tcW w:w="30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2, 2025 </w:t>
            </w:r>
          </w:p>
        </w:tc>
        <w:tc>
          <w:tcPr>
            <w:tcW w:w="972" w:type="dxa"/>
            <w:tcBorders/>
          </w:tcPr>
          <w:p>
            <w:pPr>
              <w:pStyle w:val="TableContents"/>
              <w:bidi w:val="0"/>
              <w:spacing w:before="0" w:after="0"/>
              <w:ind w:left="0" w:right="0" w:hanging="0"/>
              <w:jc w:val="left"/>
              <w:rPr/>
            </w:pPr>
            <w:r>
              <w:rPr/>
              <w:t> </w:t>
            </w:r>
          </w:p>
        </w:tc>
      </w:tr>
      <w:tr>
        <w:trPr/>
        <w:tc>
          <w:tcPr>
            <w:tcW w:w="3080" w:type="dxa"/>
            <w:tcBorders/>
            <w:vAlign w:val="bottom"/>
          </w:tcPr>
          <w:p>
            <w:pPr>
              <w:pStyle w:val="TableContents"/>
              <w:bidi w:val="0"/>
              <w:spacing w:before="0" w:after="0"/>
              <w:ind w:left="0" w:right="0" w:hanging="0"/>
              <w:jc w:val="left"/>
              <w:rPr/>
            </w:pPr>
            <w:r>
              <w:rPr/>
              <w:t> </w:t>
            </w:r>
          </w:p>
        </w:tc>
        <w:tc>
          <w:tcPr>
            <w:tcW w:w="972" w:type="dxa"/>
            <w:tcBorders/>
          </w:tcPr>
          <w:p>
            <w:pPr>
              <w:pStyle w:val="TableContents"/>
              <w:bidi w:val="0"/>
              <w:spacing w:before="0" w:after="0"/>
              <w:ind w:left="0" w:right="0" w:hanging="0"/>
              <w:jc w:val="left"/>
              <w:rPr/>
            </w:pPr>
            <w:r>
              <w:rPr/>
              <w:t> </w:t>
            </w:r>
          </w:p>
        </w:tc>
      </w:tr>
      <w:tr>
        <w:trPr/>
        <w:tc>
          <w:tcPr>
            <w:tcW w:w="3080" w:type="dxa"/>
            <w:tcBorders>
              <w:bottom w:val="single" w:sz="2" w:space="0" w:color="000000"/>
            </w:tcBorders>
            <w:tcMar>
              <w:bottom w:w="28" w:type="dxa"/>
            </w:tcMar>
          </w:tcPr>
          <w:p>
            <w:pPr>
              <w:pStyle w:val="TableContents"/>
              <w:bidi w:val="0"/>
              <w:spacing w:before="0" w:after="0"/>
              <w:ind w:left="0" w:right="0" w:hanging="0"/>
              <w:jc w:val="left"/>
              <w:rPr/>
            </w:pPr>
            <w:r>
              <w:rPr/>
              <w:t> </w:t>
            </w:r>
            <w:r>
              <w:rPr>
                <w:rFonts w:ascii="Times New Roman;Times;serif" w:hAnsi="Times New Roman;Times;serif"/>
                <w:sz w:val="20"/>
              </w:rPr>
              <w:t>/s/ Luis A. Müller</w:t>
            </w:r>
          </w:p>
        </w:tc>
        <w:tc>
          <w:tcPr>
            <w:tcW w:w="972" w:type="dxa"/>
            <w:tcBorders/>
          </w:tcPr>
          <w:p>
            <w:pPr>
              <w:pStyle w:val="TableContents"/>
              <w:bidi w:val="0"/>
              <w:spacing w:before="0" w:after="0"/>
              <w:ind w:left="0" w:right="0" w:hanging="0"/>
              <w:jc w:val="left"/>
              <w:rPr/>
            </w:pPr>
            <w:r>
              <w:rPr/>
              <w:t> </w:t>
            </w:r>
          </w:p>
        </w:tc>
      </w:tr>
      <w:tr>
        <w:trPr/>
        <w:tc>
          <w:tcPr>
            <w:tcW w:w="3080" w:type="dxa"/>
            <w:tcBorders/>
          </w:tcPr>
          <w:p>
            <w:pPr>
              <w:pStyle w:val="TableContents"/>
              <w:bidi w:val="0"/>
              <w:spacing w:before="0" w:after="0"/>
              <w:ind w:left="0" w:right="0" w:hanging="0"/>
              <w:jc w:val="left"/>
              <w:rPr/>
            </w:pPr>
            <w:r>
              <w:rPr/>
              <w:t> </w:t>
            </w:r>
            <w:r>
              <w:rPr>
                <w:rFonts w:ascii="Times New Roman;Times;serif" w:hAnsi="Times New Roman;Times;serif"/>
                <w:sz w:val="20"/>
              </w:rPr>
              <w:t>Luis A. Müller</w:t>
            </w:r>
          </w:p>
        </w:tc>
        <w:tc>
          <w:tcPr>
            <w:tcW w:w="972" w:type="dxa"/>
            <w:tcBorders/>
          </w:tcPr>
          <w:p>
            <w:pPr>
              <w:pStyle w:val="TableContents"/>
              <w:bidi w:val="0"/>
              <w:spacing w:before="0" w:after="0"/>
              <w:ind w:left="0" w:right="0" w:hanging="0"/>
              <w:jc w:val="left"/>
              <w:rPr/>
            </w:pPr>
            <w:r>
              <w:rPr/>
              <w:t> </w:t>
            </w:r>
          </w:p>
        </w:tc>
      </w:tr>
      <w:tr>
        <w:trPr/>
        <w:tc>
          <w:tcPr>
            <w:tcW w:w="3080" w:type="dxa"/>
            <w:tcBorders/>
          </w:tcPr>
          <w:p>
            <w:pPr>
              <w:pStyle w:val="TableContents"/>
              <w:bidi w:val="0"/>
              <w:spacing w:before="0" w:after="0"/>
              <w:ind w:left="0" w:right="0" w:hanging="0"/>
              <w:jc w:val="left"/>
              <w:rPr/>
            </w:pPr>
            <w:r>
              <w:rPr/>
              <w:t> </w:t>
            </w:r>
            <w:r>
              <w:rPr>
                <w:rFonts w:ascii="Times New Roman;Times;serif" w:hAnsi="Times New Roman;Times;serif"/>
                <w:sz w:val="20"/>
              </w:rPr>
              <w:t>President &amp; Chief Executive Officer</w:t>
            </w:r>
          </w:p>
        </w:tc>
        <w:tc>
          <w:tcPr>
            <w:tcW w:w="972"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3" w:name="ex_807631.htm"/>
      <w:bookmarkStart w:id="24" w:name="ksex_807631"/>
      <w:bookmarkEnd w:id="23"/>
      <w:bookmarkEnd w:id="24"/>
      <w:r>
        <w:rPr>
          <w:rFonts w:ascii="Times New Roman" w:hAnsi="Times New Roman"/>
          <w:caps w:val="false"/>
          <w:smallCaps w:val="false"/>
          <w:sz w:val="20"/>
        </w:rPr>
        <w:t>Exhibit 31.2</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6184" w:type="dxa"/>
        <w:jc w:val="left"/>
        <w:tblInd w:w="0" w:type="dxa"/>
        <w:tblLayout w:type="fixed"/>
        <w:tblCellMar>
          <w:top w:w="0" w:type="dxa"/>
          <w:left w:w="0" w:type="dxa"/>
          <w:bottom w:w="0" w:type="dxa"/>
          <w:right w:w="0" w:type="dxa"/>
        </w:tblCellMar>
      </w:tblPr>
      <w:tblGrid>
        <w:gridCol w:w="4700"/>
        <w:gridCol w:w="1484"/>
      </w:tblGrid>
      <w:tr>
        <w:trPr/>
        <w:tc>
          <w:tcPr>
            <w:tcW w:w="47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2, 2025</w:t>
            </w:r>
          </w:p>
        </w:tc>
        <w:tc>
          <w:tcPr>
            <w:tcW w:w="1484" w:type="dxa"/>
            <w:tcBorders/>
          </w:tcPr>
          <w:p>
            <w:pPr>
              <w:pStyle w:val="TableContents"/>
              <w:bidi w:val="0"/>
              <w:spacing w:before="0" w:after="0"/>
              <w:ind w:left="0" w:right="0" w:hanging="0"/>
              <w:jc w:val="left"/>
              <w:rPr/>
            </w:pPr>
            <w:r>
              <w:rPr/>
              <w:t> </w:t>
            </w:r>
          </w:p>
        </w:tc>
      </w:tr>
      <w:tr>
        <w:trPr/>
        <w:tc>
          <w:tcPr>
            <w:tcW w:w="4700" w:type="dxa"/>
            <w:tcBorders/>
          </w:tcPr>
          <w:p>
            <w:pPr>
              <w:pStyle w:val="TableContents"/>
              <w:bidi w:val="0"/>
              <w:spacing w:before="0" w:after="0"/>
              <w:ind w:left="0" w:right="0" w:hanging="0"/>
              <w:jc w:val="left"/>
              <w:rPr/>
            </w:pPr>
            <w:r>
              <w:rPr/>
              <w:t> </w:t>
            </w:r>
          </w:p>
        </w:tc>
        <w:tc>
          <w:tcPr>
            <w:tcW w:w="1484" w:type="dxa"/>
            <w:tcBorders/>
          </w:tcPr>
          <w:p>
            <w:pPr>
              <w:pStyle w:val="TableContents"/>
              <w:bidi w:val="0"/>
              <w:spacing w:before="0" w:after="0"/>
              <w:ind w:left="0" w:right="0" w:hanging="0"/>
              <w:jc w:val="left"/>
              <w:rPr/>
            </w:pPr>
            <w:r>
              <w:rPr/>
              <w:t> </w:t>
            </w:r>
          </w:p>
        </w:tc>
      </w:tr>
      <w:tr>
        <w:trPr/>
        <w:tc>
          <w:tcPr>
            <w:tcW w:w="4700" w:type="dxa"/>
            <w:tcBorders/>
            <w:vAlign w:val="bottom"/>
          </w:tcPr>
          <w:p>
            <w:pPr>
              <w:pStyle w:val="TableContents"/>
              <w:bidi w:val="0"/>
              <w:spacing w:before="0" w:after="0"/>
              <w:ind w:left="0" w:right="0" w:hanging="0"/>
              <w:jc w:val="left"/>
              <w:rPr/>
            </w:pPr>
            <w:r>
              <w:rPr/>
              <w:t> </w:t>
            </w:r>
          </w:p>
        </w:tc>
        <w:tc>
          <w:tcPr>
            <w:tcW w:w="1484" w:type="dxa"/>
            <w:tcBorders/>
          </w:tcPr>
          <w:p>
            <w:pPr>
              <w:pStyle w:val="TableContents"/>
              <w:bidi w:val="0"/>
              <w:spacing w:before="0" w:after="0"/>
              <w:ind w:left="0" w:right="0" w:hanging="0"/>
              <w:jc w:val="left"/>
              <w:rPr/>
            </w:pPr>
            <w:r>
              <w:rPr/>
              <w:t> </w:t>
            </w:r>
          </w:p>
        </w:tc>
      </w:tr>
      <w:tr>
        <w:trPr/>
        <w:tc>
          <w:tcPr>
            <w:tcW w:w="4700" w:type="dxa"/>
            <w:tcBorders>
              <w:bottom w:val="single" w:sz="2" w:space="0" w:color="000000"/>
            </w:tcBorders>
            <w:tcMar>
              <w:bottom w:w="28" w:type="dxa"/>
            </w:tcMar>
          </w:tcPr>
          <w:p>
            <w:pPr>
              <w:pStyle w:val="TableContents"/>
              <w:bidi w:val="0"/>
              <w:spacing w:before="0" w:after="0"/>
              <w:ind w:left="0" w:right="0" w:hanging="0"/>
              <w:jc w:val="left"/>
              <w:rPr/>
            </w:pPr>
            <w:r>
              <w:rPr/>
              <w:t> </w:t>
            </w:r>
            <w:r>
              <w:rPr>
                <w:rFonts w:ascii="Times New Roman;Times;serif" w:hAnsi="Times New Roman;Times;serif"/>
                <w:sz w:val="20"/>
              </w:rPr>
              <w:t>/s/ Jeffrey D. Jones</w:t>
            </w:r>
          </w:p>
        </w:tc>
        <w:tc>
          <w:tcPr>
            <w:tcW w:w="1484" w:type="dxa"/>
            <w:tcBorders/>
          </w:tcPr>
          <w:p>
            <w:pPr>
              <w:pStyle w:val="TableContents"/>
              <w:bidi w:val="0"/>
              <w:spacing w:before="0" w:after="0"/>
              <w:ind w:left="0" w:right="0" w:hanging="0"/>
              <w:jc w:val="left"/>
              <w:rPr/>
            </w:pPr>
            <w:r>
              <w:rPr/>
              <w:t> </w:t>
            </w:r>
          </w:p>
        </w:tc>
      </w:tr>
      <w:tr>
        <w:trPr/>
        <w:tc>
          <w:tcPr>
            <w:tcW w:w="4700" w:type="dxa"/>
            <w:tcBorders/>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r>
              <w:rPr>
                <w:rFonts w:ascii="Times New Roman;Times;serif" w:hAnsi="Times New Roman;Times;serif"/>
                <w:sz w:val="20"/>
              </w:rPr>
              <w:t>Jeffrey D. Jones </w:t>
            </w:r>
          </w:p>
        </w:tc>
        <w:tc>
          <w:tcPr>
            <w:tcW w:w="1484" w:type="dxa"/>
            <w:tcBorders/>
          </w:tcPr>
          <w:p>
            <w:pPr>
              <w:pStyle w:val="TableContents"/>
              <w:bidi w:val="0"/>
              <w:spacing w:before="0" w:after="0"/>
              <w:ind w:left="0" w:right="0" w:hanging="0"/>
              <w:jc w:val="left"/>
              <w:rPr/>
            </w:pPr>
            <w:r>
              <w:rPr/>
              <w:t> </w:t>
            </w:r>
          </w:p>
        </w:tc>
      </w:tr>
      <w:tr>
        <w:trPr/>
        <w:tc>
          <w:tcPr>
            <w:tcW w:w="4700" w:type="dxa"/>
            <w:tcBorders/>
          </w:tcPr>
          <w:p>
            <w:pPr>
              <w:pStyle w:val="TableContents"/>
              <w:bidi w:val="0"/>
              <w:spacing w:before="0" w:after="0"/>
              <w:ind w:left="0" w:right="0" w:hanging="0"/>
              <w:jc w:val="left"/>
              <w:rPr/>
            </w:pPr>
            <w:r>
              <w:rPr/>
              <w:t> </w:t>
            </w:r>
            <w:r>
              <w:rPr>
                <w:rFonts w:ascii="Times New Roman;Times;serif" w:hAnsi="Times New Roman;Times;serif"/>
                <w:sz w:val="20"/>
              </w:rPr>
              <w:t>Senior Vice President Finance &amp; Chief Financial Officer</w:t>
            </w:r>
          </w:p>
        </w:tc>
        <w:tc>
          <w:tcPr>
            <w:tcW w:w="1484" w:type="dxa"/>
            <w:tcBorders/>
          </w:tcPr>
          <w:p>
            <w:pPr>
              <w:pStyle w:val="TableContents"/>
              <w:bidi w:val="0"/>
              <w:spacing w:before="0" w:after="0"/>
              <w:ind w:left="0" w:right="0" w:hanging="0"/>
              <w:jc w:val="left"/>
              <w:rPr/>
            </w:pPr>
            <w:r>
              <w:rPr/>
              <w:t> </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5" w:name="ex_807630.htm"/>
      <w:bookmarkStart w:id="26" w:name="ksex_807630"/>
      <w:bookmarkEnd w:id="25"/>
      <w:bookmarkEnd w:id="26"/>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EXECUTIVE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March 29, 2025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28" w:type="dxa"/>
          <w:left w:w="0" w:type="dxa"/>
          <w:bottom w:w="0" w:type="dxa"/>
          <w:right w:w="0" w:type="dxa"/>
        </w:tblCellMar>
      </w:tblPr>
      <w:tblGrid>
        <w:gridCol w:w="60"/>
      </w:tblGrid>
      <w:tr>
        <w:trPr/>
        <w:tc>
          <w:tcPr>
            <w:tcW w:w="60" w:type="dxa"/>
            <w:tcBorders>
              <w:top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Luis A. Müller,</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27" w:name="ex_807629.htm"/>
      <w:bookmarkStart w:id="28" w:name="ksex_807629"/>
      <w:bookmarkEnd w:id="27"/>
      <w:bookmarkEnd w:id="28"/>
      <w:r>
        <w:rPr>
          <w:caps w:val="false"/>
          <w:smallCaps w:val="false"/>
        </w:rPr>
        <w:t> </w:t>
      </w:r>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FINANCIAL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March 29, 2025 (the "Report"), I, Jeffrey D. Jones, Vice President Finance &amp;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p>
      <w:pPr>
        <w:pStyle w:val="TextBody"/>
        <w:bidi w:val="0"/>
        <w:spacing w:before="0" w:after="0"/>
        <w:ind w:left="0" w:right="0" w:hanging="0"/>
        <w:jc w:val="left"/>
        <w:rPr>
          <w:caps w:val="false"/>
          <w:smallCaps w:val="false"/>
        </w:rPr>
      </w:pPr>
      <w:r>
        <w:rPr>
          <w:caps w:val="false"/>
          <w:smallCaps w:val="false"/>
        </w:rPr>
        <w:t> </w:t>
      </w:r>
    </w:p>
    <w:tbl>
      <w:tblPr>
        <w:tblW w:w="60" w:type="dxa"/>
        <w:jc w:val="left"/>
        <w:tblInd w:w="0" w:type="dxa"/>
        <w:tblLayout w:type="fixed"/>
        <w:tblCellMar>
          <w:top w:w="28" w:type="dxa"/>
          <w:left w:w="0" w:type="dxa"/>
          <w:bottom w:w="0" w:type="dxa"/>
          <w:right w:w="0" w:type="dxa"/>
        </w:tblCellMar>
      </w:tblPr>
      <w:tblGrid>
        <w:gridCol w:w="60"/>
      </w:tblGrid>
      <w:tr>
        <w:trPr/>
        <w:tc>
          <w:tcPr>
            <w:tcW w:w="60" w:type="dxa"/>
            <w:tcBorders>
              <w:top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Jeffrey D. Jones,</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Senior Vice President Finance &amp;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25333</Words>
  <Characters>138972</Characters>
  <CharactersWithSpaces>165892</CharactersWithSpaces>
  <Paragraphs>6287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